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161290</wp:posOffset>
            </wp:positionV>
            <wp:extent cx="18351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20-F</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0" w:lineRule="exact"/>
        <w:rPr>
          <w:sz w:val="24"/>
          <w:szCs w:val="24"/>
          <w:color w:val="auto"/>
        </w:rPr>
      </w:pPr>
    </w:p>
    <w:p>
      <w:pPr>
        <w:ind w:left="600" w:right="40" w:hanging="360"/>
        <w:spacing w:after="0" w:line="274" w:lineRule="auto"/>
        <w:tabs>
          <w:tab w:leader="none" w:pos="60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REGISTRATION STATEMENT PURSUANT TO SECTION 12(b) OR 12(g) OF THE SECURITIES EXCHANGE ACT OF 1934</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OR</w:t>
      </w:r>
    </w:p>
    <w:p>
      <w:pPr>
        <w:spacing w:after="0" w:line="238" w:lineRule="exact"/>
        <w:rPr>
          <w:sz w:val="24"/>
          <w:szCs w:val="24"/>
          <w:color w:val="auto"/>
        </w:rPr>
      </w:pPr>
    </w:p>
    <w:p>
      <w:pPr>
        <w:ind w:left="600" w:right="120" w:hanging="360"/>
        <w:spacing w:after="0" w:line="274" w:lineRule="auto"/>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ANNUAL REPORT PURSUANT TO SECTION 13 OR 15(d) OF THE SECURITIES EXCHANGE ACT OF 1934 For the fiscal year ended December 31, 2018</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OR</w:t>
      </w:r>
    </w:p>
    <w:p>
      <w:pPr>
        <w:spacing w:after="0" w:line="238" w:lineRule="exact"/>
        <w:rPr>
          <w:sz w:val="24"/>
          <w:szCs w:val="24"/>
          <w:color w:val="auto"/>
        </w:rPr>
      </w:pPr>
    </w:p>
    <w:p>
      <w:pPr>
        <w:ind w:left="600" w:right="160" w:hanging="360"/>
        <w:spacing w:after="0" w:line="274" w:lineRule="auto"/>
        <w:tabs>
          <w:tab w:leader="none" w:pos="60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OR</w:t>
      </w:r>
    </w:p>
    <w:p>
      <w:pPr>
        <w:spacing w:after="0" w:line="238" w:lineRule="exact"/>
        <w:rPr>
          <w:sz w:val="24"/>
          <w:szCs w:val="24"/>
          <w:color w:val="auto"/>
        </w:rPr>
      </w:pPr>
    </w:p>
    <w:p>
      <w:pPr>
        <w:ind w:left="600" w:hanging="360"/>
        <w:spacing w:after="0" w:line="274" w:lineRule="auto"/>
        <w:tabs>
          <w:tab w:leader="none" w:pos="600"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color w:val="auto"/>
        </w:rPr>
        <w:t>SHELL COMPANY REPORT PURSUANT TO SECTION 13 OR 15(d) OF THE SECURITIES EXCHANGE ACT OF 1934</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Date of event requiring this shell company report . . . . . . . . . . . . . . . . . . .</w:t>
      </w:r>
    </w:p>
    <w:p>
      <w:pPr>
        <w:spacing w:after="0" w:line="213" w:lineRule="exact"/>
        <w:rPr>
          <w:sz w:val="24"/>
          <w:szCs w:val="24"/>
          <w:color w:val="auto"/>
        </w:rPr>
      </w:pPr>
    </w:p>
    <w:p>
      <w:pPr>
        <w:ind w:left="344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000-30666</w:t>
      </w:r>
    </w:p>
    <w:p>
      <w:pPr>
        <w:spacing w:after="0" w:line="19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8"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19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4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(Translation of Registrant’s name into English)</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4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(Jurisdiction of incorporation or organization)</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Building No. 7, West Zone,</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Zhongguancun Software Park (Phase II),</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 10 Xibeiwang East Road, Haidian District</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Beijing 100193,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Charles Zhaoxuan Yang</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Binjiang District, Hangzhou, 310052</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People’s Republic of China</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Phone (86 571) 8985-2070</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Facsimile (86 571) 8738-1002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American Depositary Shares, each representing 25 ordinary shares, par value US$0.0001 per share,</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24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8"/>
          <w:szCs w:val="18"/>
          <w:color w:val="auto"/>
        </w:rPr>
        <w:t>(Title of Each Class and Name of Each Exchange on Which Registered)</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120"/>
          </w:cols>
          <w:pgMar w:left="240" w:top="234" w:right="539" w:bottom="382"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4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3,199,018,406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4445</wp:posOffset>
            </wp:positionV>
            <wp:extent cx="3620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0"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 (d) of the Securities Exchange Act of 1934.</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0" w:lineRule="exact"/>
        <w:rPr>
          <w:sz w:val="20"/>
          <w:szCs w:val="20"/>
          <w:color w:val="auto"/>
        </w:rPr>
      </w:pPr>
    </w:p>
    <w:p>
      <w:pPr>
        <w:jc w:val="both"/>
        <w:ind w:right="80"/>
        <w:spacing w:after="0" w:line="25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20"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540"/>
        <w:spacing w:after="0"/>
        <w:rPr>
          <w:sz w:val="20"/>
          <w:szCs w:val="20"/>
          <w:color w:val="auto"/>
        </w:rPr>
      </w:pPr>
      <w:r>
        <w:rPr>
          <w:rFonts w:ascii="Arial" w:cs="Arial" w:eastAsia="Arial" w:hAnsi="Arial"/>
          <w:sz w:val="17"/>
          <w:szCs w:val="17"/>
          <w:color w:val="auto"/>
        </w:rPr>
        <w:t>x Yes  o No</w:t>
      </w:r>
    </w:p>
    <w:p>
      <w:pPr>
        <w:spacing w:after="0" w:line="220"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57" w:lineRule="exact"/>
        <w:rPr>
          <w:sz w:val="20"/>
          <w:szCs w:val="20"/>
          <w:color w:val="auto"/>
        </w:rPr>
      </w:pPr>
    </w:p>
    <w:p>
      <w:pPr>
        <w:ind w:left="540"/>
        <w:spacing w:after="0"/>
        <w:tabs>
          <w:tab w:leader="none" w:pos="3580" w:val="left"/>
          <w:tab w:leader="none" w:pos="6160" w:val="left"/>
          <w:tab w:leader="none" w:pos="8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Emerging growth company o</w:t>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w:t>
      </w:r>
    </w:p>
    <w:p>
      <w:pPr>
        <w:spacing w:after="0" w:line="188"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7" w:right="239" w:bottom="1440" w:gutter="0" w:footer="0" w:header="0"/>
        </w:sectPr>
      </w:pP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International Financial Reporting Standards as issued</w:t>
      </w:r>
    </w:p>
    <w:p>
      <w:pPr>
        <w:spacing w:after="0" w:line="40"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Other o</w:t>
      </w:r>
    </w:p>
    <w:p>
      <w:pPr>
        <w:spacing w:after="0" w:line="435" w:lineRule="exact"/>
        <w:rPr>
          <w:sz w:val="20"/>
          <w:szCs w:val="20"/>
          <w:color w:val="auto"/>
        </w:rPr>
      </w:pPr>
    </w:p>
    <w:p>
      <w:pPr>
        <w:sectPr>
          <w:pgSz w:w="11900" w:h="16838" w:orient="portrait"/>
          <w:cols w:equalWidth="0" w:num="3">
            <w:col w:w="3100" w:space="720"/>
            <w:col w:w="5060" w:space="720"/>
            <w:col w:w="1820"/>
          </w:cols>
          <w:pgMar w:left="240" w:top="127"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0"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 Item 17  o Item 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1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40" w:type="dxa"/>
            <w:vAlign w:val="bottom"/>
            <w:gridSpan w:val="8"/>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INTRODUCTION</w:t>
              </w:r>
            </w:hyperlink>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8"/>
        </w:trPr>
        <w:tc>
          <w:tcPr>
            <w:tcW w:w="1340" w:type="dxa"/>
            <w:vAlign w:val="bottom"/>
            <w:tcBorders>
              <w:bottom w:val="single" w:sz="8" w:color="0000EE"/>
            </w:tcBorders>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1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0"/>
        </w:trPr>
        <w:tc>
          <w:tcPr>
            <w:tcW w:w="134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6"/>
        </w:trPr>
        <w:tc>
          <w:tcPr>
            <w:tcW w:w="660" w:type="dxa"/>
            <w:vAlign w:val="bottom"/>
            <w:tcBorders>
              <w:top w:val="single" w:sz="8" w:color="0000EE"/>
            </w:tcBorders>
          </w:tcPr>
          <w:p>
            <w:pPr>
              <w:spacing w:after="0"/>
              <w:rPr>
                <w:sz w:val="24"/>
                <w:szCs w:val="24"/>
                <w:color w:val="auto"/>
              </w:rPr>
            </w:pPr>
          </w:p>
        </w:tc>
        <w:tc>
          <w:tcPr>
            <w:tcW w:w="68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40" w:type="dxa"/>
            <w:vAlign w:val="bottom"/>
            <w:gridSpan w:val="22"/>
          </w:tcPr>
          <w:p>
            <w:pPr>
              <w:ind w:left="540"/>
              <w:spacing w:after="0"/>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Advisors</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80" w:type="dxa"/>
            <w:vAlign w:val="bottom"/>
            <w:gridSpan w:val="7"/>
          </w:tcPr>
          <w:p>
            <w:pPr>
              <w:spacing w:after="0" w:line="193" w:lineRule="exact"/>
              <w:rPr>
                <w:rFonts w:ascii="Arial" w:cs="Arial" w:eastAsia="Arial" w:hAnsi="Arial"/>
                <w:sz w:val="18"/>
                <w:szCs w:val="18"/>
                <w:color w:val="0000EE"/>
              </w:rPr>
            </w:pPr>
            <w:hyperlink w:anchor="page4">
              <w:r>
                <w:rPr>
                  <w:rFonts w:ascii="Arial" w:cs="Arial" w:eastAsia="Arial" w:hAnsi="Arial"/>
                  <w:sz w:val="18"/>
                  <w:szCs w:val="18"/>
                  <w:color w:val="0000EE"/>
                </w:rPr>
                <w:t>Item 2.</w:t>
              </w:r>
            </w:hyperlink>
          </w:p>
        </w:tc>
        <w:tc>
          <w:tcPr>
            <w:tcW w:w="8940" w:type="dxa"/>
            <w:vAlign w:val="bottom"/>
            <w:gridSpan w:val="22"/>
          </w:tcPr>
          <w:p>
            <w:pPr>
              <w:ind w:left="540"/>
              <w:spacing w:after="0" w:line="193" w:lineRule="exact"/>
              <w:rPr>
                <w:rFonts w:ascii="Arial" w:cs="Arial" w:eastAsia="Arial" w:hAnsi="Arial"/>
                <w:sz w:val="18"/>
                <w:szCs w:val="18"/>
                <w:color w:val="0000EE"/>
              </w:rPr>
            </w:pPr>
            <w:hyperlink w:anchor="page4">
              <w:r>
                <w:rPr>
                  <w:rFonts w:ascii="Arial" w:cs="Arial" w:eastAsia="Arial" w:hAnsi="Arial"/>
                  <w:sz w:val="18"/>
                  <w:szCs w:val="18"/>
                  <w:color w:val="0000EE"/>
                </w:rPr>
                <w:t>Offer Statistics and Expected Timetable</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80" w:type="dxa"/>
            <w:vAlign w:val="bottom"/>
            <w:gridSpan w:val="7"/>
          </w:tcPr>
          <w:p>
            <w:pPr>
              <w:spacing w:after="0" w:line="193" w:lineRule="exact"/>
              <w:rPr>
                <w:rFonts w:ascii="Arial" w:cs="Arial" w:eastAsia="Arial" w:hAnsi="Arial"/>
                <w:sz w:val="18"/>
                <w:szCs w:val="18"/>
                <w:color w:val="0000EE"/>
              </w:rPr>
            </w:pPr>
            <w:hyperlink w:anchor="page5">
              <w:r>
                <w:rPr>
                  <w:rFonts w:ascii="Arial" w:cs="Arial" w:eastAsia="Arial" w:hAnsi="Arial"/>
                  <w:sz w:val="18"/>
                  <w:szCs w:val="18"/>
                  <w:color w:val="0000EE"/>
                </w:rPr>
                <w:t>Item 3.</w:t>
              </w:r>
            </w:hyperlink>
          </w:p>
        </w:tc>
        <w:tc>
          <w:tcPr>
            <w:tcW w:w="8940" w:type="dxa"/>
            <w:vAlign w:val="bottom"/>
            <w:gridSpan w:val="22"/>
          </w:tcPr>
          <w:p>
            <w:pPr>
              <w:ind w:left="540"/>
              <w:spacing w:after="0" w:line="193" w:lineRule="exact"/>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line="193" w:lineRule="exact"/>
              <w:rPr>
                <w:rFonts w:ascii="Arial" w:cs="Arial" w:eastAsia="Arial" w:hAnsi="Arial"/>
                <w:sz w:val="18"/>
                <w:szCs w:val="18"/>
                <w:color w:val="0000EE"/>
                <w:w w:val="76"/>
              </w:rPr>
            </w:pPr>
            <w:hyperlink w:anchor="page32">
              <w:r>
                <w:rPr>
                  <w:rFonts w:ascii="Arial" w:cs="Arial" w:eastAsia="Arial" w:hAnsi="Arial"/>
                  <w:sz w:val="18"/>
                  <w:szCs w:val="18"/>
                  <w:color w:val="0000EE"/>
                  <w:w w:val="76"/>
                </w:rPr>
                <w:t>Item 4.</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32">
              <w:r>
                <w:rPr>
                  <w:rFonts w:ascii="Arial" w:cs="Arial" w:eastAsia="Arial" w:hAnsi="Arial"/>
                  <w:sz w:val="18"/>
                  <w:szCs w:val="18"/>
                  <w:color w:val="0000EE"/>
                </w:rPr>
                <w:t>Information on the Company</w:t>
              </w:r>
            </w:hyperlink>
          </w:p>
        </w:tc>
        <w:tc>
          <w:tcPr>
            <w:tcW w:w="1140" w:type="dxa"/>
            <w:vAlign w:val="bottom"/>
          </w:tcPr>
          <w:p>
            <w:pPr>
              <w:jc w:val="right"/>
              <w:spacing w:after="0" w:line="193" w:lineRule="exact"/>
              <w:rPr>
                <w:sz w:val="20"/>
                <w:szCs w:val="20"/>
                <w:color w:val="auto"/>
              </w:rPr>
            </w:pPr>
            <w:r>
              <w:rPr>
                <w:rFonts w:ascii="Arial" w:cs="Arial" w:eastAsia="Arial" w:hAnsi="Arial"/>
                <w:sz w:val="18"/>
                <w:szCs w:val="18"/>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520" w:type="dxa"/>
            <w:vAlign w:val="bottom"/>
            <w:gridSpan w:val="3"/>
          </w:tcPr>
          <w:p>
            <w:pPr>
              <w:spacing w:after="0" w:line="193" w:lineRule="exact"/>
              <w:rPr>
                <w:rFonts w:ascii="Arial" w:cs="Arial" w:eastAsia="Arial" w:hAnsi="Arial"/>
                <w:sz w:val="18"/>
                <w:szCs w:val="18"/>
                <w:color w:val="0000EE"/>
                <w:w w:val="74"/>
              </w:rPr>
            </w:pPr>
            <w:hyperlink w:anchor="page61">
              <w:r>
                <w:rPr>
                  <w:rFonts w:ascii="Arial" w:cs="Arial" w:eastAsia="Arial" w:hAnsi="Arial"/>
                  <w:sz w:val="18"/>
                  <w:szCs w:val="18"/>
                  <w:color w:val="0000EE"/>
                  <w:w w:val="74"/>
                </w:rPr>
                <w:t>Item 4A.</w:t>
              </w:r>
            </w:hyperlink>
          </w:p>
        </w:tc>
        <w:tc>
          <w:tcPr>
            <w:tcW w:w="160" w:type="dxa"/>
            <w:vAlign w:val="bottom"/>
            <w:gridSpan w:val="4"/>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61">
              <w:r>
                <w:rPr>
                  <w:rFonts w:ascii="Arial" w:cs="Arial" w:eastAsia="Arial" w:hAnsi="Arial"/>
                  <w:sz w:val="18"/>
                  <w:szCs w:val="18"/>
                  <w:color w:val="0000EE"/>
                </w:rPr>
                <w:t>Unresolved Staff Comments</w:t>
              </w:r>
            </w:hyperlink>
          </w:p>
        </w:tc>
        <w:tc>
          <w:tcPr>
            <w:tcW w:w="1140" w:type="dxa"/>
            <w:vAlign w:val="bottom"/>
          </w:tcPr>
          <w:p>
            <w:pPr>
              <w:jc w:val="right"/>
              <w:spacing w:after="0" w:line="193" w:lineRule="exact"/>
              <w:rPr>
                <w:sz w:val="20"/>
                <w:szCs w:val="20"/>
                <w:color w:val="auto"/>
              </w:rPr>
            </w:pPr>
            <w:r>
              <w:rPr>
                <w:rFonts w:ascii="Arial" w:cs="Arial" w:eastAsia="Arial" w:hAnsi="Arial"/>
                <w:sz w:val="18"/>
                <w:szCs w:val="18"/>
                <w:color w:val="auto"/>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520" w:type="dxa"/>
            <w:vAlign w:val="bottom"/>
            <w:gridSpan w:val="3"/>
          </w:tcPr>
          <w:p>
            <w:pPr>
              <w:spacing w:after="0" w:line="193"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5.</w:t>
              </w:r>
            </w:hyperlink>
          </w:p>
        </w:tc>
        <w:tc>
          <w:tcPr>
            <w:tcW w:w="160" w:type="dxa"/>
            <w:vAlign w:val="bottom"/>
            <w:gridSpan w:val="4"/>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61">
              <w:r>
                <w:rPr>
                  <w:rFonts w:ascii="Arial" w:cs="Arial" w:eastAsia="Arial" w:hAnsi="Arial"/>
                  <w:sz w:val="18"/>
                  <w:szCs w:val="18"/>
                  <w:color w:val="0000EE"/>
                </w:rPr>
                <w:t>Operating and Financial Review and Prospects</w:t>
              </w:r>
            </w:hyperlink>
          </w:p>
        </w:tc>
        <w:tc>
          <w:tcPr>
            <w:tcW w:w="1140" w:type="dxa"/>
            <w:vAlign w:val="bottom"/>
          </w:tcPr>
          <w:p>
            <w:pPr>
              <w:jc w:val="right"/>
              <w:spacing w:after="0" w:line="193" w:lineRule="exact"/>
              <w:rPr>
                <w:sz w:val="20"/>
                <w:szCs w:val="20"/>
                <w:color w:val="auto"/>
              </w:rPr>
            </w:pPr>
            <w:r>
              <w:rPr>
                <w:rFonts w:ascii="Arial" w:cs="Arial" w:eastAsia="Arial" w:hAnsi="Arial"/>
                <w:sz w:val="18"/>
                <w:szCs w:val="18"/>
                <w:color w:val="auto"/>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80" w:type="dxa"/>
            <w:vAlign w:val="bottom"/>
            <w:gridSpan w:val="7"/>
          </w:tcPr>
          <w:p>
            <w:pPr>
              <w:spacing w:after="0" w:line="193" w:lineRule="exact"/>
              <w:rPr>
                <w:rFonts w:ascii="Arial" w:cs="Arial" w:eastAsia="Arial" w:hAnsi="Arial"/>
                <w:sz w:val="18"/>
                <w:szCs w:val="18"/>
                <w:color w:val="0000EE"/>
              </w:rPr>
            </w:pPr>
            <w:hyperlink w:anchor="page89">
              <w:r>
                <w:rPr>
                  <w:rFonts w:ascii="Arial" w:cs="Arial" w:eastAsia="Arial" w:hAnsi="Arial"/>
                  <w:sz w:val="18"/>
                  <w:szCs w:val="18"/>
                  <w:color w:val="0000EE"/>
                </w:rPr>
                <w:t>Item 6.</w:t>
              </w:r>
            </w:hyperlink>
          </w:p>
        </w:tc>
        <w:tc>
          <w:tcPr>
            <w:tcW w:w="8940" w:type="dxa"/>
            <w:vAlign w:val="bottom"/>
            <w:gridSpan w:val="22"/>
          </w:tcPr>
          <w:p>
            <w:pPr>
              <w:ind w:left="540"/>
              <w:spacing w:after="0" w:line="193" w:lineRule="exact"/>
              <w:rPr>
                <w:rFonts w:ascii="Arial" w:cs="Arial" w:eastAsia="Arial" w:hAnsi="Arial"/>
                <w:sz w:val="18"/>
                <w:szCs w:val="18"/>
                <w:color w:val="0000EE"/>
              </w:rPr>
            </w:pPr>
            <w:hyperlink w:anchor="page89">
              <w:r>
                <w:rPr>
                  <w:rFonts w:ascii="Arial" w:cs="Arial" w:eastAsia="Arial" w:hAnsi="Arial"/>
                  <w:sz w:val="18"/>
                  <w:szCs w:val="18"/>
                  <w:color w:val="0000EE"/>
                </w:rPr>
                <w:t>Directors, Senior Management and Employees</w:t>
              </w:r>
            </w:hyperlink>
          </w:p>
        </w:tc>
        <w:tc>
          <w:tcPr>
            <w:tcW w:w="1140" w:type="dxa"/>
            <w:vAlign w:val="bottom"/>
          </w:tcPr>
          <w:p>
            <w:pPr>
              <w:jc w:val="right"/>
              <w:spacing w:after="0" w:line="193" w:lineRule="exact"/>
              <w:rPr>
                <w:sz w:val="20"/>
                <w:szCs w:val="20"/>
                <w:color w:val="auto"/>
              </w:rPr>
            </w:pPr>
            <w:r>
              <w:rPr>
                <w:rFonts w:ascii="Arial" w:cs="Arial" w:eastAsia="Arial" w:hAnsi="Arial"/>
                <w:sz w:val="18"/>
                <w:szCs w:val="18"/>
                <w:color w:val="auto"/>
              </w:rPr>
              <w:t>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line="193" w:lineRule="exact"/>
              <w:rPr>
                <w:rFonts w:ascii="Arial" w:cs="Arial" w:eastAsia="Arial" w:hAnsi="Arial"/>
                <w:sz w:val="18"/>
                <w:szCs w:val="18"/>
                <w:color w:val="0000EE"/>
                <w:w w:val="76"/>
              </w:rPr>
            </w:pPr>
            <w:hyperlink w:anchor="page96">
              <w:r>
                <w:rPr>
                  <w:rFonts w:ascii="Arial" w:cs="Arial" w:eastAsia="Arial" w:hAnsi="Arial"/>
                  <w:sz w:val="18"/>
                  <w:szCs w:val="18"/>
                  <w:color w:val="0000EE"/>
                  <w:w w:val="76"/>
                </w:rPr>
                <w:t>Item 7.</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96">
              <w:r>
                <w:rPr>
                  <w:rFonts w:ascii="Arial" w:cs="Arial" w:eastAsia="Arial" w:hAnsi="Arial"/>
                  <w:sz w:val="18"/>
                  <w:szCs w:val="18"/>
                  <w:color w:val="0000EE"/>
                </w:rPr>
                <w:t>Major Shareholders and Related Party Transactions</w:t>
              </w:r>
            </w:hyperlink>
          </w:p>
        </w:tc>
        <w:tc>
          <w:tcPr>
            <w:tcW w:w="1140" w:type="dxa"/>
            <w:vAlign w:val="bottom"/>
          </w:tcPr>
          <w:p>
            <w:pPr>
              <w:jc w:val="right"/>
              <w:spacing w:after="0" w:line="193" w:lineRule="exact"/>
              <w:rPr>
                <w:sz w:val="20"/>
                <w:szCs w:val="20"/>
                <w:color w:val="auto"/>
              </w:rPr>
            </w:pPr>
            <w:r>
              <w:rPr>
                <w:rFonts w:ascii="Arial" w:cs="Arial" w:eastAsia="Arial" w:hAnsi="Arial"/>
                <w:sz w:val="18"/>
                <w:szCs w:val="18"/>
                <w:color w:val="auto"/>
              </w:rPr>
              <w:t>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line="193" w:lineRule="exact"/>
              <w:rPr>
                <w:rFonts w:ascii="Arial" w:cs="Arial" w:eastAsia="Arial" w:hAnsi="Arial"/>
                <w:sz w:val="18"/>
                <w:szCs w:val="18"/>
                <w:color w:val="0000EE"/>
                <w:w w:val="76"/>
              </w:rPr>
            </w:pPr>
            <w:hyperlink w:anchor="page103">
              <w:r>
                <w:rPr>
                  <w:rFonts w:ascii="Arial" w:cs="Arial" w:eastAsia="Arial" w:hAnsi="Arial"/>
                  <w:sz w:val="18"/>
                  <w:szCs w:val="18"/>
                  <w:color w:val="0000EE"/>
                  <w:w w:val="76"/>
                </w:rPr>
                <w:t>Item 8.</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03">
              <w:r>
                <w:rPr>
                  <w:rFonts w:ascii="Arial" w:cs="Arial" w:eastAsia="Arial" w:hAnsi="Arial"/>
                  <w:sz w:val="18"/>
                  <w:szCs w:val="18"/>
                  <w:color w:val="0000EE"/>
                </w:rPr>
                <w:t>Financial Information</w:t>
              </w:r>
            </w:hyperlink>
          </w:p>
        </w:tc>
        <w:tc>
          <w:tcPr>
            <w:tcW w:w="1140" w:type="dxa"/>
            <w:vAlign w:val="bottom"/>
          </w:tcPr>
          <w:p>
            <w:pPr>
              <w:jc w:val="right"/>
              <w:spacing w:after="0" w:line="193" w:lineRule="exact"/>
              <w:rPr>
                <w:sz w:val="20"/>
                <w:szCs w:val="20"/>
                <w:color w:val="auto"/>
              </w:rPr>
            </w:pPr>
            <w:r>
              <w:rPr>
                <w:rFonts w:ascii="Arial" w:cs="Arial" w:eastAsia="Arial" w:hAnsi="Arial"/>
                <w:sz w:val="18"/>
                <w:szCs w:val="18"/>
                <w:color w:val="auto"/>
              </w:rPr>
              <w:t>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line="193" w:lineRule="exact"/>
              <w:rPr>
                <w:rFonts w:ascii="Arial" w:cs="Arial" w:eastAsia="Arial" w:hAnsi="Arial"/>
                <w:sz w:val="18"/>
                <w:szCs w:val="18"/>
                <w:color w:val="0000EE"/>
                <w:w w:val="76"/>
              </w:rPr>
            </w:pPr>
            <w:hyperlink w:anchor="page104">
              <w:r>
                <w:rPr>
                  <w:rFonts w:ascii="Arial" w:cs="Arial" w:eastAsia="Arial" w:hAnsi="Arial"/>
                  <w:sz w:val="18"/>
                  <w:szCs w:val="18"/>
                  <w:color w:val="0000EE"/>
                  <w:w w:val="76"/>
                </w:rPr>
                <w:t>Item 9.</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04">
              <w:r>
                <w:rPr>
                  <w:rFonts w:ascii="Arial" w:cs="Arial" w:eastAsia="Arial" w:hAnsi="Arial"/>
                  <w:sz w:val="18"/>
                  <w:szCs w:val="18"/>
                  <w:color w:val="0000EE"/>
                </w:rPr>
                <w:t>The Offer and Listing</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rPr>
                <w:rFonts w:ascii="Arial" w:cs="Arial" w:eastAsia="Arial" w:hAnsi="Arial"/>
                <w:sz w:val="16"/>
                <w:szCs w:val="16"/>
                <w:color w:val="0000EE"/>
                <w:w w:val="72"/>
              </w:rPr>
            </w:pPr>
            <w:hyperlink w:anchor="page104">
              <w:r>
                <w:rPr>
                  <w:rFonts w:ascii="Arial" w:cs="Arial" w:eastAsia="Arial" w:hAnsi="Arial"/>
                  <w:sz w:val="16"/>
                  <w:szCs w:val="16"/>
                  <w:color w:val="0000EE"/>
                  <w:w w:val="72"/>
                </w:rPr>
                <w:t>Item 10.</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04">
              <w:r>
                <w:rPr>
                  <w:rFonts w:ascii="Arial" w:cs="Arial" w:eastAsia="Arial" w:hAnsi="Arial"/>
                  <w:sz w:val="18"/>
                  <w:szCs w:val="18"/>
                  <w:color w:val="0000EE"/>
                </w:rPr>
                <w:t>Additional Information</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rPr>
                <w:rFonts w:ascii="Arial" w:cs="Arial" w:eastAsia="Arial" w:hAnsi="Arial"/>
                <w:sz w:val="16"/>
                <w:szCs w:val="16"/>
                <w:color w:val="0000EE"/>
                <w:w w:val="72"/>
              </w:rPr>
            </w:pPr>
            <w:hyperlink w:anchor="page116">
              <w:r>
                <w:rPr>
                  <w:rFonts w:ascii="Arial" w:cs="Arial" w:eastAsia="Arial" w:hAnsi="Arial"/>
                  <w:sz w:val="16"/>
                  <w:szCs w:val="16"/>
                  <w:color w:val="0000EE"/>
                  <w:w w:val="72"/>
                </w:rPr>
                <w:t>Item 11.</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6">
              <w:r>
                <w:rPr>
                  <w:rFonts w:ascii="Arial" w:cs="Arial" w:eastAsia="Arial" w:hAnsi="Arial"/>
                  <w:sz w:val="18"/>
                  <w:szCs w:val="18"/>
                  <w:color w:val="0000EE"/>
                </w:rPr>
                <w:t>Quantitative and Qualitative Disclosures About Market Risk</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rPr>
                <w:rFonts w:ascii="Arial" w:cs="Arial" w:eastAsia="Arial" w:hAnsi="Arial"/>
                <w:sz w:val="16"/>
                <w:szCs w:val="16"/>
                <w:color w:val="0000EE"/>
                <w:w w:val="72"/>
              </w:rPr>
            </w:pPr>
            <w:hyperlink w:anchor="page117">
              <w:r>
                <w:rPr>
                  <w:rFonts w:ascii="Arial" w:cs="Arial" w:eastAsia="Arial" w:hAnsi="Arial"/>
                  <w:sz w:val="16"/>
                  <w:szCs w:val="16"/>
                  <w:color w:val="0000EE"/>
                  <w:w w:val="72"/>
                </w:rPr>
                <w:t>Item 12.</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7">
              <w:r>
                <w:rPr>
                  <w:rFonts w:ascii="Arial" w:cs="Arial" w:eastAsia="Arial" w:hAnsi="Arial"/>
                  <w:sz w:val="18"/>
                  <w:szCs w:val="18"/>
                  <w:color w:val="0000EE"/>
                </w:rPr>
                <w:t>Description of Securities Other than Equity Securities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4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60" w:type="dxa"/>
            <w:vAlign w:val="bottom"/>
            <w:tcBorders>
              <w:bottom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Borders>
              <w:bottom w:val="single" w:sz="8" w:color="0000EE"/>
            </w:tcBorders>
          </w:tcPr>
          <w:p>
            <w:pPr>
              <w:spacing w:after="0"/>
              <w:rPr>
                <w:rFonts w:ascii="Arial" w:cs="Arial" w:eastAsia="Arial" w:hAnsi="Arial"/>
                <w:sz w:val="18"/>
                <w:szCs w:val="18"/>
                <w:color w:val="0000EE"/>
                <w:w w:val="98"/>
              </w:rPr>
            </w:pPr>
            <w:hyperlink w:anchor="page118">
              <w:r>
                <w:rPr>
                  <w:rFonts w:ascii="Arial" w:cs="Arial" w:eastAsia="Arial" w:hAnsi="Arial"/>
                  <w:sz w:val="18"/>
                  <w:szCs w:val="18"/>
                  <w:color w:val="0000EE"/>
                  <w:w w:val="98"/>
                </w:rPr>
                <w:t>PART II</w:t>
              </w:r>
            </w:hyperlink>
          </w:p>
        </w:tc>
        <w:tc>
          <w:tcPr>
            <w:tcW w:w="6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06"/>
        </w:trPr>
        <w:tc>
          <w:tcPr>
            <w:tcW w:w="66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82"/>
              </w:rPr>
            </w:pPr>
            <w:hyperlink w:anchor="page118">
              <w:r>
                <w:rPr>
                  <w:rFonts w:ascii="Arial" w:cs="Arial" w:eastAsia="Arial" w:hAnsi="Arial"/>
                  <w:sz w:val="18"/>
                  <w:szCs w:val="18"/>
                  <w:color w:val="0000EE"/>
                  <w:w w:val="82"/>
                </w:rPr>
                <w:t>Item 13.</w:t>
              </w:r>
            </w:hyperlink>
          </w:p>
        </w:tc>
        <w:tc>
          <w:tcPr>
            <w:tcW w:w="120" w:type="dxa"/>
            <w:vAlign w:val="bottom"/>
            <w:gridSpan w:val="3"/>
          </w:tcPr>
          <w:p>
            <w:pPr>
              <w:spacing w:after="0"/>
              <w:rPr>
                <w:sz w:val="24"/>
                <w:szCs w:val="24"/>
                <w:color w:val="auto"/>
              </w:rPr>
            </w:pPr>
          </w:p>
        </w:tc>
        <w:tc>
          <w:tcPr>
            <w:tcW w:w="8940" w:type="dxa"/>
            <w:vAlign w:val="bottom"/>
            <w:gridSpan w:val="22"/>
          </w:tcPr>
          <w:p>
            <w:pPr>
              <w:ind w:left="540"/>
              <w:spacing w:after="0"/>
              <w:rPr>
                <w:rFonts w:ascii="Arial" w:cs="Arial" w:eastAsia="Arial" w:hAnsi="Arial"/>
                <w:sz w:val="18"/>
                <w:szCs w:val="18"/>
                <w:color w:val="0000EE"/>
              </w:rPr>
            </w:pPr>
            <w:hyperlink w:anchor="page118">
              <w:r>
                <w:rPr>
                  <w:rFonts w:ascii="Arial" w:cs="Arial" w:eastAsia="Arial" w:hAnsi="Arial"/>
                  <w:sz w:val="18"/>
                  <w:szCs w:val="18"/>
                  <w:color w:val="0000EE"/>
                </w:rPr>
                <w:t>Defaults, Dividend Arrearages and Delinquencies</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rPr>
                <w:rFonts w:ascii="Arial" w:cs="Arial" w:eastAsia="Arial" w:hAnsi="Arial"/>
                <w:sz w:val="16"/>
                <w:szCs w:val="16"/>
                <w:color w:val="0000EE"/>
                <w:w w:val="72"/>
              </w:rPr>
            </w:pPr>
            <w:hyperlink w:anchor="page118">
              <w:r>
                <w:rPr>
                  <w:rFonts w:ascii="Arial" w:cs="Arial" w:eastAsia="Arial" w:hAnsi="Arial"/>
                  <w:sz w:val="16"/>
                  <w:szCs w:val="16"/>
                  <w:color w:val="0000EE"/>
                  <w:w w:val="72"/>
                </w:rPr>
                <w:t>Item 14.</w:t>
              </w:r>
            </w:hyperlink>
          </w:p>
        </w:tc>
        <w:tc>
          <w:tcPr>
            <w:tcW w:w="100" w:type="dxa"/>
            <w:vAlign w:val="bottom"/>
            <w:gridSpan w:val="2"/>
          </w:tcPr>
          <w:p>
            <w:pPr>
              <w:spacing w:after="0"/>
              <w:rPr>
                <w:sz w:val="16"/>
                <w:szCs w:val="16"/>
                <w:color w:val="auto"/>
              </w:rPr>
            </w:pPr>
          </w:p>
        </w:tc>
        <w:tc>
          <w:tcPr>
            <w:tcW w:w="120" w:type="dxa"/>
            <w:vAlign w:val="bottom"/>
            <w:gridSpan w:val="3"/>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8">
              <w:r>
                <w:rPr>
                  <w:rFonts w:ascii="Arial" w:cs="Arial" w:eastAsia="Arial" w:hAnsi="Arial"/>
                  <w:sz w:val="18"/>
                  <w:szCs w:val="18"/>
                  <w:color w:val="0000EE"/>
                </w:rPr>
                <w:t>Material Modifications to the Rights of Security Holders and Use of Proceeds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rPr>
                <w:rFonts w:ascii="Arial" w:cs="Arial" w:eastAsia="Arial" w:hAnsi="Arial"/>
                <w:sz w:val="16"/>
                <w:szCs w:val="16"/>
                <w:color w:val="0000EE"/>
                <w:w w:val="72"/>
              </w:rPr>
            </w:pPr>
            <w:hyperlink w:anchor="page118">
              <w:r>
                <w:rPr>
                  <w:rFonts w:ascii="Arial" w:cs="Arial" w:eastAsia="Arial" w:hAnsi="Arial"/>
                  <w:sz w:val="16"/>
                  <w:szCs w:val="16"/>
                  <w:color w:val="0000EE"/>
                  <w:w w:val="72"/>
                </w:rPr>
                <w:t>Item 15.</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00" w:type="dxa"/>
            <w:vAlign w:val="bottom"/>
            <w:gridSpan w:val="6"/>
          </w:tcPr>
          <w:p>
            <w:pPr>
              <w:spacing w:after="0" w:line="193" w:lineRule="exact"/>
              <w:rPr>
                <w:rFonts w:ascii="Arial" w:cs="Arial" w:eastAsia="Arial" w:hAnsi="Arial"/>
                <w:sz w:val="18"/>
                <w:szCs w:val="18"/>
                <w:color w:val="0000EE"/>
                <w:w w:val="75"/>
              </w:rPr>
            </w:pPr>
            <w:hyperlink w:anchor="page118">
              <w:r>
                <w:rPr>
                  <w:rFonts w:ascii="Arial" w:cs="Arial" w:eastAsia="Arial" w:hAnsi="Arial"/>
                  <w:sz w:val="18"/>
                  <w:szCs w:val="18"/>
                  <w:color w:val="0000EE"/>
                  <w:w w:val="75"/>
                </w:rPr>
                <w:t>Item 16A.</w:t>
              </w:r>
            </w:hyperlink>
          </w:p>
        </w:tc>
        <w:tc>
          <w:tcPr>
            <w:tcW w:w="80" w:type="dxa"/>
            <w:vAlign w:val="bottom"/>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8">
              <w:r>
                <w:rPr>
                  <w:rFonts w:ascii="Arial" w:cs="Arial" w:eastAsia="Arial" w:hAnsi="Arial"/>
                  <w:sz w:val="18"/>
                  <w:szCs w:val="18"/>
                  <w:color w:val="0000EE"/>
                </w:rPr>
                <w:t>Audit Committee Financial Expert</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00" w:type="dxa"/>
            <w:vAlign w:val="bottom"/>
            <w:gridSpan w:val="6"/>
          </w:tcPr>
          <w:p>
            <w:pPr>
              <w:spacing w:after="0" w:line="193" w:lineRule="exact"/>
              <w:rPr>
                <w:rFonts w:ascii="Arial" w:cs="Arial" w:eastAsia="Arial" w:hAnsi="Arial"/>
                <w:sz w:val="18"/>
                <w:szCs w:val="18"/>
                <w:color w:val="0000EE"/>
                <w:w w:val="75"/>
              </w:rPr>
            </w:pPr>
            <w:hyperlink w:anchor="page118">
              <w:r>
                <w:rPr>
                  <w:rFonts w:ascii="Arial" w:cs="Arial" w:eastAsia="Arial" w:hAnsi="Arial"/>
                  <w:sz w:val="18"/>
                  <w:szCs w:val="18"/>
                  <w:color w:val="0000EE"/>
                  <w:w w:val="75"/>
                </w:rPr>
                <w:t>Item 16B.</w:t>
              </w:r>
            </w:hyperlink>
          </w:p>
        </w:tc>
        <w:tc>
          <w:tcPr>
            <w:tcW w:w="80" w:type="dxa"/>
            <w:vAlign w:val="bottom"/>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8">
              <w:r>
                <w:rPr>
                  <w:rFonts w:ascii="Arial" w:cs="Arial" w:eastAsia="Arial" w:hAnsi="Arial"/>
                  <w:sz w:val="18"/>
                  <w:szCs w:val="18"/>
                  <w:color w:val="0000EE"/>
                </w:rPr>
                <w:t>Code of Ethics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80" w:type="dxa"/>
            <w:vAlign w:val="bottom"/>
            <w:gridSpan w:val="7"/>
          </w:tcPr>
          <w:p>
            <w:pPr>
              <w:spacing w:after="0" w:line="193" w:lineRule="exact"/>
              <w:rPr>
                <w:rFonts w:ascii="Arial" w:cs="Arial" w:eastAsia="Arial" w:hAnsi="Arial"/>
                <w:sz w:val="18"/>
                <w:szCs w:val="18"/>
                <w:color w:val="0000EE"/>
                <w:w w:val="84"/>
              </w:rPr>
            </w:pPr>
            <w:hyperlink w:anchor="page119">
              <w:r>
                <w:rPr>
                  <w:rFonts w:ascii="Arial" w:cs="Arial" w:eastAsia="Arial" w:hAnsi="Arial"/>
                  <w:sz w:val="18"/>
                  <w:szCs w:val="18"/>
                  <w:color w:val="0000EE"/>
                  <w:w w:val="84"/>
                </w:rPr>
                <w:t>Item 16C.</w:t>
              </w:r>
            </w:hyperlink>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9">
              <w:r>
                <w:rPr>
                  <w:rFonts w:ascii="Arial" w:cs="Arial" w:eastAsia="Arial" w:hAnsi="Arial"/>
                  <w:sz w:val="18"/>
                  <w:szCs w:val="18"/>
                  <w:color w:val="0000EE"/>
                </w:rPr>
                <w:t>Principal Accountant Fees and Services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00" w:type="dxa"/>
            <w:vAlign w:val="bottom"/>
            <w:gridSpan w:val="6"/>
          </w:tcPr>
          <w:p>
            <w:pPr>
              <w:spacing w:after="0" w:line="193" w:lineRule="exact"/>
              <w:rPr>
                <w:rFonts w:ascii="Arial" w:cs="Arial" w:eastAsia="Arial" w:hAnsi="Arial"/>
                <w:sz w:val="18"/>
                <w:szCs w:val="18"/>
                <w:color w:val="0000EE"/>
                <w:w w:val="74"/>
              </w:rPr>
            </w:pPr>
            <w:hyperlink w:anchor="page119">
              <w:r>
                <w:rPr>
                  <w:rFonts w:ascii="Arial" w:cs="Arial" w:eastAsia="Arial" w:hAnsi="Arial"/>
                  <w:sz w:val="18"/>
                  <w:szCs w:val="18"/>
                  <w:color w:val="0000EE"/>
                  <w:w w:val="74"/>
                </w:rPr>
                <w:t>Item 16D.</w:t>
              </w:r>
            </w:hyperlink>
          </w:p>
        </w:tc>
        <w:tc>
          <w:tcPr>
            <w:tcW w:w="80" w:type="dxa"/>
            <w:vAlign w:val="bottom"/>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19">
              <w:r>
                <w:rPr>
                  <w:rFonts w:ascii="Arial" w:cs="Arial" w:eastAsia="Arial" w:hAnsi="Arial"/>
                  <w:sz w:val="18"/>
                  <w:szCs w:val="18"/>
                  <w:color w:val="0000EE"/>
                </w:rPr>
                <w:t>Exemptions from the Listing Standards for Audit Committees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720" w:type="dxa"/>
            <w:vAlign w:val="bottom"/>
            <w:tcBorders>
              <w:left w:val="single" w:sz="8" w:color="0000EE"/>
            </w:tcBorders>
            <w:gridSpan w:val="6"/>
            <w:shd w:val="clear" w:color="auto" w:fill="0000EE"/>
          </w:tcPr>
          <w:p>
            <w:pPr>
              <w:spacing w:after="0" w:line="20" w:lineRule="exact"/>
              <w:rPr>
                <w:sz w:val="1"/>
                <w:szCs w:val="1"/>
                <w:color w:val="auto"/>
              </w:rPr>
            </w:pPr>
          </w:p>
        </w:tc>
        <w:tc>
          <w:tcPr>
            <w:tcW w:w="1060" w:type="dxa"/>
            <w:vAlign w:val="bottom"/>
            <w:tcBorders>
              <w:left w:val="single" w:sz="8" w:color="0000EE"/>
            </w:tcBorders>
            <w:gridSpan w:val="6"/>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00" w:type="dxa"/>
            <w:vAlign w:val="bottom"/>
            <w:gridSpan w:val="6"/>
          </w:tcPr>
          <w:p>
            <w:pPr>
              <w:spacing w:after="0" w:line="193" w:lineRule="exact"/>
              <w:rPr>
                <w:rFonts w:ascii="Arial" w:cs="Arial" w:eastAsia="Arial" w:hAnsi="Arial"/>
                <w:sz w:val="18"/>
                <w:szCs w:val="18"/>
                <w:color w:val="0000EE"/>
                <w:w w:val="75"/>
              </w:rPr>
            </w:pPr>
            <w:hyperlink w:anchor="page120">
              <w:r>
                <w:rPr>
                  <w:rFonts w:ascii="Arial" w:cs="Arial" w:eastAsia="Arial" w:hAnsi="Arial"/>
                  <w:sz w:val="18"/>
                  <w:szCs w:val="18"/>
                  <w:color w:val="0000EE"/>
                  <w:w w:val="75"/>
                </w:rPr>
                <w:t>Item 16E.</w:t>
              </w:r>
            </w:hyperlink>
          </w:p>
        </w:tc>
        <w:tc>
          <w:tcPr>
            <w:tcW w:w="80" w:type="dxa"/>
            <w:vAlign w:val="bottom"/>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20">
              <w:r>
                <w:rPr>
                  <w:rFonts w:ascii="Arial" w:cs="Arial" w:eastAsia="Arial" w:hAnsi="Arial"/>
                  <w:sz w:val="18"/>
                  <w:szCs w:val="18"/>
                  <w:color w:val="0000EE"/>
                </w:rPr>
                <w:t>Purchases of Equity Securities by the Issuer and Affiliated Purchasers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720" w:type="dxa"/>
            <w:vAlign w:val="bottom"/>
            <w:tcBorders>
              <w:left w:val="single" w:sz="8" w:color="0000EE"/>
            </w:tcBorders>
            <w:gridSpan w:val="6"/>
            <w:shd w:val="clear" w:color="auto" w:fill="0000EE"/>
          </w:tcPr>
          <w:p>
            <w:pPr>
              <w:spacing w:after="0" w:line="20" w:lineRule="exact"/>
              <w:rPr>
                <w:sz w:val="1"/>
                <w:szCs w:val="1"/>
                <w:color w:val="auto"/>
              </w:rPr>
            </w:pPr>
          </w:p>
        </w:tc>
        <w:tc>
          <w:tcPr>
            <w:tcW w:w="1640" w:type="dxa"/>
            <w:vAlign w:val="bottom"/>
            <w:tcBorders>
              <w:left w:val="single" w:sz="8" w:color="0000EE"/>
            </w:tcBorders>
            <w:gridSpan w:val="7"/>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560" w:type="dxa"/>
            <w:vAlign w:val="bottom"/>
            <w:gridSpan w:val="4"/>
          </w:tcPr>
          <w:p>
            <w:pPr>
              <w:spacing w:after="0" w:line="193" w:lineRule="exact"/>
              <w:rPr>
                <w:rFonts w:ascii="Arial" w:cs="Arial" w:eastAsia="Arial" w:hAnsi="Arial"/>
                <w:sz w:val="18"/>
                <w:szCs w:val="18"/>
                <w:color w:val="0000EE"/>
                <w:w w:val="70"/>
              </w:rPr>
            </w:pPr>
            <w:hyperlink w:anchor="page120">
              <w:r>
                <w:rPr>
                  <w:rFonts w:ascii="Arial" w:cs="Arial" w:eastAsia="Arial" w:hAnsi="Arial"/>
                  <w:sz w:val="18"/>
                  <w:szCs w:val="18"/>
                  <w:color w:val="0000EE"/>
                  <w:w w:val="70"/>
                </w:rPr>
                <w:t>Item 16F.</w:t>
              </w:r>
            </w:hyperlink>
          </w:p>
        </w:tc>
        <w:tc>
          <w:tcPr>
            <w:tcW w:w="120" w:type="dxa"/>
            <w:vAlign w:val="bottom"/>
            <w:gridSpan w:val="3"/>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20">
              <w:r>
                <w:rPr>
                  <w:rFonts w:ascii="Arial" w:cs="Arial" w:eastAsia="Arial" w:hAnsi="Arial"/>
                  <w:sz w:val="18"/>
                  <w:szCs w:val="18"/>
                  <w:color w:val="0000EE"/>
                </w:rPr>
                <w:t>Change in Registrant’s Certifying Accountants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720" w:type="dxa"/>
            <w:vAlign w:val="bottom"/>
            <w:tcBorders>
              <w:left w:val="single" w:sz="8" w:color="0000EE"/>
            </w:tcBorders>
            <w:gridSpan w:val="6"/>
            <w:shd w:val="clear" w:color="auto" w:fill="0000EE"/>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80" w:type="dxa"/>
            <w:vAlign w:val="bottom"/>
            <w:gridSpan w:val="7"/>
          </w:tcPr>
          <w:p>
            <w:pPr>
              <w:spacing w:after="0" w:line="193" w:lineRule="exact"/>
              <w:rPr>
                <w:rFonts w:ascii="Arial" w:cs="Arial" w:eastAsia="Arial" w:hAnsi="Arial"/>
                <w:sz w:val="18"/>
                <w:szCs w:val="18"/>
                <w:color w:val="0000EE"/>
                <w:w w:val="83"/>
              </w:rPr>
            </w:pPr>
            <w:hyperlink w:anchor="page120">
              <w:r>
                <w:rPr>
                  <w:rFonts w:ascii="Arial" w:cs="Arial" w:eastAsia="Arial" w:hAnsi="Arial"/>
                  <w:sz w:val="18"/>
                  <w:szCs w:val="18"/>
                  <w:color w:val="0000EE"/>
                  <w:w w:val="83"/>
                </w:rPr>
                <w:t>Item 16G.</w:t>
              </w:r>
            </w:hyperlink>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20">
              <w:r>
                <w:rPr>
                  <w:rFonts w:ascii="Arial" w:cs="Arial" w:eastAsia="Arial" w:hAnsi="Arial"/>
                  <w:sz w:val="18"/>
                  <w:szCs w:val="18"/>
                  <w:color w:val="0000EE"/>
                </w:rPr>
                <w:t>Corporate Governance</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800" w:type="dxa"/>
            <w:vAlign w:val="bottom"/>
            <w:gridSpan w:val="15"/>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00" w:type="dxa"/>
            <w:vAlign w:val="bottom"/>
            <w:gridSpan w:val="6"/>
          </w:tcPr>
          <w:p>
            <w:pPr>
              <w:spacing w:after="0" w:line="193" w:lineRule="exact"/>
              <w:rPr>
                <w:rFonts w:ascii="Arial" w:cs="Arial" w:eastAsia="Arial" w:hAnsi="Arial"/>
                <w:sz w:val="18"/>
                <w:szCs w:val="18"/>
                <w:color w:val="0000EE"/>
                <w:w w:val="74"/>
              </w:rPr>
            </w:pPr>
            <w:hyperlink w:anchor="page120">
              <w:r>
                <w:rPr>
                  <w:rFonts w:ascii="Arial" w:cs="Arial" w:eastAsia="Arial" w:hAnsi="Arial"/>
                  <w:sz w:val="18"/>
                  <w:szCs w:val="18"/>
                  <w:color w:val="0000EE"/>
                  <w:w w:val="74"/>
                </w:rPr>
                <w:t>Item 16H.</w:t>
              </w:r>
            </w:hyperlink>
          </w:p>
        </w:tc>
        <w:tc>
          <w:tcPr>
            <w:tcW w:w="80" w:type="dxa"/>
            <w:vAlign w:val="bottom"/>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20">
              <w:r>
                <w:rPr>
                  <w:rFonts w:ascii="Arial" w:cs="Arial" w:eastAsia="Arial" w:hAnsi="Arial"/>
                  <w:sz w:val="18"/>
                  <w:szCs w:val="18"/>
                  <w:color w:val="0000EE"/>
                </w:rPr>
                <w:t>Mine Safety Disclosure</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60" w:type="dxa"/>
            <w:vAlign w:val="bottom"/>
            <w:tcBorders>
              <w:bottom w:val="single" w:sz="8" w:color="0000EE"/>
            </w:tcBorders>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PART III</w:t>
              </w:r>
            </w:hyperlink>
          </w:p>
        </w:tc>
        <w:tc>
          <w:tcPr>
            <w:tcW w:w="6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406"/>
        </w:trPr>
        <w:tc>
          <w:tcPr>
            <w:tcW w:w="66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6"/>
                <w:szCs w:val="16"/>
                <w:color w:val="0000EE"/>
                <w:w w:val="72"/>
              </w:rPr>
            </w:pPr>
            <w:hyperlink w:anchor="page120">
              <w:r>
                <w:rPr>
                  <w:rFonts w:ascii="Arial" w:cs="Arial" w:eastAsia="Arial" w:hAnsi="Arial"/>
                  <w:sz w:val="16"/>
                  <w:szCs w:val="16"/>
                  <w:color w:val="0000EE"/>
                  <w:w w:val="72"/>
                </w:rPr>
                <w:t>Item 17.</w:t>
              </w:r>
            </w:hyperlink>
          </w:p>
        </w:tc>
        <w:tc>
          <w:tcPr>
            <w:tcW w:w="220" w:type="dxa"/>
            <w:vAlign w:val="bottom"/>
            <w:gridSpan w:val="5"/>
          </w:tcPr>
          <w:p>
            <w:pPr>
              <w:spacing w:after="0"/>
              <w:rPr>
                <w:sz w:val="24"/>
                <w:szCs w:val="24"/>
                <w:color w:val="auto"/>
              </w:rPr>
            </w:pPr>
          </w:p>
        </w:tc>
        <w:tc>
          <w:tcPr>
            <w:tcW w:w="8940" w:type="dxa"/>
            <w:vAlign w:val="bottom"/>
            <w:gridSpan w:val="22"/>
          </w:tcPr>
          <w:p>
            <w:pPr>
              <w:ind w:left="540"/>
              <w:spacing w:after="0"/>
              <w:rPr>
                <w:rFonts w:ascii="Arial" w:cs="Arial" w:eastAsia="Arial" w:hAnsi="Arial"/>
                <w:sz w:val="18"/>
                <w:szCs w:val="18"/>
                <w:color w:val="0000EE"/>
              </w:rPr>
            </w:pPr>
            <w:hyperlink w:anchor="page120">
              <w:r>
                <w:rPr>
                  <w:rFonts w:ascii="Arial" w:cs="Arial" w:eastAsia="Arial" w:hAnsi="Arial"/>
                  <w:sz w:val="18"/>
                  <w:szCs w:val="18"/>
                  <w:color w:val="0000EE"/>
                </w:rPr>
                <w:t>Financial Statements</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460" w:type="dxa"/>
            <w:vAlign w:val="bottom"/>
            <w:gridSpan w:val="2"/>
          </w:tcPr>
          <w:p>
            <w:pPr>
              <w:spacing w:after="0"/>
              <w:rPr>
                <w:rFonts w:ascii="Arial" w:cs="Arial" w:eastAsia="Arial" w:hAnsi="Arial"/>
                <w:sz w:val="16"/>
                <w:szCs w:val="16"/>
                <w:color w:val="0000EE"/>
                <w:w w:val="72"/>
              </w:rPr>
            </w:pPr>
            <w:hyperlink w:anchor="page120">
              <w:r>
                <w:rPr>
                  <w:rFonts w:ascii="Arial" w:cs="Arial" w:eastAsia="Arial" w:hAnsi="Arial"/>
                  <w:sz w:val="16"/>
                  <w:szCs w:val="16"/>
                  <w:color w:val="0000EE"/>
                  <w:w w:val="72"/>
                </w:rPr>
                <w:t>Item 18.</w:t>
              </w:r>
            </w:hyperlink>
          </w:p>
        </w:tc>
        <w:tc>
          <w:tcPr>
            <w:tcW w:w="220" w:type="dxa"/>
            <w:vAlign w:val="bottom"/>
            <w:gridSpan w:val="5"/>
          </w:tcPr>
          <w:p>
            <w:pPr>
              <w:spacing w:after="0"/>
              <w:rPr>
                <w:sz w:val="16"/>
                <w:szCs w:val="16"/>
                <w:color w:val="auto"/>
              </w:rPr>
            </w:pPr>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20">
              <w:r>
                <w:rPr>
                  <w:rFonts w:ascii="Arial" w:cs="Arial" w:eastAsia="Arial" w:hAnsi="Arial"/>
                  <w:sz w:val="18"/>
                  <w:szCs w:val="18"/>
                  <w:color w:val="0000EE"/>
                </w:rPr>
                <w:t>Financial Statements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680" w:type="dxa"/>
            <w:vAlign w:val="bottom"/>
            <w:gridSpan w:val="7"/>
          </w:tcPr>
          <w:p>
            <w:pPr>
              <w:spacing w:after="0" w:line="193" w:lineRule="exact"/>
              <w:rPr>
                <w:rFonts w:ascii="Arial" w:cs="Arial" w:eastAsia="Arial" w:hAnsi="Arial"/>
                <w:sz w:val="18"/>
                <w:szCs w:val="18"/>
                <w:color w:val="0000EE"/>
              </w:rPr>
            </w:pPr>
            <w:hyperlink w:anchor="page121">
              <w:r>
                <w:rPr>
                  <w:rFonts w:ascii="Arial" w:cs="Arial" w:eastAsia="Arial" w:hAnsi="Arial"/>
                  <w:sz w:val="18"/>
                  <w:szCs w:val="18"/>
                  <w:color w:val="0000EE"/>
                </w:rPr>
                <w:t>Item 19.</w:t>
              </w:r>
            </w:hyperlink>
          </w:p>
        </w:tc>
        <w:tc>
          <w:tcPr>
            <w:tcW w:w="8940" w:type="dxa"/>
            <w:vAlign w:val="bottom"/>
            <w:gridSpan w:val="22"/>
          </w:tcPr>
          <w:p>
            <w:pPr>
              <w:ind w:left="540"/>
              <w:spacing w:after="0" w:line="193" w:lineRule="exact"/>
              <w:rPr>
                <w:rFonts w:ascii="Arial" w:cs="Arial" w:eastAsia="Arial" w:hAnsi="Arial"/>
                <w:sz w:val="18"/>
                <w:szCs w:val="18"/>
                <w:color w:val="0000EE"/>
              </w:rPr>
            </w:pPr>
            <w:hyperlink w:anchor="page121">
              <w:r>
                <w:rPr>
                  <w:rFonts w:ascii="Arial" w:cs="Arial" w:eastAsia="Arial" w:hAnsi="Arial"/>
                  <w:sz w:val="18"/>
                  <w:szCs w:val="18"/>
                  <w:color w:val="0000EE"/>
                </w:rPr>
                <w:t>Exhibits</w:t>
              </w:r>
            </w:hyperlink>
          </w:p>
        </w:tc>
        <w:tc>
          <w:tcPr>
            <w:tcW w:w="1180" w:type="dxa"/>
            <w:vAlign w:val="bottom"/>
            <w:gridSpan w:val="2"/>
          </w:tcPr>
          <w:p>
            <w:pPr>
              <w:jc w:val="right"/>
              <w:ind w:right="40"/>
              <w:spacing w:after="0" w:line="19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63"/>
        </w:trPr>
        <w:tc>
          <w:tcPr>
            <w:tcW w:w="660" w:type="dxa"/>
            <w:vAlign w:val="bottom"/>
            <w:tcBorders>
              <w:bottom w:val="single" w:sz="8" w:color="808080"/>
            </w:tcBorders>
          </w:tcPr>
          <w:p>
            <w:pPr>
              <w:spacing w:after="0"/>
              <w:rPr>
                <w:sz w:val="24"/>
                <w:szCs w:val="24"/>
                <w:color w:val="auto"/>
              </w:rPr>
            </w:pPr>
          </w:p>
        </w:tc>
        <w:tc>
          <w:tcPr>
            <w:tcW w:w="3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right="20" w:firstLine="639"/>
        <w:spacing w:after="0" w:line="252" w:lineRule="auto"/>
        <w:rPr>
          <w:sz w:val="20"/>
          <w:szCs w:val="20"/>
          <w:color w:val="auto"/>
        </w:rPr>
      </w:pPr>
      <w:r>
        <w:rPr>
          <w:rFonts w:ascii="Arial" w:cs="Arial" w:eastAsia="Arial" w:hAnsi="Arial"/>
          <w:sz w:val="18"/>
          <w:szCs w:val="18"/>
          <w:color w:val="auto"/>
        </w:rPr>
        <w:t>This annual report on Form 20-F includes our audited consolidated financial statements as of December 31, 2017 and 2018 and for the years ended December 31, 2016, 2017 and 2018. Translations in this annual report of amounts from RMB into U.S. dollars for the convenience of the reader were calculated at the noon buying rate of US$1.00: RMB6.8755 on the last trading day of 2018 (December 31, 2018) as set forth in the H.10 statistical release of the U.S. Federal Reserve Board. References to “China” and “PRC” are to the People’s Republic of China, excluding, for the purposes of this annual report only, Hong Kong, Macau and Taiwan.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5" w:lineRule="exact"/>
        <w:rPr>
          <w:sz w:val="20"/>
          <w:szCs w:val="20"/>
          <w:color w:val="auto"/>
        </w:rPr>
      </w:pPr>
    </w:p>
    <w:p>
      <w:pPr>
        <w:ind w:firstLine="639"/>
        <w:spacing w:after="0" w:line="295"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61" w:lineRule="exact"/>
        <w:rPr>
          <w:sz w:val="20"/>
          <w:szCs w:val="20"/>
          <w:color w:val="auto"/>
        </w:rPr>
      </w:pPr>
    </w:p>
    <w:p>
      <w:pPr>
        <w:ind w:left="640" w:right="20" w:hanging="314"/>
        <w:spacing w:after="0" w:line="257" w:lineRule="auto"/>
        <w:tabs>
          <w:tab w:leader="none" w:pos="6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online game market, including mobile games and PC-client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87" w:lineRule="exact"/>
        <w:rPr>
          <w:rFonts w:ascii="Arial" w:cs="Arial" w:eastAsia="Arial" w:hAnsi="Arial"/>
          <w:sz w:val="18"/>
          <w:szCs w:val="18"/>
          <w:color w:val="auto"/>
        </w:rPr>
      </w:pPr>
    </w:p>
    <w:p>
      <w:pPr>
        <w:ind w:left="640" w:right="380" w:hanging="314"/>
        <w:spacing w:after="0" w:line="267" w:lineRule="auto"/>
        <w:tabs>
          <w:tab w:leader="none" w:pos="6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successful in our product diversification efforts, including our focus on item-based games and mobile games, entry into strategic licensing arrangements, and expansion of our mobile Internet and e-commerce offerings;</w:t>
      </w:r>
    </w:p>
    <w:p>
      <w:pPr>
        <w:spacing w:after="0" w:line="178" w:lineRule="exact"/>
        <w:rPr>
          <w:rFonts w:ascii="Arial" w:cs="Arial" w:eastAsia="Arial" w:hAnsi="Arial"/>
          <w:sz w:val="18"/>
          <w:szCs w:val="18"/>
          <w:color w:val="auto"/>
        </w:rPr>
      </w:pPr>
    </w:p>
    <w:p>
      <w:pPr>
        <w:ind w:left="640" w:right="140" w:hanging="314"/>
        <w:spacing w:after="0" w:line="267" w:lineRule="auto"/>
        <w:tabs>
          <w:tab w:leader="none" w:pos="6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changes in Chinese government regulation of the online game or e-commerce markets that limit future growth of our revenues or cause our revenues to decline;</w:t>
      </w:r>
    </w:p>
    <w:p>
      <w:pPr>
        <w:spacing w:after="0" w:line="178" w:lineRule="exact"/>
        <w:rPr>
          <w:rFonts w:ascii="Arial" w:cs="Arial" w:eastAsia="Arial" w:hAnsi="Arial"/>
          <w:sz w:val="18"/>
          <w:szCs w:val="18"/>
          <w:color w:val="auto"/>
        </w:rPr>
      </w:pPr>
    </w:p>
    <w:p>
      <w:pPr>
        <w:ind w:left="640" w:right="560" w:hanging="314"/>
        <w:spacing w:after="0" w:line="267" w:lineRule="auto"/>
        <w:tabs>
          <w:tab w:leader="none" w:pos="6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not be able to continuously develop new and creative online services or that we will not be able to set, or follow in a timely manner, trends in the market;</w:t>
      </w:r>
    </w:p>
    <w:p>
      <w:pPr>
        <w:spacing w:after="0" w:line="178" w:lineRule="exact"/>
        <w:rPr>
          <w:rFonts w:ascii="Arial" w:cs="Arial" w:eastAsia="Arial" w:hAnsi="Arial"/>
          <w:sz w:val="18"/>
          <w:szCs w:val="18"/>
          <w:color w:val="auto"/>
        </w:rPr>
      </w:pPr>
    </w:p>
    <w:p>
      <w:pPr>
        <w:ind w:left="640" w:hanging="314"/>
        <w:spacing w:after="0" w:line="304" w:lineRule="auto"/>
        <w:tabs>
          <w:tab w:leader="none" w:pos="60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the e-commerce market or the Internet advertising market in China will not continue to grow and will remain subject to intense competition and the risk that investments by us in our e-commerce platforms and related services or in our advertising content and services may not increase the appeal of our websites, e-commerce platforms or mobile applications among users or result in increased e-commerce or advertising revenues;</w:t>
      </w:r>
    </w:p>
    <w:p>
      <w:pPr>
        <w:spacing w:after="0" w:line="153" w:lineRule="exact"/>
        <w:rPr>
          <w:rFonts w:ascii="Arial" w:cs="Arial" w:eastAsia="Arial" w:hAnsi="Arial"/>
          <w:sz w:val="16"/>
          <w:szCs w:val="16"/>
          <w:color w:val="auto"/>
        </w:rPr>
      </w:pPr>
    </w:p>
    <w:p>
      <w:pPr>
        <w:ind w:left="620" w:hanging="29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able to control our expenses in future periods;</w:t>
      </w:r>
    </w:p>
    <w:p>
      <w:pPr>
        <w:spacing w:after="0" w:line="219" w:lineRule="exact"/>
        <w:rPr>
          <w:rFonts w:ascii="Arial" w:cs="Arial" w:eastAsia="Arial" w:hAnsi="Arial"/>
          <w:sz w:val="18"/>
          <w:szCs w:val="18"/>
          <w:color w:val="auto"/>
        </w:rPr>
      </w:pPr>
    </w:p>
    <w:p>
      <w:pPr>
        <w:ind w:left="640" w:right="260" w:hanging="314"/>
        <w:spacing w:after="0" w:line="296" w:lineRule="auto"/>
        <w:tabs>
          <w:tab w:leader="none" w:pos="605" w:val="left"/>
        </w:tabs>
        <w:numPr>
          <w:ilvl w:val="0"/>
          <w:numId w:val="5"/>
        </w:numPr>
        <w:rPr>
          <w:rFonts w:ascii="Arial" w:cs="Arial" w:eastAsia="Arial" w:hAnsi="Arial"/>
          <w:sz w:val="17"/>
          <w:szCs w:val="17"/>
          <w:color w:val="auto"/>
        </w:rPr>
      </w:pPr>
      <w:r>
        <w:rPr>
          <w:rFonts w:ascii="Arial" w:cs="Arial" w:eastAsia="Arial" w:hAnsi="Arial"/>
          <w:sz w:val="17"/>
          <w:szCs w:val="17"/>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57" w:lineRule="exact"/>
        <w:rPr>
          <w:rFonts w:ascii="Arial" w:cs="Arial" w:eastAsia="Arial" w:hAnsi="Arial"/>
          <w:sz w:val="17"/>
          <w:szCs w:val="17"/>
          <w:color w:val="auto"/>
        </w:rPr>
      </w:pPr>
    </w:p>
    <w:p>
      <w:pPr>
        <w:ind w:left="620" w:hanging="294"/>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fluctuations in the value of the Renminbi with respect to other currencies could adversely affect our business and financial results; and</w:t>
      </w:r>
    </w:p>
    <w:p>
      <w:pPr>
        <w:spacing w:after="0" w:line="242" w:lineRule="exact"/>
        <w:rPr>
          <w:rFonts w:ascii="Arial" w:cs="Arial" w:eastAsia="Arial" w:hAnsi="Arial"/>
          <w:sz w:val="16"/>
          <w:szCs w:val="16"/>
          <w:color w:val="auto"/>
        </w:rPr>
      </w:pPr>
    </w:p>
    <w:p>
      <w:pPr>
        <w:ind w:left="620" w:hanging="29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outlined in our filings with the Securities and Exchange Commission, or the SEC.</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undertake any obligation to update this forward-looking information, except as required under applicable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19" w:lineRule="exact"/>
        <w:rPr>
          <w:sz w:val="20"/>
          <w:szCs w:val="20"/>
          <w:color w:val="auto"/>
        </w:rPr>
      </w:pPr>
    </w:p>
    <w:p>
      <w:pPr>
        <w:ind w:left="660" w:hanging="653"/>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5" w:lineRule="exact"/>
        <w:rPr>
          <w:sz w:val="20"/>
          <w:szCs w:val="20"/>
          <w:color w:val="auto"/>
        </w:rPr>
      </w:pPr>
    </w:p>
    <w:p>
      <w:pPr>
        <w:ind w:right="140" w:firstLine="639"/>
        <w:spacing w:after="0" w:line="267" w:lineRule="auto"/>
        <w:rPr>
          <w:sz w:val="20"/>
          <w:szCs w:val="20"/>
          <w:color w:val="auto"/>
        </w:rPr>
      </w:pPr>
      <w:r>
        <w:rPr>
          <w:rFonts w:ascii="Arial" w:cs="Arial" w:eastAsia="Arial" w:hAnsi="Arial"/>
          <w:sz w:val="17"/>
          <w:szCs w:val="17"/>
          <w:color w:val="auto"/>
        </w:rPr>
        <w:t>The following table presents the selected consolidated financial information for our business. You should read the following information in conjunction with Item 5 “Operating and Financial Review and Prospects” below. The following data for the years ended December 31, 2016, 2017 and 2018 and as of December 31, 2017 and 2018 have been derived from our audited consolidated financial statements for those years, which were prepared in accordance with accounting principles generally accepted in the United States, or U.S. GAAP, and should be read in conjunction with those statements, which are included in this annual report beginning on page F-1. The following data for the years ended December 31, 2014 and 2015 and as of December 31, 2014, 2015 and 2016 have been derived from our audited consolidated financial statements for those years, which were prepared in accordance with U.S. GAAP and are not included in this annual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9"/>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140" w:type="dxa"/>
            <w:vAlign w:val="bottom"/>
          </w:tcPr>
          <w:p>
            <w:pPr>
              <w:jc w:val="right"/>
              <w:ind w:right="332"/>
              <w:spacing w:after="0" w:line="140"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140" w:type="dxa"/>
            <w:vAlign w:val="bottom"/>
          </w:tcPr>
          <w:p>
            <w:pPr>
              <w:jc w:val="right"/>
              <w:ind w:right="332"/>
              <w:spacing w:after="0" w:line="140"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60" w:type="dxa"/>
            <w:vAlign w:val="bottom"/>
            <w:gridSpan w:val="2"/>
          </w:tcPr>
          <w:p>
            <w:pPr>
              <w:jc w:val="right"/>
              <w:ind w:right="338"/>
              <w:spacing w:after="0" w:line="140"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40" w:type="dxa"/>
            <w:vAlign w:val="bottom"/>
          </w:tcPr>
          <w:p>
            <w:pPr>
              <w:jc w:val="right"/>
              <w:ind w:right="332"/>
              <w:spacing w:after="0" w:line="140"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40" w:type="dxa"/>
            <w:vAlign w:val="bottom"/>
          </w:tcPr>
          <w:p>
            <w:pPr>
              <w:jc w:val="right"/>
              <w:ind w:right="332"/>
              <w:spacing w:after="0" w:line="140"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40" w:type="dxa"/>
            <w:vAlign w:val="bottom"/>
          </w:tcPr>
          <w:p>
            <w:pPr>
              <w:jc w:val="right"/>
              <w:ind w:right="332"/>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140" w:type="dxa"/>
            <w:vAlign w:val="bottom"/>
            <w:tcBorders>
              <w:top w:val="single" w:sz="8" w:color="auto"/>
            </w:tcBorders>
          </w:tcPr>
          <w:p>
            <w:pPr>
              <w:jc w:val="right"/>
              <w:ind w:right="312"/>
              <w:spacing w:after="0" w:line="118"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140" w:type="dxa"/>
            <w:vAlign w:val="bottom"/>
            <w:tcBorders>
              <w:top w:val="single" w:sz="8" w:color="auto"/>
            </w:tcBorders>
          </w:tcPr>
          <w:p>
            <w:pPr>
              <w:jc w:val="right"/>
              <w:ind w:right="312"/>
              <w:spacing w:after="0" w:line="118"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ind w:right="318"/>
              <w:spacing w:after="0" w:line="118"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right"/>
              <w:ind w:right="312"/>
              <w:spacing w:after="0" w:line="118"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right"/>
              <w:ind w:right="312"/>
              <w:spacing w:after="0" w:line="118"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right"/>
              <w:ind w:right="352"/>
              <w:spacing w:after="0" w:line="11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(in thousands, except per share/ADS data)</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Statement of Operations and</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Total net revenues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11,712,834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22,802,895</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38,178,844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54,102,019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67,156,453</w:t>
            </w:r>
          </w:p>
        </w:tc>
        <w:tc>
          <w:tcPr>
            <w:tcW w:w="1140" w:type="dxa"/>
            <w:vAlign w:val="bottom"/>
          </w:tcPr>
          <w:p>
            <w:pPr>
              <w:jc w:val="right"/>
              <w:spacing w:after="0"/>
              <w:rPr>
                <w:sz w:val="20"/>
                <w:szCs w:val="20"/>
                <w:color w:val="auto"/>
              </w:rPr>
            </w:pPr>
            <w:r>
              <w:rPr>
                <w:rFonts w:ascii="Arial" w:cs="Arial" w:eastAsia="Arial" w:hAnsi="Arial"/>
                <w:sz w:val="18"/>
                <w:szCs w:val="18"/>
                <w:color w:val="auto"/>
              </w:rPr>
              <w:t>9,767,501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(3,261,544)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(9,399,260)</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(16,515,032)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(28,189,326)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(38,752,957)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(5,636,384)</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8,451,290</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13,403,635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28,403,496</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4,131,117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(1,894,998)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(2,958,229)</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(4,481,815)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(6,957,596)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(9,526,470)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(1,385,568)</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(467,669)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(1,014,395)</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(1,506,154)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(2,429,858)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(3,191,537)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(464,190)</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(1,323,498)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(2,158,888)</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(3,046,979)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(4,371,428)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(7,792,550)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(1,133,379)</w:t>
            </w:r>
          </w:p>
        </w:tc>
        <w:tc>
          <w:tcPr>
            <w:tcW w:w="0" w:type="dxa"/>
            <w:vAlign w:val="bottom"/>
          </w:tcPr>
          <w:p>
            <w:pPr>
              <w:spacing w:after="0"/>
              <w:rPr>
                <w:sz w:val="1"/>
                <w:szCs w:val="1"/>
                <w:color w:val="auto"/>
              </w:rPr>
            </w:pPr>
          </w:p>
        </w:tc>
      </w:tr>
      <w:tr>
        <w:trPr>
          <w:trHeight w:val="206"/>
        </w:trPr>
        <w:tc>
          <w:tcPr>
            <w:tcW w:w="334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(3,686,165)</w:t>
            </w:r>
          </w:p>
        </w:tc>
        <w:tc>
          <w:tcPr>
            <w:tcW w:w="2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(6,131,512)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(9,034,948)</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(13,758,882)</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(20,510,557)</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(2,983,137)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Operating profit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4,765,125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7,272,123</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12,628,864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12,153,811</w:t>
            </w:r>
          </w:p>
        </w:tc>
        <w:tc>
          <w:tcPr>
            <w:tcW w:w="1140" w:type="dxa"/>
            <w:vAlign w:val="bottom"/>
          </w:tcPr>
          <w:p>
            <w:pPr>
              <w:jc w:val="right"/>
              <w:spacing w:after="0"/>
              <w:rPr>
                <w:sz w:val="20"/>
                <w:szCs w:val="20"/>
                <w:color w:val="auto"/>
              </w:rPr>
            </w:pPr>
            <w:r>
              <w:rPr>
                <w:rFonts w:ascii="Arial" w:cs="Arial" w:eastAsia="Arial" w:hAnsi="Arial"/>
                <w:sz w:val="18"/>
                <w:szCs w:val="18"/>
                <w:color w:val="auto"/>
              </w:rPr>
              <w:t>7,892,939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Investment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27,373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62,341</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200,333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362,113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(22,266)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601,502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596,930</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541,969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667,323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587,518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85,451</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Exchange (losses)/gains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(17,998)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133,776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146,510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(448,827)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(113,323)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82,438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45,138</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377,685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277,080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599,230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87,154</w:t>
            </w:r>
          </w:p>
        </w:tc>
        <w:tc>
          <w:tcPr>
            <w:tcW w:w="0" w:type="dxa"/>
            <w:vAlign w:val="bottom"/>
          </w:tcPr>
          <w:p>
            <w:pPr>
              <w:spacing w:after="0"/>
              <w:rPr>
                <w:sz w:val="1"/>
                <w:szCs w:val="1"/>
                <w:color w:val="auto"/>
              </w:rPr>
            </w:pPr>
          </w:p>
        </w:tc>
      </w:tr>
      <w:tr>
        <w:trPr>
          <w:trHeight w:val="206"/>
        </w:trPr>
        <w:tc>
          <w:tcPr>
            <w:tcW w:w="3340" w:type="dxa"/>
            <w:vAlign w:val="bottom"/>
          </w:tcPr>
          <w:p>
            <w:pPr>
              <w:spacing w:after="0" w:line="204" w:lineRule="exact"/>
              <w:rPr>
                <w:sz w:val="20"/>
                <w:szCs w:val="20"/>
                <w:color w:val="auto"/>
              </w:rPr>
            </w:pPr>
            <w:r>
              <w:rPr>
                <w:rFonts w:ascii="Arial" w:cs="Arial" w:eastAsia="Arial" w:hAnsi="Arial"/>
                <w:sz w:val="18"/>
                <w:szCs w:val="18"/>
                <w:color w:val="auto"/>
              </w:rPr>
              <w:t>Income before tax</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5,458,440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8,110,308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13,895,361</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13,011,500</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8,944,098</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(662,735)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(1,273,408)</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(2,102,498)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(2,162,363)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(358,764)</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4,795,705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6,836,900</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11,792,863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10,849,137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6,477,417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942,101</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Accretion and deemed dividends in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repurchase of</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(248,098)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01"/>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80"/>
              <w:spacing w:after="0"/>
              <w:rPr>
                <w:sz w:val="20"/>
                <w:szCs w:val="20"/>
                <w:color w:val="auto"/>
              </w:rPr>
            </w:pPr>
            <w:r>
              <w:rPr>
                <w:rFonts w:ascii="Arial" w:cs="Arial" w:eastAsia="Arial" w:hAnsi="Arial"/>
                <w:sz w:val="18"/>
                <w:szCs w:val="18"/>
                <w:color w:val="auto"/>
                <w:w w:val="98"/>
              </w:rPr>
              <w:t>interests and redeemable noncontrolling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(39,082)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(101,792)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(188,343)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(141,198)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(76,912)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NetEase, Inc.’s</w:t>
            </w: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340" w:type="dxa"/>
            <w:vAlign w:val="bottom"/>
            <w:vMerge w:val="continue"/>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4,756,623</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6,735,108</w:t>
            </w: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11,604,520</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10,707,939</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6,152,407</w:t>
            </w:r>
          </w:p>
        </w:tc>
        <w:tc>
          <w:tcPr>
            <w:tcW w:w="2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894,831</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3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4,795,705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6,836,900</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11,792,863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10,849,137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6,477,417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942,101</w:t>
            </w: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27,452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34,027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(24,894)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18,624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06"/>
        </w:trPr>
        <w:tc>
          <w:tcPr>
            <w:tcW w:w="3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4,795,705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6,864,352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11,826,890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10,824,243</w:t>
            </w:r>
          </w:p>
        </w:tc>
        <w:tc>
          <w:tcPr>
            <w:tcW w:w="1140" w:type="dxa"/>
            <w:vAlign w:val="bottom"/>
          </w:tcPr>
          <w:p>
            <w:pPr>
              <w:jc w:val="right"/>
              <w:spacing w:after="0"/>
              <w:rPr>
                <w:sz w:val="20"/>
                <w:szCs w:val="20"/>
                <w:color w:val="auto"/>
              </w:rPr>
            </w:pPr>
            <w:r>
              <w:rPr>
                <w:rFonts w:ascii="Arial" w:cs="Arial" w:eastAsia="Arial" w:hAnsi="Arial"/>
                <w:sz w:val="18"/>
                <w:szCs w:val="18"/>
                <w:color w:val="auto"/>
              </w:rPr>
              <w:t>6,496,041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944,810</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40" w:type="dxa"/>
            <w:vAlign w:val="bottom"/>
          </w:tcPr>
          <w:p>
            <w:pPr>
              <w:spacing w:after="0" w:line="201" w:lineRule="exact"/>
              <w:rPr>
                <w:sz w:val="20"/>
                <w:szCs w:val="20"/>
                <w:color w:val="auto"/>
              </w:rPr>
            </w:pPr>
            <w:r>
              <w:rPr>
                <w:rFonts w:ascii="Arial" w:cs="Arial" w:eastAsia="Arial" w:hAnsi="Arial"/>
                <w:sz w:val="18"/>
                <w:szCs w:val="18"/>
                <w:color w:val="auto"/>
              </w:rPr>
              <w:t>Add: Comprehensive income attributable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80"/>
              <w:spacing w:after="0"/>
              <w:rPr>
                <w:sz w:val="20"/>
                <w:szCs w:val="20"/>
                <w:color w:val="auto"/>
              </w:rPr>
            </w:pPr>
            <w:r>
              <w:rPr>
                <w:rFonts w:ascii="Arial" w:cs="Arial" w:eastAsia="Arial" w:hAnsi="Arial"/>
                <w:sz w:val="18"/>
                <w:szCs w:val="18"/>
                <w:color w:val="auto"/>
              </w:rPr>
              <w:t>to noncontrolling interests and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color w:val="auto"/>
              </w:rPr>
              <w:t>redeemable noncontrolling interests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(39,082)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(101,792)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(188,343)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(141,198)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(76,912)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340" w:type="dxa"/>
            <w:vAlign w:val="bottom"/>
            <w:vMerge w:val="continue"/>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4,756,623</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6,762,560</w:t>
            </w: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11,638,547</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10,683,045</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6,419,129</w:t>
            </w:r>
          </w:p>
        </w:tc>
        <w:tc>
          <w:tcPr>
            <w:tcW w:w="2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933,624</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NetEase, Inc.’s shareholders</w:t>
            </w:r>
          </w:p>
        </w:tc>
        <w:tc>
          <w:tcPr>
            <w:tcW w:w="13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Net income attributable to NetEase, Inc.’s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tcPr>
          <w:p>
            <w:pPr>
              <w:spacing w:after="0"/>
              <w:rPr>
                <w:sz w:val="13"/>
                <w:szCs w:val="13"/>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1.46</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2.05</w:t>
            </w: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3.54</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3.25</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2"/>
        </w:trPr>
        <w:tc>
          <w:tcPr>
            <w:tcW w:w="3340" w:type="dxa"/>
            <w:vAlign w:val="bottom"/>
          </w:tcPr>
          <w:p>
            <w:pPr>
              <w:ind w:left="180"/>
              <w:spacing w:after="0"/>
              <w:rPr>
                <w:sz w:val="20"/>
                <w:szCs w:val="20"/>
                <w:color w:val="auto"/>
              </w:rPr>
            </w:pPr>
            <w:r>
              <w:rPr>
                <w:rFonts w:ascii="Arial" w:cs="Arial" w:eastAsia="Arial" w:hAnsi="Arial"/>
                <w:sz w:val="18"/>
                <w:szCs w:val="18"/>
                <w:color w:val="auto"/>
              </w:rPr>
              <w:t>shareholders per share, basic</w:t>
            </w:r>
          </w:p>
        </w:tc>
        <w:tc>
          <w:tcPr>
            <w:tcW w:w="13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shd w:val="clear" w:color="auto" w:fill="CCEEFF"/>
          </w:tcPr>
          <w:p>
            <w:pPr>
              <w:spacing w:after="0" w:line="174" w:lineRule="exact"/>
              <w:rPr>
                <w:sz w:val="20"/>
                <w:szCs w:val="20"/>
                <w:color w:val="auto"/>
              </w:rPr>
            </w:pPr>
            <w:r>
              <w:rPr>
                <w:rFonts w:ascii="Arial" w:cs="Arial" w:eastAsia="Arial" w:hAnsi="Arial"/>
                <w:sz w:val="18"/>
                <w:szCs w:val="18"/>
                <w:color w:val="auto"/>
              </w:rPr>
              <w:t>Net income attributable to NetEase, Inc.’s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per share, diluted</w:t>
            </w:r>
          </w:p>
        </w:tc>
        <w:tc>
          <w:tcPr>
            <w:tcW w:w="13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Net income attributable to NetEase, Inc.’s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tcPr>
          <w:p>
            <w:pPr>
              <w:spacing w:after="0"/>
              <w:rPr>
                <w:sz w:val="13"/>
                <w:szCs w:val="13"/>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36.43</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51.27</w:t>
            </w: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88.40</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81.36</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47.54</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2"/>
        </w:trPr>
        <w:tc>
          <w:tcPr>
            <w:tcW w:w="3340" w:type="dxa"/>
            <w:vAlign w:val="bottom"/>
          </w:tcPr>
          <w:p>
            <w:pPr>
              <w:ind w:left="180"/>
              <w:spacing w:after="0"/>
              <w:rPr>
                <w:sz w:val="20"/>
                <w:szCs w:val="20"/>
                <w:color w:val="auto"/>
              </w:rPr>
            </w:pPr>
            <w:r>
              <w:rPr>
                <w:rFonts w:ascii="Arial" w:cs="Arial" w:eastAsia="Arial" w:hAnsi="Arial"/>
                <w:sz w:val="18"/>
                <w:szCs w:val="18"/>
                <w:color w:val="auto"/>
              </w:rPr>
              <w:t>shareholders per ADS, basic</w:t>
            </w:r>
          </w:p>
        </w:tc>
        <w:tc>
          <w:tcPr>
            <w:tcW w:w="13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shd w:val="clear" w:color="auto" w:fill="CCEEFF"/>
          </w:tcPr>
          <w:p>
            <w:pPr>
              <w:spacing w:after="0" w:line="174" w:lineRule="exact"/>
              <w:rPr>
                <w:sz w:val="20"/>
                <w:szCs w:val="20"/>
                <w:color w:val="auto"/>
              </w:rPr>
            </w:pPr>
            <w:r>
              <w:rPr>
                <w:rFonts w:ascii="Arial" w:cs="Arial" w:eastAsia="Arial" w:hAnsi="Arial"/>
                <w:sz w:val="18"/>
                <w:szCs w:val="18"/>
                <w:color w:val="auto"/>
              </w:rPr>
              <w:t>Net income attributable to NetEase, Inc.’s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36.29</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50.94</w:t>
            </w: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87.72</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80.74</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47.26</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per ADS, diluted</w:t>
            </w:r>
          </w:p>
        </w:tc>
        <w:tc>
          <w:tcPr>
            <w:tcW w:w="13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ordinary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tcPr>
          <w:p>
            <w:pPr>
              <w:spacing w:after="0"/>
              <w:rPr>
                <w:sz w:val="13"/>
                <w:szCs w:val="13"/>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3,264,450</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3,284,382</w:t>
            </w: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3,281,729</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3,290,312</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3,235,324</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3,235,324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180"/>
              <w:spacing w:after="0"/>
              <w:rPr>
                <w:sz w:val="20"/>
                <w:szCs w:val="20"/>
                <w:color w:val="auto"/>
              </w:rPr>
            </w:pPr>
            <w:r>
              <w:rPr>
                <w:rFonts w:ascii="Arial" w:cs="Arial" w:eastAsia="Arial" w:hAnsi="Arial"/>
                <w:sz w:val="18"/>
                <w:szCs w:val="18"/>
                <w:color w:val="auto"/>
              </w:rPr>
              <w:t>shares outstanding, basic</w:t>
            </w:r>
          </w:p>
        </w:tc>
        <w:tc>
          <w:tcPr>
            <w:tcW w:w="13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shd w:val="clear" w:color="auto" w:fill="CCEEFF"/>
          </w:tcPr>
          <w:p>
            <w:pPr>
              <w:spacing w:after="0" w:line="174" w:lineRule="exact"/>
              <w:rPr>
                <w:sz w:val="20"/>
                <w:szCs w:val="20"/>
                <w:color w:val="auto"/>
              </w:rPr>
            </w:pPr>
            <w:r>
              <w:rPr>
                <w:rFonts w:ascii="Arial" w:cs="Arial" w:eastAsia="Arial" w:hAnsi="Arial"/>
                <w:sz w:val="18"/>
                <w:szCs w:val="18"/>
                <w:color w:val="auto"/>
              </w:rPr>
              <w:t>Weighted average number of ADS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130,578</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131,375</w:t>
            </w: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131,269</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131,612</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129,413</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129,413</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basic</w:t>
            </w:r>
          </w:p>
        </w:tc>
        <w:tc>
          <w:tcPr>
            <w:tcW w:w="13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ordinary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tcPr>
          <w:p>
            <w:pPr>
              <w:spacing w:after="0"/>
              <w:rPr>
                <w:sz w:val="13"/>
                <w:szCs w:val="13"/>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3,277,049</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3,305,213</w:t>
            </w: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3,307,109</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3,315,478</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3,254,689</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3,254,689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180"/>
              <w:spacing w:after="0"/>
              <w:rPr>
                <w:sz w:val="20"/>
                <w:szCs w:val="20"/>
                <w:color w:val="auto"/>
              </w:rPr>
            </w:pPr>
            <w:r>
              <w:rPr>
                <w:rFonts w:ascii="Arial" w:cs="Arial" w:eastAsia="Arial" w:hAnsi="Arial"/>
                <w:sz w:val="18"/>
                <w:szCs w:val="18"/>
                <w:color w:val="auto"/>
              </w:rPr>
              <w:t>shares outstanding, diluted</w:t>
            </w:r>
          </w:p>
        </w:tc>
        <w:tc>
          <w:tcPr>
            <w:tcW w:w="138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480" w:type="dxa"/>
            <w:vAlign w:val="bottom"/>
            <w:gridSpan w:val="3"/>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shd w:val="clear" w:color="auto" w:fill="CCEEFF"/>
          </w:tcPr>
          <w:p>
            <w:pPr>
              <w:spacing w:after="0" w:line="174" w:lineRule="exact"/>
              <w:rPr>
                <w:sz w:val="20"/>
                <w:szCs w:val="20"/>
                <w:color w:val="auto"/>
              </w:rPr>
            </w:pPr>
            <w:r>
              <w:rPr>
                <w:rFonts w:ascii="Arial" w:cs="Arial" w:eastAsia="Arial" w:hAnsi="Arial"/>
                <w:sz w:val="18"/>
                <w:szCs w:val="18"/>
                <w:color w:val="auto"/>
              </w:rPr>
              <w:t>Weighted average number of ADS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40" w:type="dxa"/>
            <w:vAlign w:val="bottom"/>
            <w:vMerge w:val="continue"/>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131,082</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132,209</w:t>
            </w: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132,284</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132,619</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130,188</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130,188</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diluted</w:t>
            </w:r>
          </w:p>
        </w:tc>
        <w:tc>
          <w:tcPr>
            <w:tcW w:w="13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 cost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248525" cy="154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5494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Cost of revenues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169,621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328,480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444,187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820,281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764,972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111,261</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23,253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16,960</w:t>
            </w: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51,475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120,925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238,750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581,337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804,565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117,019</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104,928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199,039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507,263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843,502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122,682</w:t>
            </w:r>
          </w:p>
        </w:tc>
      </w:tr>
      <w:tr>
        <w:trPr>
          <w:trHeight w:val="246"/>
        </w:trPr>
        <w:tc>
          <w:tcPr>
            <w:tcW w:w="33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349,277</w:t>
            </w: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684,467</w:t>
            </w: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990,131</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2,004,263</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2,529,650</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367,922</w:t>
            </w:r>
          </w:p>
        </w:tc>
        <w:tc>
          <w:tcPr>
            <w:tcW w:w="100" w:type="dxa"/>
            <w:vAlign w:val="bottom"/>
            <w:tcBorders>
              <w:bottom w:val="single" w:sz="8" w:color="CCEEFF"/>
            </w:tcBorders>
          </w:tcPr>
          <w:p>
            <w:pPr>
              <w:spacing w:after="0"/>
              <w:rPr>
                <w:sz w:val="21"/>
                <w:szCs w:val="21"/>
                <w:color w:val="auto"/>
              </w:rPr>
            </w:pPr>
          </w:p>
        </w:tc>
      </w:tr>
      <w:tr>
        <w:trPr>
          <w:trHeight w:val="166"/>
        </w:trPr>
        <w:tc>
          <w:tcPr>
            <w:tcW w:w="3340" w:type="dxa"/>
            <w:vAlign w:val="bottom"/>
            <w:shd w:val="clear" w:color="auto" w:fill="CCEEFF"/>
          </w:tcPr>
          <w:p>
            <w:pPr>
              <w:spacing w:after="0" w:line="166" w:lineRule="exact"/>
              <w:rPr>
                <w:sz w:val="20"/>
                <w:szCs w:val="20"/>
                <w:color w:val="auto"/>
              </w:rPr>
            </w:pPr>
            <w:r>
              <w:rPr>
                <w:rFonts w:ascii="Arial" w:cs="Arial" w:eastAsia="Arial" w:hAnsi="Arial"/>
                <w:sz w:val="18"/>
                <w:szCs w:val="18"/>
                <w:b w:val="1"/>
                <w:bCs w:val="1"/>
                <w:color w:val="auto"/>
              </w:rPr>
              <w:t>Other Financial Data:</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Capital expenditures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537,376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866,314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1,135,533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1,842,933</w:t>
            </w:r>
          </w:p>
        </w:tc>
        <w:tc>
          <w:tcPr>
            <w:tcW w:w="1140" w:type="dxa"/>
            <w:vAlign w:val="bottom"/>
          </w:tcPr>
          <w:p>
            <w:pPr>
              <w:jc w:val="right"/>
              <w:spacing w:after="0"/>
              <w:rPr>
                <w:sz w:val="20"/>
                <w:szCs w:val="20"/>
                <w:color w:val="auto"/>
              </w:rPr>
            </w:pPr>
            <w:r>
              <w:rPr>
                <w:rFonts w:ascii="Arial" w:cs="Arial" w:eastAsia="Arial" w:hAnsi="Arial"/>
                <w:sz w:val="18"/>
                <w:szCs w:val="18"/>
                <w:color w:val="auto"/>
              </w:rPr>
              <w:t>2,528,149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367,704</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5,873,023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8,076,920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15,488,266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11,889,238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13,415,877</w:t>
            </w:r>
          </w:p>
        </w:tc>
        <w:tc>
          <w:tcPr>
            <w:tcW w:w="1140" w:type="dxa"/>
            <w:vAlign w:val="bottom"/>
          </w:tcPr>
          <w:p>
            <w:pPr>
              <w:jc w:val="right"/>
              <w:spacing w:after="0"/>
              <w:rPr>
                <w:sz w:val="20"/>
                <w:szCs w:val="20"/>
                <w:color w:val="auto"/>
              </w:rPr>
            </w:pPr>
            <w:r>
              <w:rPr>
                <w:rFonts w:ascii="Arial" w:cs="Arial" w:eastAsia="Arial" w:hAnsi="Arial"/>
                <w:sz w:val="18"/>
                <w:szCs w:val="18"/>
                <w:color w:val="auto"/>
              </w:rPr>
              <w:t>1,951,260</w:t>
            </w:r>
          </w:p>
        </w:tc>
        <w:tc>
          <w:tcPr>
            <w:tcW w:w="10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(4,520,166)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(2,536,524)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(11,861,393)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(12,855,270)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(13,569,515)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(1,973,604)</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Financing activities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(778,442)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(1,632,736)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(2,250,507)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(1,302,728)</w:t>
            </w:r>
          </w:p>
        </w:tc>
        <w:tc>
          <w:tcPr>
            <w:tcW w:w="1140" w:type="dxa"/>
            <w:vAlign w:val="bottom"/>
          </w:tcPr>
          <w:p>
            <w:pPr>
              <w:jc w:val="right"/>
              <w:spacing w:after="0"/>
              <w:rPr>
                <w:sz w:val="20"/>
                <w:szCs w:val="20"/>
                <w:color w:val="auto"/>
              </w:rPr>
            </w:pPr>
            <w:r>
              <w:rPr>
                <w:rFonts w:ascii="Arial" w:cs="Arial" w:eastAsia="Arial" w:hAnsi="Arial"/>
                <w:sz w:val="18"/>
                <w:szCs w:val="18"/>
                <w:color w:val="auto"/>
              </w:rPr>
              <w:t>1,587,419</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230,880</w:t>
            </w:r>
          </w:p>
        </w:tc>
      </w:tr>
      <w:tr>
        <w:trPr>
          <w:trHeight w:val="349"/>
        </w:trPr>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334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right"/>
              <w:ind w:right="335"/>
              <w:spacing w:after="0" w:line="140"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17"/>
        </w:trPr>
        <w:tc>
          <w:tcPr>
            <w:tcW w:w="3340" w:type="dxa"/>
            <w:vAlign w:val="bottom"/>
          </w:tcPr>
          <w:p>
            <w:pPr>
              <w:spacing w:after="0"/>
              <w:rPr>
                <w:sz w:val="10"/>
                <w:szCs w:val="10"/>
                <w:color w:val="auto"/>
              </w:rPr>
            </w:pPr>
          </w:p>
        </w:tc>
        <w:tc>
          <w:tcPr>
            <w:tcW w:w="114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140" w:type="dxa"/>
            <w:vAlign w:val="bottom"/>
          </w:tcPr>
          <w:p>
            <w:pPr>
              <w:jc w:val="right"/>
              <w:ind w:right="315"/>
              <w:spacing w:after="0" w:line="118"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Pr>
          <w:p>
            <w:pPr>
              <w:jc w:val="right"/>
              <w:ind w:right="313"/>
              <w:spacing w:after="0" w:line="118"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Pr>
          <w:p>
            <w:pPr>
              <w:jc w:val="right"/>
              <w:ind w:right="353"/>
              <w:spacing w:after="0" w:line="11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r>
      <w:tr>
        <w:trPr>
          <w:trHeight w:val="169"/>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2,021,453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6,071,487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5,439,499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2,764,140</w:t>
            </w:r>
          </w:p>
        </w:tc>
        <w:tc>
          <w:tcPr>
            <w:tcW w:w="1140" w:type="dxa"/>
            <w:vAlign w:val="bottom"/>
          </w:tcPr>
          <w:p>
            <w:pPr>
              <w:jc w:val="right"/>
              <w:spacing w:after="0"/>
              <w:rPr>
                <w:sz w:val="20"/>
                <w:szCs w:val="20"/>
                <w:color w:val="auto"/>
              </w:rPr>
            </w:pPr>
            <w:r>
              <w:rPr>
                <w:rFonts w:ascii="Arial" w:cs="Arial" w:eastAsia="Arial" w:hAnsi="Arial"/>
                <w:sz w:val="18"/>
                <w:szCs w:val="18"/>
                <w:color w:val="auto"/>
              </w:rPr>
              <w:t>5,389,198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783,827</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Time deposits-current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18,496,574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14,593,291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19,361,098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30,603,369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32,900,287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4,785,148</w:t>
            </w:r>
          </w:p>
        </w:tc>
        <w:tc>
          <w:tcPr>
            <w:tcW w:w="10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1,281,225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2,092,046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2,419,510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3,769,326</w:t>
            </w:r>
          </w:p>
        </w:tc>
        <w:tc>
          <w:tcPr>
            <w:tcW w:w="1140" w:type="dxa"/>
            <w:vAlign w:val="bottom"/>
          </w:tcPr>
          <w:p>
            <w:pPr>
              <w:jc w:val="right"/>
              <w:spacing w:after="0"/>
              <w:rPr>
                <w:sz w:val="20"/>
                <w:szCs w:val="20"/>
                <w:color w:val="auto"/>
              </w:rPr>
            </w:pPr>
            <w:r>
              <w:rPr>
                <w:rFonts w:ascii="Arial" w:cs="Arial" w:eastAsia="Arial" w:hAnsi="Arial"/>
                <w:sz w:val="18"/>
                <w:szCs w:val="18"/>
                <w:color w:val="auto"/>
              </w:rPr>
              <w:t>5,378,560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782,280</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30,354,671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41,157,430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58,031,860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71,031,415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86,967,928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12,648,961</w:t>
            </w: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Short-term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2,049,865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2,272,760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3,815,691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6,623,502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13,658,554</w:t>
            </w:r>
          </w:p>
        </w:tc>
        <w:tc>
          <w:tcPr>
            <w:tcW w:w="1140" w:type="dxa"/>
            <w:vAlign w:val="bottom"/>
          </w:tcPr>
          <w:p>
            <w:pPr>
              <w:jc w:val="right"/>
              <w:spacing w:after="0"/>
              <w:rPr>
                <w:sz w:val="20"/>
                <w:szCs w:val="20"/>
                <w:color w:val="auto"/>
              </w:rPr>
            </w:pPr>
            <w:r>
              <w:rPr>
                <w:rFonts w:ascii="Arial" w:cs="Arial" w:eastAsia="Arial" w:hAnsi="Arial"/>
                <w:sz w:val="18"/>
                <w:szCs w:val="18"/>
                <w:color w:val="auto"/>
              </w:rPr>
              <w:t>1,986,554</w:t>
            </w:r>
          </w:p>
        </w:tc>
        <w:tc>
          <w:tcPr>
            <w:tcW w:w="10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6,862,877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11,833,831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19,568,919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23,981,579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35,556,347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5,171,456</w:t>
            </w:r>
          </w:p>
        </w:tc>
        <w:tc>
          <w:tcPr>
            <w:tcW w:w="10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133,634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614,696</w:t>
            </w:r>
          </w:p>
        </w:tc>
        <w:tc>
          <w:tcPr>
            <w:tcW w:w="1140" w:type="dxa"/>
            <w:vAlign w:val="bottom"/>
          </w:tcPr>
          <w:p>
            <w:pPr>
              <w:jc w:val="right"/>
              <w:spacing w:after="0"/>
              <w:rPr>
                <w:sz w:val="20"/>
                <w:szCs w:val="20"/>
                <w:color w:val="auto"/>
              </w:rPr>
            </w:pPr>
            <w:r>
              <w:rPr>
                <w:rFonts w:ascii="Arial" w:cs="Arial" w:eastAsia="Arial" w:hAnsi="Arial"/>
                <w:sz w:val="18"/>
                <w:szCs w:val="18"/>
                <w:color w:val="auto"/>
              </w:rPr>
              <w:t>5,385,736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783,323</w:t>
            </w:r>
          </w:p>
        </w:tc>
      </w:tr>
      <w:tr>
        <w:trPr>
          <w:trHeight w:val="21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23,358,160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29,323,599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38,462,941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46,435,140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46,025,845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6,694,182</w:t>
            </w: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640" w:right="8320" w:hanging="633"/>
        <w:spacing w:after="0" w:line="494" w:lineRule="auto"/>
        <w:tabs>
          <w:tab w:leader="none" w:pos="64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40" w:right="7560" w:hanging="633"/>
        <w:spacing w:after="0" w:line="497" w:lineRule="auto"/>
        <w:tabs>
          <w:tab w:leader="none" w:pos="65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660" w:hanging="653"/>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19" w:lineRule="exact"/>
        <w:rPr>
          <w:sz w:val="20"/>
          <w:szCs w:val="20"/>
          <w:color w:val="auto"/>
        </w:rPr>
      </w:pPr>
    </w:p>
    <w:p>
      <w:pPr>
        <w:ind w:right="460"/>
        <w:spacing w:after="0" w:line="274" w:lineRule="auto"/>
        <w:rPr>
          <w:sz w:val="20"/>
          <w:szCs w:val="20"/>
          <w:color w:val="auto"/>
        </w:rPr>
      </w:pPr>
      <w:r>
        <w:rPr>
          <w:rFonts w:ascii="Arial" w:cs="Arial" w:eastAsia="Arial" w:hAnsi="Arial"/>
          <w:sz w:val="18"/>
          <w:szCs w:val="18"/>
          <w:b w:val="1"/>
          <w:bCs w:val="1"/>
          <w:color w:val="auto"/>
        </w:rPr>
        <w:t>If we fail to develop and introduce new online games timely and successfully, we will not be able to compete effectively and our ability to generate revenues will suffer.</w:t>
      </w:r>
    </w:p>
    <w:p>
      <w:pPr>
        <w:spacing w:after="0" w:line="173" w:lineRule="exact"/>
        <w:rPr>
          <w:sz w:val="20"/>
          <w:szCs w:val="20"/>
          <w:color w:val="auto"/>
        </w:rPr>
      </w:pPr>
    </w:p>
    <w:p>
      <w:pPr>
        <w:ind w:right="160" w:firstLine="639"/>
        <w:spacing w:after="0" w:line="288" w:lineRule="auto"/>
        <w:rPr>
          <w:sz w:val="20"/>
          <w:szCs w:val="20"/>
          <w:color w:val="auto"/>
        </w:rPr>
      </w:pPr>
      <w:r>
        <w:rPr>
          <w:rFonts w:ascii="Arial" w:cs="Arial" w:eastAsia="Arial" w:hAnsi="Arial"/>
          <w:sz w:val="16"/>
          <w:szCs w:val="16"/>
          <w:color w:val="auto"/>
        </w:rPr>
        <w:t>We operate in a highly competitive, quickly changing environment, and our future success depends not only on the popularity of our existing online games but also on our ability to develop and introduce new games that our customers and users choose to buy. The development of new online games can be very difficult and requires high levels of innovation. Our ability to develop successful new online games will largely depend on our ability to anticipate and effectively respond to changing interests and preferences of game players and technological advances in a timely manner. If we are unsuccessful at developing and introducing new online games that are appealing to users with acceptable prices and terms, our business and operating results will be negatively impacted because we would not be able to compete effectively and our ability to generate revenues would suffer.</w:t>
      </w:r>
    </w:p>
    <w:p>
      <w:pPr>
        <w:spacing w:after="0" w:line="167" w:lineRule="exact"/>
        <w:rPr>
          <w:sz w:val="20"/>
          <w:szCs w:val="20"/>
          <w:color w:val="auto"/>
        </w:rPr>
      </w:pPr>
    </w:p>
    <w:p>
      <w:pPr>
        <w:ind w:right="40" w:firstLine="639"/>
        <w:spacing w:after="0" w:line="283" w:lineRule="auto"/>
        <w:rPr>
          <w:sz w:val="20"/>
          <w:szCs w:val="20"/>
          <w:color w:val="auto"/>
        </w:rPr>
      </w:pPr>
      <w:r>
        <w:rPr>
          <w:rFonts w:ascii="Arial" w:cs="Arial" w:eastAsia="Arial" w:hAnsi="Arial"/>
          <w:sz w:val="16"/>
          <w:szCs w:val="16"/>
          <w:color w:val="auto"/>
        </w:rPr>
        <w:t>New technologies in online game programming or operations could render our current online titles or other online games that we develop in the future obsolete or unattractive to our users, thereby limiting our ability to recover development costs and potentially adversely affecting our future revenues and profitability. For example, the online game industry in China has been transitioning to mobile games, which have become increasingly popular as Internet users in China rely more and more on mobile devices, such as smart phones and tablets, to access the Internet. In response to this trend, we devote significant resources to developing games that can be operated on mobile devices. We have commercially launched over 100 self-developed and licensed mobile games as of December 31, 2018, including the Fantasy Westward Journey mobile game, Westward Journey Online mobile game, Onmyoji, the mobile version of New Ghost, Invincible, Knives Out, Chu Liu Xiang and Identity V. Each of our new games has required long periods of time for research and development, testing and also typically experience long ramp-up periods as players become familiar with the games. We are still relatively new to the development of mobile games, and we cannot guarantee that we will be able to develop successful mobile games that appeal to players. We are not able to predict if or when we will commercially launch additional new games and whether any of our new games will gain popularity in the Chinese online game market.</w:t>
      </w:r>
    </w:p>
    <w:p>
      <w:pPr>
        <w:spacing w:after="0" w:line="175" w:lineRule="exact"/>
        <w:rPr>
          <w:sz w:val="20"/>
          <w:szCs w:val="20"/>
          <w:color w:val="auto"/>
        </w:rPr>
      </w:pPr>
    </w:p>
    <w:p>
      <w:pPr>
        <w:ind w:firstLine="639"/>
        <w:spacing w:after="0" w:line="286" w:lineRule="auto"/>
        <w:rPr>
          <w:sz w:val="20"/>
          <w:szCs w:val="20"/>
          <w:color w:val="auto"/>
        </w:rPr>
      </w:pPr>
      <w:r>
        <w:rPr>
          <w:rFonts w:ascii="Arial" w:cs="Arial" w:eastAsia="Arial" w:hAnsi="Arial"/>
          <w:sz w:val="16"/>
          <w:szCs w:val="16"/>
          <w:color w:val="auto"/>
        </w:rPr>
        <w:t>In addition, we are required to devote significant resources to the ongoing operations of our online games, such as staff costs related to our “Game Masters” which supervise the activities within our games and development costs for expansion packs of existing online games. We are unable to predict whether we will be able to maintain our profitability given the significant resources we are required to devote to game development and ongoing operations. Furthermore, our ability to introduce successful updates and expansion packs for our existing games will also depend on our ability to collect and analyze user behavior data and feedback from our online community in a timely manner and to effectively incorporate features into our updates and expansion packs to improve the variety and attractiveness of our virtual items. If we fail to anticipate our users’ needs and technological trends accurately or are otherwise unable to complete the development of games in a timely fashion, we will be unable to introduce new games into the market to successfully compete.</w:t>
      </w:r>
    </w:p>
    <w:p>
      <w:pPr>
        <w:spacing w:after="0" w:line="170"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The demand for new games is difficult to forecast, in part due to the continuous evolution of the market and relatively short life cycles of online games. As we introduce and support additional games and as competition in the market for our games intensify, we expect that it will become more difficult to forecast demand. In particular, competition in the online game market is growing as more and more online games are introduced by existing and new market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the popularity of our top-performing online games for a variety of reasons.</w:t>
      </w:r>
    </w:p>
    <w:p>
      <w:pPr>
        <w:spacing w:after="0" w:line="225" w:lineRule="exact"/>
        <w:rPr>
          <w:sz w:val="20"/>
          <w:szCs w:val="20"/>
          <w:color w:val="auto"/>
        </w:rPr>
      </w:pPr>
    </w:p>
    <w:p>
      <w:pPr>
        <w:ind w:right="20" w:firstLine="639"/>
        <w:spacing w:after="0" w:line="265" w:lineRule="auto"/>
        <w:rPr>
          <w:sz w:val="20"/>
          <w:szCs w:val="20"/>
          <w:color w:val="auto"/>
        </w:rPr>
      </w:pPr>
      <w:r>
        <w:rPr>
          <w:rFonts w:ascii="Arial" w:cs="Arial" w:eastAsia="Arial" w:hAnsi="Arial"/>
          <w:sz w:val="17"/>
          <w:szCs w:val="17"/>
          <w:color w:val="auto"/>
        </w:rPr>
        <w:t>The aggregate net revenue generated by our five top-performing online games in terms of revenue contribution constituted 46.3%, 44.3% and 30.2% of our total net revenues in 2016, 2017 and 2018, respectively. We expect that we will need to continually introduce new versions or substantive upgrades of these and our other online games on a frequent basis to maintain their popularity, although changes in users’ tastes or in the overall market for online games in China could alter the anticipated life cycle of each version or upgrade or even cause our users to stop playing our games altogether. Because of the limited history of the online games market in China, which is also rapidly evolving, we cannot at this time estimate the total life cycle of any of our games, particularly our more recently launched mobile or PC-client games. If we are unable to maintain the popularity of our existing online games or are unable to introduce new online games which are popular with online game users in China (as discussed in the previous risk factor), our business and results of operations could be materially and adversely affected. In particular, we have devoted, and expect to continue to devote, significant resources to maintain and raise the popularity of our online games through the release of new versions and/or expansion packs on a periodic basis and various promotional activities such as media advertising, game tournaments and hosting the NetEase Da Shen forum, which provides an online community for elite game players, key opinion leaders and masters of the online game industry to interact.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b w:val="1"/>
          <w:bCs w:val="1"/>
          <w:color w:val="auto"/>
        </w:rPr>
        <w:t>We may not be successful in making our mobile games profitable and our profits from mobile games may be relatively lower than the profits we have enjoyed historically for PC-client games.</w:t>
      </w:r>
    </w:p>
    <w:p>
      <w:pPr>
        <w:spacing w:after="0" w:line="173" w:lineRule="exact"/>
        <w:rPr>
          <w:sz w:val="20"/>
          <w:szCs w:val="20"/>
          <w:color w:val="auto"/>
        </w:rPr>
      </w:pPr>
    </w:p>
    <w:p>
      <w:pPr>
        <w:ind w:right="100" w:firstLine="639"/>
        <w:spacing w:after="0" w:line="291" w:lineRule="auto"/>
        <w:rPr>
          <w:sz w:val="20"/>
          <w:szCs w:val="20"/>
          <w:color w:val="auto"/>
        </w:rPr>
      </w:pPr>
      <w:r>
        <w:rPr>
          <w:rFonts w:ascii="Arial" w:cs="Arial" w:eastAsia="Arial" w:hAnsi="Arial"/>
          <w:sz w:val="16"/>
          <w:szCs w:val="16"/>
          <w:color w:val="auto"/>
        </w:rPr>
        <w:t>Our profits from our mobile games, even if the games are successful, are generally lower than our profits generated from PC-client games, because, in order to gain access to our games on mobile application stores, which are the primary distribution channel for our mobile games, we must enter into revenue-sharing arrangements that result in lower profit margins compared with those of our PC-client games. In addition, our mobile games tend to cover a wider variety of genres, which has historically resulted in a relatively lower profitability than that of our PC-client games. Furthermore, we are releasing more of our mobile games overseas, which may involve additional marketing and distribution costs and further impact the profitability of our mobile games.</w:t>
      </w:r>
    </w:p>
    <w:p>
      <w:pPr>
        <w:spacing w:after="0" w:line="163"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We have devoted and expect to continue to devote a significant amount of resources to the development of our mobile games, but the relatively lower profit margins and other uncertainties make it difficult to know whether we will succeed in making our mobile game operations profitable. If we do not succeed in doing so, our business and results of operations will be adversely affected.</w:t>
      </w:r>
    </w:p>
    <w:p>
      <w:pPr>
        <w:spacing w:after="0" w:line="18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We rely on third-party platforms to distribute our mobile games and collect payments. If we fail to maintain our relationships with these platforms, if the platforms lose popularity among users, or if our revenue-sharing arrangements with these platforms change to our detriment, our mobile games business may be adversely affected.</w:t>
      </w:r>
    </w:p>
    <w:p>
      <w:pPr>
        <w:spacing w:after="0" w:line="186" w:lineRule="exact"/>
        <w:rPr>
          <w:sz w:val="20"/>
          <w:szCs w:val="20"/>
          <w:color w:val="auto"/>
        </w:rPr>
      </w:pPr>
    </w:p>
    <w:p>
      <w:pPr>
        <w:ind w:right="100" w:firstLine="639"/>
        <w:spacing w:after="0" w:line="304" w:lineRule="auto"/>
        <w:rPr>
          <w:sz w:val="20"/>
          <w:szCs w:val="20"/>
          <w:color w:val="auto"/>
        </w:rPr>
      </w:pPr>
      <w:r>
        <w:rPr>
          <w:rFonts w:ascii="Arial" w:cs="Arial" w:eastAsia="Arial" w:hAnsi="Arial"/>
          <w:sz w:val="16"/>
          <w:szCs w:val="16"/>
          <w:color w:val="auto"/>
        </w:rPr>
        <w:t>In addition to our proprietary distribution channels, we publish our mobile games through the Apple iOS app store and other mobile application stores or platforms owned and operated by third parties. We rely on these third parties to promote and publish our mobile games, record gross billings, maintain the security of their platforms to prevent fraudulent activities, provide certain user services and, in some instances, process payments from users.</w:t>
      </w:r>
    </w:p>
    <w:p>
      <w:pPr>
        <w:spacing w:after="0" w:line="153"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82" w:lineRule="exact"/>
        <w:rPr>
          <w:sz w:val="20"/>
          <w:szCs w:val="20"/>
          <w:color w:val="auto"/>
        </w:rPr>
      </w:pPr>
    </w:p>
    <w:p>
      <w:pPr>
        <w:ind w:right="20" w:firstLine="639"/>
        <w:spacing w:after="0" w:line="286" w:lineRule="auto"/>
        <w:rPr>
          <w:sz w:val="20"/>
          <w:szCs w:val="20"/>
          <w:color w:val="auto"/>
        </w:rPr>
      </w:pPr>
      <w:r>
        <w:rPr>
          <w:rFonts w:ascii="Arial" w:cs="Arial" w:eastAsia="Arial" w:hAnsi="Arial"/>
          <w:sz w:val="16"/>
          <w:szCs w:val="16"/>
          <w:color w:val="auto"/>
        </w:rPr>
        <w:t>Furthermore, a few of these third-party platforms dominate the mobile application distribution channels. Any changes in the revenue-sharing arrangements that we have with any of the major third-party application distribution platforms may materially impact our revenue and profitability.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170" w:lineRule="exact"/>
        <w:rPr>
          <w:sz w:val="20"/>
          <w:szCs w:val="20"/>
          <w:color w:val="auto"/>
        </w:rPr>
      </w:pPr>
    </w:p>
    <w:p>
      <w:pPr>
        <w:jc w:val="both"/>
        <w:ind w:right="220" w:firstLine="639"/>
        <w:spacing w:after="0" w:line="252" w:lineRule="auto"/>
        <w:rPr>
          <w:sz w:val="20"/>
          <w:szCs w:val="20"/>
          <w:color w:val="auto"/>
        </w:rPr>
      </w:pPr>
      <w:r>
        <w:rPr>
          <w:rFonts w:ascii="Arial" w:cs="Arial" w:eastAsia="Arial" w:hAnsi="Arial"/>
          <w:sz w:val="18"/>
          <w:szCs w:val="18"/>
          <w:color w:val="auto"/>
        </w:rPr>
        <w:t>We rely on the continued operation of third-party platforms. We distribute our games through China’s major mobile platforms, including major app stores and social networking platforms. Our games benefit from the strong brand recognition, large user base and the stickiness of these mobile platforms. If any of these mobile platforms lose their market positions or are no longer popular with users, our ability to reach more users will be limited. In addition, we would need to identify alternative channels for marketing, promoting and distributing our games, which would consume substantial resources and may not be effective.</w:t>
      </w:r>
    </w:p>
    <w:p>
      <w:pPr>
        <w:spacing w:after="0" w:line="186"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b w:val="1"/>
          <w:bCs w:val="1"/>
          <w:color w:val="auto"/>
        </w:rPr>
        <w:t>Any difficulties or delays in receiving approval from the relevant government authorities for the games operated by us or any expansion packs for, or material changes to, such games could adversely affect such games’ popularity and profitability.</w:t>
      </w:r>
    </w:p>
    <w:p>
      <w:pPr>
        <w:spacing w:after="0" w:line="173" w:lineRule="exact"/>
        <w:rPr>
          <w:sz w:val="20"/>
          <w:szCs w:val="20"/>
          <w:color w:val="auto"/>
        </w:rPr>
      </w:pPr>
    </w:p>
    <w:p>
      <w:pPr>
        <w:ind w:right="40" w:firstLine="639"/>
        <w:spacing w:after="0" w:line="267" w:lineRule="auto"/>
        <w:rPr>
          <w:sz w:val="20"/>
          <w:szCs w:val="20"/>
          <w:color w:val="auto"/>
        </w:rPr>
      </w:pPr>
      <w:r>
        <w:rPr>
          <w:rFonts w:ascii="Arial" w:cs="Arial" w:eastAsia="Arial" w:hAnsi="Arial"/>
          <w:sz w:val="17"/>
          <w:szCs w:val="17"/>
          <w:color w:val="auto"/>
        </w:rPr>
        <w:t>All games we release in China require government approvals. Moreover, even after certain games have received government approvals, any expansion packs for or material changes to the content of those games may require further government approvals. We cannot be certain of the duration of any necessary approval processes, and any delay in receiving such government approvals may adversely affect the profitability and popularity of such games. In particular, game approvals in 2018 experienced certain delays, although the approvals resumed starting from the end of 2018. Since then, China’s game regulatory authority has officially published several lists of newly approved game titles, pursuant to which a number of online games have received approvals. We are not certain what was the cause of the delays in 2018, and although our operations were not materially affected by such delays, we cannot predict the effect any future delay in approvals may have on our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Reports of violence and crimes related to online games or any claims of our gaming contents to be, among others, obscene, superstitious, fraudulent, defamatory or impairing public interest, may result in negative publicity or a governmental response that could have a material and adverse impact on our business.</w:t>
      </w:r>
    </w:p>
    <w:p>
      <w:pPr>
        <w:spacing w:after="0" w:line="186"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new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the Telecommunications and Internet Industries in China—The Chinese government has taken steps to limit online game playing time for all minors. These and any other new restrictions may materially and adversely impact our business and results of operations.” If the Chinese government should determine that online games have a negative impact on society, it may impose certain additional restrictions on the online game industry, which could in turn have a material and adverse effect on our business and results of operations.</w:t>
      </w:r>
    </w:p>
    <w:p>
      <w:pPr>
        <w:spacing w:after="0" w:line="181" w:lineRule="exact"/>
        <w:rPr>
          <w:sz w:val="20"/>
          <w:szCs w:val="20"/>
          <w:color w:val="auto"/>
        </w:rPr>
      </w:pPr>
    </w:p>
    <w:p>
      <w:pPr>
        <w:ind w:right="40" w:firstLine="639"/>
        <w:spacing w:after="0" w:line="266" w:lineRule="auto"/>
        <w:rPr>
          <w:sz w:val="20"/>
          <w:szCs w:val="20"/>
          <w:color w:val="auto"/>
        </w:rPr>
      </w:pPr>
      <w:r>
        <w:rPr>
          <w:rFonts w:ascii="Arial" w:cs="Arial" w:eastAsia="Arial" w:hAnsi="Arial"/>
          <w:sz w:val="17"/>
          <w:szCs w:val="17"/>
          <w:color w:val="auto"/>
        </w:rPr>
        <w:t>In addition, the Chinese government and regulatory authorities prohibit any Internet content that, among other things, violates PRC laws and regulations, impairs the national dignity of China or the public interest, or is obscene, superstitious, fraudulent, violent or defamatory. When Internet content providers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Internet content provider, or ICP, license and other required licenses to operate our business. Internet content providers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w:t>
      </w:r>
    </w:p>
    <w:p>
      <w:pPr>
        <w:spacing w:after="0" w:line="179"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b w:val="1"/>
          <w:bCs w:val="1"/>
          <w:color w:val="auto"/>
        </w:rPr>
        <w:t>We may not be able to maintain stable relationships with our existing game licensors, and we may experience difficulties in the operation of the online games licensed from them.</w:t>
      </w:r>
    </w:p>
    <w:p>
      <w:pPr>
        <w:spacing w:after="0" w:line="173" w:lineRule="exact"/>
        <w:rPr>
          <w:sz w:val="20"/>
          <w:szCs w:val="20"/>
          <w:color w:val="auto"/>
        </w:rPr>
      </w:pPr>
    </w:p>
    <w:p>
      <w:pPr>
        <w:ind w:right="40" w:firstLine="639"/>
        <w:spacing w:after="0" w:line="265" w:lineRule="auto"/>
        <w:rPr>
          <w:sz w:val="20"/>
          <w:szCs w:val="20"/>
          <w:color w:val="auto"/>
        </w:rPr>
      </w:pPr>
      <w:r>
        <w:rPr>
          <w:rFonts w:ascii="Arial" w:cs="Arial" w:eastAsia="Arial" w:hAnsi="Arial"/>
          <w:sz w:val="16"/>
          <w:szCs w:val="16"/>
          <w:color w:val="auto"/>
        </w:rPr>
        <w:t>In addition to our internally-developed games, we also offer several mobile and PC-client games licensed from international developers, which accounted for 12.5%, 7.2% and 5.7% of our total net revenues in 2016, 2017 and 2018, respectively. For example, starting in August 2008, Blizzard Entertainment, Inc. (together with its affiliated companies, referred to as Blizzard in this annual report) agreed to license certain online games developed by it to Shanghai EaseNet Network Technology Co., Ltd., or Shanghai EaseNet, for operation in the PRC. Shanghai EaseNet is a PRC company owned by William Lei Ding, our Chief Executive Officer, director and major shareholder, and has contractual arrangements with us and with the joint venture established between Blizzard and us. In January 2019, Shanghai EaseNet and Blizzard extended the term of their joint venture as well as all existing game licenses by Blizzard to Shanghai EaseNet to January 2023. These games include World of Warcraft</w:t>
      </w:r>
      <w:r>
        <w:rPr>
          <w:rFonts w:ascii="Arial" w:cs="Arial" w:eastAsia="Arial" w:hAnsi="Arial"/>
          <w:sz w:val="21"/>
          <w:szCs w:val="21"/>
          <w:color w:val="auto"/>
          <w:vertAlign w:val="superscript"/>
        </w:rPr>
        <w:t>®</w:t>
      </w:r>
      <w:r>
        <w:rPr>
          <w:rFonts w:ascii="Arial" w:cs="Arial" w:eastAsia="Arial" w:hAnsi="Arial"/>
          <w:sz w:val="16"/>
          <w:szCs w:val="16"/>
          <w:color w:val="auto"/>
        </w:rPr>
        <w:t>, StarCraft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II, Diablo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III, Hearthstone</w:t>
      </w:r>
      <w:r>
        <w:rPr>
          <w:rFonts w:ascii="Arial" w:cs="Arial" w:eastAsia="Arial" w:hAnsi="Arial"/>
          <w:sz w:val="21"/>
          <w:szCs w:val="21"/>
          <w:color w:val="auto"/>
          <w:vertAlign w:val="superscript"/>
        </w:rPr>
        <w:t>®</w:t>
      </w:r>
      <w:r>
        <w:rPr>
          <w:rFonts w:ascii="Arial" w:cs="Arial" w:eastAsia="Arial" w:hAnsi="Arial"/>
          <w:sz w:val="16"/>
          <w:szCs w:val="16"/>
          <w:color w:val="auto"/>
        </w:rPr>
        <w:t>, Heroes of the Storm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Overwatch</w:t>
      </w:r>
      <w:r>
        <w:rPr>
          <w:rFonts w:ascii="Arial" w:cs="Arial" w:eastAsia="Arial" w:hAnsi="Arial"/>
          <w:sz w:val="21"/>
          <w:szCs w:val="21"/>
          <w:color w:val="auto"/>
          <w:vertAlign w:val="superscript"/>
        </w:rPr>
        <w:t>®</w:t>
      </w:r>
      <w:r>
        <w:rPr>
          <w:rFonts w:ascii="Arial" w:cs="Arial" w:eastAsia="Arial" w:hAnsi="Arial"/>
          <w:sz w:val="16"/>
          <w:szCs w:val="16"/>
          <w:color w:val="auto"/>
        </w:rPr>
        <w:t>, all of which have been commercially launched. We are also currently co-developing Diablo Immortal</w:t>
      </w:r>
      <w:r>
        <w:rPr>
          <w:rFonts w:ascii="Arial" w:cs="Arial" w:eastAsia="Arial" w:hAnsi="Arial"/>
          <w:sz w:val="21"/>
          <w:szCs w:val="21"/>
          <w:color w:val="auto"/>
          <w:vertAlign w:val="superscript"/>
        </w:rPr>
        <w:t>TM</w:t>
      </w:r>
      <w:r>
        <w:rPr>
          <w:rFonts w:ascii="Arial" w:cs="Arial" w:eastAsia="Arial" w:hAnsi="Arial"/>
          <w:sz w:val="16"/>
          <w:szCs w:val="16"/>
          <w:color w:val="auto"/>
        </w:rPr>
        <w:t>, a mobile massively multiplayer online action role-playing games, or MMO action-RPG, with Blizzard. In addition to our relationship with Blizzard, in May 2016, we entered into a five-year exclusive agreement with Mojang AB, a subsidiary of Microsoft, pursuant to which Microsoft and Mojang agreed to license the operation of Minecraft in the PRC to us.</w:t>
      </w:r>
    </w:p>
    <w:p>
      <w:pPr>
        <w:spacing w:after="0" w:line="186"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harm our operating results and business. 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spacing w:after="0" w:line="181" w:lineRule="exact"/>
        <w:rPr>
          <w:sz w:val="20"/>
          <w:szCs w:val="20"/>
          <w:color w:val="auto"/>
        </w:rPr>
      </w:pPr>
    </w:p>
    <w:p>
      <w:pPr>
        <w:ind w:right="260" w:firstLine="639"/>
        <w:spacing w:after="0" w:line="257" w:lineRule="auto"/>
        <w:rPr>
          <w:sz w:val="20"/>
          <w:szCs w:val="20"/>
          <w:color w:val="auto"/>
        </w:rPr>
      </w:pPr>
      <w:r>
        <w:rPr>
          <w:rFonts w:ascii="Arial" w:cs="Arial" w:eastAsia="Arial" w:hAnsi="Arial"/>
          <w:sz w:val="18"/>
          <w:szCs w:val="18"/>
          <w:color w:val="auto"/>
        </w:rPr>
        <w:t>Generally, the licenses between our game licensors and us require us, as licensee of the games, to pay them royalties for the games over the terms of the licenses, to make minimum marketing expenditure commitments, or to provide funds for hardware to operate the games. See Item 4.B. “Business Overview—Our Services—Licensed Games.” for details about these arrangements.</w:t>
      </w:r>
    </w:p>
    <w:p>
      <w:pPr>
        <w:spacing w:after="0" w:line="188" w:lineRule="exact"/>
        <w:rPr>
          <w:sz w:val="20"/>
          <w:szCs w:val="20"/>
          <w:color w:val="auto"/>
        </w:rPr>
      </w:pPr>
    </w:p>
    <w:p>
      <w:pPr>
        <w:ind w:right="40" w:firstLine="639"/>
        <w:spacing w:after="0" w:line="251" w:lineRule="auto"/>
        <w:rPr>
          <w:sz w:val="20"/>
          <w:szCs w:val="20"/>
          <w:color w:val="auto"/>
        </w:rPr>
      </w:pPr>
      <w:r>
        <w:rPr>
          <w:rFonts w:ascii="Arial" w:cs="Arial" w:eastAsia="Arial" w:hAnsi="Arial"/>
          <w:sz w:val="18"/>
          <w:szCs w:val="18"/>
          <w:color w:val="auto"/>
        </w:rPr>
        <w:t>We believe that our current cash and cash equivalents and cash flow from operations will be sufficient to meet our foregoing obligations. To the extent our obligations exceed our cash resources, we may seek to sell equity or debt securities or to obtain a credit facility. The sale of equity or convertible debt securities could result in dilution to shareholders. The incurrence of indebtedness would result in increased debt service obligations and could result in operating and financial covenants that would restrict operations. Financing may not be available in amounts or on terms acceptable to us, if at all. If we are unable to meet our foregoing obligations, our licensed games operation and financial condition could be adversely affected and our licenses with our game licensors could be terminated.</w:t>
      </w:r>
    </w:p>
    <w:p>
      <w:pPr>
        <w:spacing w:after="0" w:line="193" w:lineRule="exact"/>
        <w:rPr>
          <w:sz w:val="20"/>
          <w:szCs w:val="20"/>
          <w:color w:val="auto"/>
        </w:rPr>
      </w:pPr>
    </w:p>
    <w:p>
      <w:pPr>
        <w:ind w:right="120" w:firstLine="639"/>
        <w:spacing w:after="0" w:line="253" w:lineRule="auto"/>
        <w:rPr>
          <w:sz w:val="20"/>
          <w:szCs w:val="20"/>
          <w:color w:val="auto"/>
        </w:rPr>
      </w:pPr>
      <w:r>
        <w:rPr>
          <w:rFonts w:ascii="Arial" w:cs="Arial" w:eastAsia="Arial" w:hAnsi="Arial"/>
          <w:sz w:val="18"/>
          <w:szCs w:val="18"/>
          <w:color w:val="auto"/>
        </w:rPr>
        <w:t>In addition, we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results of operations and financial condition.</w:t>
      </w:r>
    </w:p>
    <w:p>
      <w:pPr>
        <w:sectPr>
          <w:pgSz w:w="11900" w:h="16838" w:orient="portrait"/>
          <w:cols w:equalWidth="0" w:num="1">
            <w:col w:w="11420"/>
          </w:cols>
          <w:pgMar w:left="240" w:top="12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26948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alliances may expose us to potential risks.</w:t>
      </w:r>
    </w:p>
    <w:p>
      <w:pPr>
        <w:spacing w:after="0" w:line="225" w:lineRule="exact"/>
        <w:rPr>
          <w:sz w:val="20"/>
          <w:szCs w:val="20"/>
          <w:color w:val="auto"/>
        </w:rPr>
      </w:pPr>
    </w:p>
    <w:p>
      <w:pPr>
        <w:ind w:right="200" w:firstLine="639"/>
        <w:spacing w:after="0" w:line="252" w:lineRule="auto"/>
        <w:rPr>
          <w:sz w:val="20"/>
          <w:szCs w:val="20"/>
          <w:color w:val="auto"/>
        </w:rPr>
      </w:pPr>
      <w:r>
        <w:rPr>
          <w:rFonts w:ascii="Arial" w:cs="Arial" w:eastAsia="Arial" w:hAnsi="Arial"/>
          <w:sz w:val="18"/>
          <w:szCs w:val="18"/>
          <w:color w:val="auto"/>
        </w:rPr>
        <w:t>Strategic alliances with key players in the online game industry and other related industry sectors form part of our strategy to expand our portfolio of online games. However, our ability to grow through future alliances, including through joint ventures, will depend on the availability of suitable partners at reasonable terms, our ability to compete effectively to attract these partners, the availability of financing to complete larger joint ventures, and our ability to obtain any required governmental approvals. Further, the benefits of an alliance may take considerable time to develop, and we cannot be certain that any particular alliance will produce its intended benefits.</w:t>
      </w:r>
    </w:p>
    <w:p>
      <w:pPr>
        <w:spacing w:after="0" w:line="192" w:lineRule="exact"/>
        <w:rPr>
          <w:sz w:val="20"/>
          <w:szCs w:val="20"/>
          <w:color w:val="auto"/>
        </w:rPr>
      </w:pPr>
    </w:p>
    <w:p>
      <w:pPr>
        <w:ind w:right="200" w:firstLine="639"/>
        <w:spacing w:after="0" w:line="286" w:lineRule="auto"/>
        <w:rPr>
          <w:sz w:val="20"/>
          <w:szCs w:val="20"/>
          <w:color w:val="auto"/>
        </w:rPr>
      </w:pPr>
      <w:r>
        <w:rPr>
          <w:rFonts w:ascii="Arial" w:cs="Arial" w:eastAsia="Arial" w:hAnsi="Arial"/>
          <w:sz w:val="16"/>
          <w:szCs w:val="16"/>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6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b w:val="1"/>
          <w:bCs w:val="1"/>
          <w:color w:val="auto"/>
        </w:rPr>
        <w:t>Our new games may attract game players away from our existing games, which may have a material adverse effect on our business, financial condition and results of operations.</w:t>
      </w:r>
    </w:p>
    <w:p>
      <w:pPr>
        <w:spacing w:after="0" w:line="173"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Our new online games, including mobile games and PC-client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changed game features in our online games may not be well received by our game players.</w:t>
      </w:r>
    </w:p>
    <w:p>
      <w:pPr>
        <w:spacing w:after="0" w:line="225" w:lineRule="exact"/>
        <w:rPr>
          <w:sz w:val="20"/>
          <w:szCs w:val="20"/>
          <w:color w:val="auto"/>
        </w:rPr>
      </w:pPr>
    </w:p>
    <w:p>
      <w:pPr>
        <w:ind w:right="100" w:firstLine="639"/>
        <w:spacing w:after="0" w:line="295" w:lineRule="auto"/>
        <w:rPr>
          <w:sz w:val="20"/>
          <w:szCs w:val="20"/>
          <w:color w:val="auto"/>
        </w:rPr>
      </w:pPr>
      <w:r>
        <w:rPr>
          <w:rFonts w:ascii="Arial" w:cs="Arial" w:eastAsia="Arial" w:hAnsi="Arial"/>
          <w:sz w:val="16"/>
          <w:szCs w:val="16"/>
          <w:color w:val="auto"/>
        </w:rPr>
        <w:t>In the course of launching and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55"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b w:val="1"/>
          <w:bCs w:val="1"/>
          <w:color w:val="auto"/>
        </w:rPr>
        <w:t>Illegal game servers and acts of cheating by users of online games could harm our business and reputation and materially and adversely affect our results of operations.</w:t>
      </w:r>
    </w:p>
    <w:p>
      <w:pPr>
        <w:spacing w:after="0" w:line="173" w:lineRule="exact"/>
        <w:rPr>
          <w:sz w:val="20"/>
          <w:szCs w:val="20"/>
          <w:color w:val="auto"/>
        </w:rPr>
      </w:pPr>
    </w:p>
    <w:p>
      <w:pPr>
        <w:ind w:right="60" w:firstLine="639"/>
        <w:spacing w:after="0" w:line="291" w:lineRule="auto"/>
        <w:rPr>
          <w:sz w:val="20"/>
          <w:szCs w:val="20"/>
          <w:color w:val="auto"/>
        </w:rPr>
      </w:pPr>
      <w:r>
        <w:rPr>
          <w:rFonts w:ascii="Arial" w:cs="Arial" w:eastAsia="Arial" w:hAnsi="Arial"/>
          <w:sz w:val="16"/>
          <w:szCs w:val="16"/>
          <w:color w:val="auto"/>
        </w:rPr>
        <w:t>Several of our competitors have reported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63" w:lineRule="exact"/>
        <w:rPr>
          <w:sz w:val="20"/>
          <w:szCs w:val="20"/>
          <w:color w:val="auto"/>
        </w:rPr>
      </w:pPr>
    </w:p>
    <w:p>
      <w:pPr>
        <w:ind w:right="20" w:firstLine="639"/>
        <w:spacing w:after="0" w:line="267" w:lineRule="auto"/>
        <w:rPr>
          <w:sz w:val="20"/>
          <w:szCs w:val="20"/>
          <w:color w:val="auto"/>
        </w:rPr>
      </w:pPr>
      <w:r>
        <w:rPr>
          <w:rFonts w:ascii="Arial" w:cs="Arial" w:eastAsia="Arial" w:hAnsi="Arial"/>
          <w:sz w:val="17"/>
          <w:szCs w:val="17"/>
          <w:color w:val="auto"/>
        </w:rPr>
        <w:t>In addition, acts of cheating by users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Although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83" w:lineRule="exact"/>
        <w:rPr>
          <w:sz w:val="20"/>
          <w:szCs w:val="20"/>
          <w:color w:val="auto"/>
        </w:rPr>
      </w:pPr>
    </w:p>
    <w:p>
      <w:pPr>
        <w:jc w:val="both"/>
        <w:ind w:right="60" w:firstLine="639"/>
        <w:spacing w:after="0" w:line="295" w:lineRule="auto"/>
        <w:rPr>
          <w:sz w:val="20"/>
          <w:szCs w:val="20"/>
          <w:color w:val="auto"/>
        </w:rPr>
      </w:pPr>
      <w:r>
        <w:rPr>
          <w:rFonts w:ascii="Arial" w:cs="Arial" w:eastAsia="Arial" w:hAnsi="Arial"/>
          <w:sz w:val="16"/>
          <w:szCs w:val="16"/>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 a fair playing environment for our users. However, if any of our regulatory activities are found to be wrongly implemented, our users may institute legal proceedings against us for damages or claims. Our operation, business and financial performance may be materially and adversely affected as a result.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b w:val="1"/>
          <w:bCs w:val="1"/>
          <w:color w:val="auto"/>
        </w:rPr>
        <w:t>Some of our players make sales and purchases of our game accounts and virtual items through third-party auction websites, which may have a negative effect on our net revenues.</w:t>
      </w:r>
    </w:p>
    <w:p>
      <w:pPr>
        <w:spacing w:after="0" w:line="173" w:lineRule="exact"/>
        <w:rPr>
          <w:sz w:val="20"/>
          <w:szCs w:val="20"/>
          <w:color w:val="auto"/>
        </w:rPr>
      </w:pPr>
    </w:p>
    <w:p>
      <w:pPr>
        <w:ind w:right="40" w:firstLine="639"/>
        <w:spacing w:after="0" w:line="251" w:lineRule="auto"/>
        <w:rPr>
          <w:sz w:val="20"/>
          <w:szCs w:val="20"/>
          <w:color w:val="auto"/>
        </w:rPr>
      </w:pPr>
      <w:r>
        <w:rPr>
          <w:rFonts w:ascii="Arial" w:cs="Arial" w:eastAsia="Arial" w:hAnsi="Arial"/>
          <w:sz w:val="18"/>
          <w:szCs w:val="18"/>
          <w:color w:val="auto"/>
        </w:rPr>
        <w:t>Some of our players make sales and purchases of our game accounts and virtual items through third-party auction websites in exchange for real money.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results of operations and financial conditions.</w:t>
      </w:r>
    </w:p>
    <w:p>
      <w:pPr>
        <w:spacing w:after="0" w:line="193"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color w:val="auto"/>
        </w:rPr>
        <w:t>In addition, such trading activities could run afoul of PRC regulations on virtual currency and subject traders and us to potential liability. See “— Restrictions on virtual currency may adversely affect our online game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e-commerce business may expose us to new challenges and risks and may lower our profit margin.</w:t>
      </w:r>
    </w:p>
    <w:p>
      <w:pPr>
        <w:spacing w:after="0" w:line="225" w:lineRule="exact"/>
        <w:rPr>
          <w:sz w:val="20"/>
          <w:szCs w:val="20"/>
          <w:color w:val="auto"/>
        </w:rPr>
      </w:pPr>
    </w:p>
    <w:p>
      <w:pPr>
        <w:ind w:firstLine="639"/>
        <w:spacing w:after="0" w:line="280" w:lineRule="auto"/>
        <w:rPr>
          <w:sz w:val="20"/>
          <w:szCs w:val="20"/>
          <w:color w:val="auto"/>
        </w:rPr>
      </w:pPr>
      <w:r>
        <w:rPr>
          <w:rFonts w:ascii="Arial" w:cs="Arial" w:eastAsia="Arial" w:hAnsi="Arial"/>
          <w:sz w:val="16"/>
          <w:szCs w:val="16"/>
          <w:color w:val="auto"/>
        </w:rPr>
        <w:t>We established our two e-commerce platforms Kaola and Yanxuan, in January 2015 and April 2016, respectively. Kaola sells mainly imported goods that we source from overseas suppliers, including maternity and baby products, skincare and cosmetics and other general merchandise. Kaola also acts as a marketplace which allows pre-approved third-party vendors to sell their products on its platform. Therefore, we are subject to the Consumer Protection Law in China, both as a seller and as an e-commerce platform provider. Yanxuan primarily sells our private label products, including apparel, homeware, kitchenware and other general merchandise which we primarily source directly from original design manufacturers in China. We generate revenue from both these platforms primarily through merchandise sales and recognize revenue on a gross basis as we carry our own inventory and have discretion in setting prices. Our e-commerce business exposes us to new challenges and risks associated with, for example, managing a global logistical network, operating directly in foreign jurisdictions and handling more complex supply and product return issues. Furthermore, our e-commerce business has required us to make significant investments in building a global supply and logistics infrastructure. The PRC regulatory framework, as well as the implementation policies of local authorities, in respect of overseas direct purchase and sale of merchandise, including beauty products, are still evolving. New laws and regulations and new interpretations of existing laws and regulations may be adopted from time to time to regulate e-commerce in China, and additional licenses and permits may be required. For example, in March 2016, relevant PRC regulatory authorities introduced certain rules, which took effect on April 8, 2016, governing the taxation of cross-border e-commerce retail imports that caps the value of goods that may be imported at a reduced tax rate. The caps were subsequently raised in accordance with the Circular on Improving Tax Policies for Cross-border E-Commerce Retail Imports released in November 2018, which became effective on January 1, 2019. We see the increases in such caps as a sign that the Chinese government wishes to encourage cross-border e-commerce, and although the caps have not had a material impact on Kaola’s transaction values since being introduced, there can be no assurance that any revision to such caps or any other future regulations on cross-border e-commerce will not have a negative impact on our operations. Substantial uncertainties still exist regarding the evolution of the regulatory system and the interpretation and implementation of current and future PRC laws and regulations applicable to our e-commerce business. For more information on this and other regulations affecting our e-commerce business, see “Government Regulations—E-commerce.”</w:t>
      </w:r>
    </w:p>
    <w:p>
      <w:pPr>
        <w:spacing w:after="0" w:line="184" w:lineRule="exact"/>
        <w:rPr>
          <w:sz w:val="20"/>
          <w:szCs w:val="20"/>
          <w:color w:val="auto"/>
        </w:rPr>
      </w:pPr>
    </w:p>
    <w:p>
      <w:pPr>
        <w:ind w:right="120" w:firstLine="639"/>
        <w:spacing w:after="0" w:line="283" w:lineRule="auto"/>
        <w:rPr>
          <w:sz w:val="20"/>
          <w:szCs w:val="20"/>
          <w:color w:val="auto"/>
        </w:rPr>
      </w:pPr>
      <w:r>
        <w:rPr>
          <w:rFonts w:ascii="Arial" w:cs="Arial" w:eastAsia="Arial" w:hAnsi="Arial"/>
          <w:sz w:val="16"/>
          <w:szCs w:val="16"/>
          <w:color w:val="auto"/>
        </w:rPr>
        <w:t>We have limited experience and operating history in the e-commerce business, which makes predicting our future results of operations difficult. Therefore, our past results of operations should not be taken as indicative of our future performance. In addition, we have incurred significant expenses on a variety of different marketing and brand promotion efforts designed to enhance the recognition of our e-commerce platforms and increase sales of our products on such platforms. However, our brand promotion and marketing activities may not be well received by our customers and may not result in the levels of product sales that we anticipate.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 from our e-commerce business will be adversely affected. Furthermore, our profit margin from the e-commerce business, even if the business is successful, is likely to be relatively lower than our profit margin from our online game business and advertising business. If we cannot successfully address new challenges specific to the e-commerce business and compete effectively, we may not be able to recover the costs of our investments, and our future results of operations and growth prospects may be materially and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If we are unable to offer products that attract new customers and new purchases from existing customers, our e-commerce business may be materially and adversely affected.</w:t>
      </w:r>
    </w:p>
    <w:p>
      <w:pPr>
        <w:spacing w:after="0" w:line="173" w:lineRule="exact"/>
        <w:rPr>
          <w:sz w:val="20"/>
          <w:szCs w:val="20"/>
          <w:color w:val="auto"/>
        </w:rPr>
      </w:pPr>
    </w:p>
    <w:p>
      <w:pPr>
        <w:ind w:right="40" w:firstLine="639"/>
        <w:spacing w:after="0" w:line="283" w:lineRule="auto"/>
        <w:rPr>
          <w:sz w:val="20"/>
          <w:szCs w:val="20"/>
          <w:color w:val="auto"/>
        </w:rPr>
      </w:pPr>
      <w:r>
        <w:rPr>
          <w:rFonts w:ascii="Arial" w:cs="Arial" w:eastAsia="Arial" w:hAnsi="Arial"/>
          <w:sz w:val="16"/>
          <w:szCs w:val="16"/>
          <w:color w:val="auto"/>
        </w:rPr>
        <w:t>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We are relatively new to this business and our lack of relevant customer data may make it more difficult for us to keep pace with evolving customer demands and preferences. Our e-commerce platforms make personalized recommendations to customers based on their past purchases or on products that they viewed but did not purchase as well as general recommendations, and we also send e-mails to our customers with product recommendations tailored to their purchase profile. Our ability to make individually tailored recommendations is dependent on our business intelligence system, which tracks, collects and analyzes our users’ browsing and purchasing behavior in accordance with our privacy policy. Our customers choose to purchase products on our platforms due in part to our ability to offer attractive prices, and they may choose to shop elsewhere if we cannot match the prices offered by other platforms or by physical stores. If our customers cannot find their desired products on our e-commerce platforms at attractive prices, they may lose interest in us and visit our platforms less frequently or even stop visiting our platforms altogether, which in turn may materially and adversely affect our e-commerce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manage and store our inventory effectively, our e-commerce business and financial position may be materially and adversely affected.</w:t>
      </w:r>
    </w:p>
    <w:p>
      <w:pPr>
        <w:spacing w:after="0" w:line="248" w:lineRule="exact"/>
        <w:rPr>
          <w:sz w:val="20"/>
          <w:szCs w:val="20"/>
          <w:color w:val="auto"/>
        </w:rPr>
      </w:pPr>
    </w:p>
    <w:p>
      <w:pPr>
        <w:ind w:right="20" w:firstLine="639"/>
        <w:spacing w:after="0" w:line="285" w:lineRule="auto"/>
        <w:rPr>
          <w:sz w:val="20"/>
          <w:szCs w:val="20"/>
          <w:color w:val="auto"/>
        </w:rPr>
      </w:pPr>
      <w:r>
        <w:rPr>
          <w:rFonts w:ascii="Arial" w:cs="Arial" w:eastAsia="Arial" w:hAnsi="Arial"/>
          <w:sz w:val="16"/>
          <w:szCs w:val="16"/>
          <w:color w:val="auto"/>
        </w:rPr>
        <w:t>Our e-commerce business requires us to manage a large volume of inventory effectively. We depend on our demand forecasts for various kinds of products to make purchase decisions and to manage our inventory. Demand for products, however, can change significantly between the time inventory is ordered and the date by which we hope to sell it, especially for direct sales for cross-border goods. Demand may be affected by seasonality, new product launches, changes in product cycles and pricing, product defects, changes in consumer spending patterns, changes in consumer tastes with respect to our products and other factors. In addition, our customers may not order products in the quantities that we expect. Moreover, when we begin selling a new product, it may be difficult to establish relationships with suppliers and original design manufacturers, determine appropriate product selection, and accurately forecast demand. The acquisition of certain types of inventory may require significant lead time and prepayment and they may not be returnable. For those products we sell directly, we normally do not have the right to return unsold items to our suppliers.</w:t>
      </w:r>
    </w:p>
    <w:p>
      <w:pPr>
        <w:spacing w:after="0" w:line="170" w:lineRule="exact"/>
        <w:rPr>
          <w:sz w:val="20"/>
          <w:szCs w:val="20"/>
          <w:color w:val="auto"/>
        </w:rPr>
      </w:pPr>
    </w:p>
    <w:p>
      <w:pPr>
        <w:ind w:right="20" w:firstLine="639"/>
        <w:spacing w:after="0" w:line="291" w:lineRule="auto"/>
        <w:rPr>
          <w:sz w:val="20"/>
          <w:szCs w:val="20"/>
          <w:color w:val="auto"/>
        </w:rPr>
      </w:pPr>
      <w:r>
        <w:rPr>
          <w:rFonts w:ascii="Arial" w:cs="Arial" w:eastAsia="Arial" w:hAnsi="Arial"/>
          <w:sz w:val="16"/>
          <w:szCs w:val="16"/>
          <w:color w:val="auto"/>
        </w:rPr>
        <w:t>If we fail to manage our inventory effectively, we may be subject to a heightened risk of inventory obsolescence, a decline in inventory values, and significant inventory write-downs or write-offs. In addition, we may be required to lower sale prices in order to reduce inventory level, which may lead to lower gross margins. High inventory levels may also require us to commit substantial capital resources, preventing us from using that capital for other important purposes. Furthermore, we may need to build or lease additional warehouse space to maintain our inventory at an optimal level, which may require additional capital resources and expenditures. Any of the above may materially and adversely affect our results of operations and financial condition.</w:t>
      </w:r>
    </w:p>
    <w:p>
      <w:pPr>
        <w:spacing w:after="0" w:line="163" w:lineRule="exact"/>
        <w:rPr>
          <w:sz w:val="20"/>
          <w:szCs w:val="20"/>
          <w:color w:val="auto"/>
        </w:rPr>
      </w:pPr>
    </w:p>
    <w:p>
      <w:pPr>
        <w:ind w:right="460" w:firstLine="639"/>
        <w:spacing w:after="0" w:line="257" w:lineRule="auto"/>
        <w:rPr>
          <w:sz w:val="20"/>
          <w:szCs w:val="20"/>
          <w:color w:val="auto"/>
        </w:rPr>
      </w:pPr>
      <w:r>
        <w:rPr>
          <w:rFonts w:ascii="Arial" w:cs="Arial" w:eastAsia="Arial" w:hAnsi="Arial"/>
          <w:sz w:val="18"/>
          <w:szCs w:val="18"/>
          <w:color w:val="auto"/>
        </w:rPr>
        <w:t>On the other hand, if we underestimate demand for our products, or if our suppliers fail to supply quality products in a timely manner, we may experience inventory shortages, which might result in missed sales, diminished brand loyalty and lost revenues, any of which could harm our e-commerce business and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the expansion of our fulfillment infrastructure.</w:t>
      </w:r>
    </w:p>
    <w:p>
      <w:pPr>
        <w:spacing w:after="0" w:line="225" w:lineRule="exact"/>
        <w:rPr>
          <w:sz w:val="20"/>
          <w:szCs w:val="20"/>
          <w:color w:val="auto"/>
        </w:rPr>
      </w:pPr>
    </w:p>
    <w:p>
      <w:pPr>
        <w:ind w:firstLine="639"/>
        <w:spacing w:after="0" w:line="283" w:lineRule="auto"/>
        <w:rPr>
          <w:sz w:val="20"/>
          <w:szCs w:val="20"/>
          <w:color w:val="auto"/>
        </w:rPr>
      </w:pPr>
      <w:r>
        <w:rPr>
          <w:rFonts w:ascii="Arial" w:cs="Arial" w:eastAsia="Arial" w:hAnsi="Arial"/>
          <w:sz w:val="16"/>
          <w:szCs w:val="16"/>
          <w:color w:val="auto"/>
        </w:rPr>
        <w:t>The success of our e-commerce business also depends on our ability to expand and effectively manage our fulfillment infrastructure, which consists of strategically located warehouses and delivery and pickup stations. We are constructing and have future plans to construct additional warehouse space to increase our storage capacity and to restructure and reorganize our fulfillment workflow and processes. As we continue to add fulfillment and warehouse capability and expand our reach, our fulfillment network becomes increasingly complex and challenging to operate. We cannot assure you that we will be able to acquire land use rights and set up warehouses, or lease suitable facilities for the delivery stations, on commercially acceptable terms or at all. Moreover, we cannot be certain that we will obtain the required permits or licenses from the relevant government authorities to undertake the construction projects in relation to our fulfillment infrastructure expansion. Even after such constructions projects are completed, certain government procedures, including audits and applications for permits, are required before we can operate at these facilities. We may also be subject to risks associated with third-party contractors for such construction projects. In addition, the expansion of our fulfillment infrastructure may strain our managerial, financial, operational and other resources. If we fail to manage such expansion successfully, our growth potential, business and results of operations may be materially and adversely affected.</w:t>
      </w:r>
    </w:p>
    <w:p>
      <w:pPr>
        <w:spacing w:after="0" w:line="16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We rely on third-party delivery services for our product delivery, and if such third-party delivery services fail to provide reliable delivery services, our e-commerce business and reputation may be materially and adversely affected.</w:t>
      </w:r>
    </w:p>
    <w:p>
      <w:pPr>
        <w:spacing w:after="0" w:line="173" w:lineRule="exact"/>
        <w:rPr>
          <w:sz w:val="20"/>
          <w:szCs w:val="20"/>
          <w:color w:val="auto"/>
        </w:rPr>
      </w:pPr>
    </w:p>
    <w:p>
      <w:pPr>
        <w:ind w:right="20" w:firstLine="639"/>
        <w:spacing w:after="0" w:line="291" w:lineRule="auto"/>
        <w:rPr>
          <w:sz w:val="20"/>
          <w:szCs w:val="20"/>
          <w:color w:val="auto"/>
        </w:rPr>
      </w:pPr>
      <w:r>
        <w:rPr>
          <w:rFonts w:ascii="Arial" w:cs="Arial" w:eastAsia="Arial" w:hAnsi="Arial"/>
          <w:sz w:val="16"/>
          <w:szCs w:val="16"/>
          <w:color w:val="auto"/>
        </w:rPr>
        <w:t>Our e-commence business uses a number of third-party delivery companies to deliver our products to customers. Any interruption to or failure in delivery services could prevent the timely or proper delivery of our products. These interruptions may be due to events that are beyond our control or the control of these third-party delivery services, such as inclement weather, natural disasters, transportation interruptions or labor unrest or shortage. We may not be able to find alternative delivery companies to provide delivery services in a timely and reliable manner, or at all, to replace such third-party delivery services to the extent necessary. If our products are not delivered in proper condition or on a timely basis or at all, our e-commerce business and reputation would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b w:val="1"/>
          <w:bCs w:val="1"/>
          <w:color w:val="auto"/>
        </w:rPr>
        <w:t>We may be subject to allegations and negative publicity claiming that products sold by our e-commerce platforms are inauthentic or counterfeit and risks associated with third-party sellers.</w:t>
      </w:r>
    </w:p>
    <w:p>
      <w:pPr>
        <w:spacing w:after="0" w:line="173" w:lineRule="exact"/>
        <w:rPr>
          <w:sz w:val="20"/>
          <w:szCs w:val="20"/>
          <w:color w:val="auto"/>
        </w:rPr>
      </w:pPr>
    </w:p>
    <w:p>
      <w:pPr>
        <w:ind w:right="40" w:firstLine="639"/>
        <w:spacing w:after="0" w:line="286" w:lineRule="auto"/>
        <w:rPr>
          <w:sz w:val="20"/>
          <w:szCs w:val="20"/>
          <w:color w:val="auto"/>
        </w:rPr>
      </w:pPr>
      <w:r>
        <w:rPr>
          <w:rFonts w:ascii="Arial" w:cs="Arial" w:eastAsia="Arial" w:hAnsi="Arial"/>
          <w:sz w:val="16"/>
          <w:szCs w:val="16"/>
          <w:color w:val="auto"/>
        </w:rPr>
        <w:t>Our e-commerce business has in the past been the subject and may continue to be subject of allegations that products offered or sold through our e-commerce platforms are inauthentic or counterfeit and infringe third-party copyrights, trademarks and patents or other intellectual property rights. We have implemented measures in an effort to verify the authenticity and authorization of products offered or sold on our e-commerce platforms, including updating and monitoring the implementation of our product procurement policies and periodic internal audit of the sources of the products offered or sold by our e-commerce platforms. However, because we source our products from various suppliers, including many overseas suppliers, verifying the authenticity and authorization of the products sourced from these suppliers may sometimes be difficult. Any further measures we are required to take to verify and document the authenticity of the products offered and sold on our e-commerce platforms could require us to spend substantial additional resources and/or experience reduced revenues.</w:t>
      </w:r>
    </w:p>
    <w:p>
      <w:pPr>
        <w:spacing w:after="0" w:line="170" w:lineRule="exact"/>
        <w:rPr>
          <w:sz w:val="20"/>
          <w:szCs w:val="20"/>
          <w:color w:val="auto"/>
        </w:rPr>
      </w:pPr>
    </w:p>
    <w:p>
      <w:pPr>
        <w:ind w:right="60" w:firstLine="639"/>
        <w:spacing w:after="0" w:line="267" w:lineRule="auto"/>
        <w:rPr>
          <w:sz w:val="20"/>
          <w:szCs w:val="20"/>
          <w:color w:val="auto"/>
        </w:rPr>
      </w:pPr>
      <w:r>
        <w:rPr>
          <w:rFonts w:ascii="Arial" w:cs="Arial" w:eastAsia="Arial" w:hAnsi="Arial"/>
          <w:sz w:val="17"/>
          <w:szCs w:val="17"/>
          <w:color w:val="auto"/>
        </w:rPr>
        <w:t>In addition, we do not have as much control over the products sold by third-party sellers using our e-commerce platform as marketplace as we do over the products that we sell directly ourselves. It is also more difficult for us to monitor and effectively manage customer satisfaction with respect to sales made by third-party sellers using our platform. If any third-party seller does not control the quality of the products that it sells on our websites, does not deliver the products or delivers them late or delivers products that are materially different from its description of them, sells counterfeit or unlicensed products on our websites, or sells certain products without licenses or permits as required by the relevant laws and regulations even though we have requested such licenses or permits in our standard form contract with the third-party seller, the reputation of our online marketplace and our brand may be materially and adversely affected and we could face claims that we should be held liable for any losses.</w:t>
      </w:r>
    </w:p>
    <w:p>
      <w:pPr>
        <w:spacing w:after="0" w:line="183" w:lineRule="exact"/>
        <w:rPr>
          <w:sz w:val="20"/>
          <w:szCs w:val="20"/>
          <w:color w:val="auto"/>
        </w:rPr>
      </w:pPr>
    </w:p>
    <w:p>
      <w:pPr>
        <w:ind w:firstLine="639"/>
        <w:spacing w:after="0" w:line="270" w:lineRule="auto"/>
        <w:rPr>
          <w:sz w:val="20"/>
          <w:szCs w:val="20"/>
          <w:color w:val="auto"/>
        </w:rPr>
      </w:pPr>
      <w:r>
        <w:rPr>
          <w:rFonts w:ascii="Arial" w:cs="Arial" w:eastAsia="Arial" w:hAnsi="Arial"/>
          <w:sz w:val="17"/>
          <w:szCs w:val="17"/>
          <w:color w:val="auto"/>
        </w:rPr>
        <w:t>Furthermore, public perception that inauthentic or counterfeit goods are offered or sold by our e-commerce platforms either directly by us or by third-party sellers using our platform, even if factually incorrect, could damage our reputation, diminish the value of our brand, undermine the trust and credibility we have established and have a negative impact on our ability to attract new customers or retain our current customers. If we are unable to maintain our reputation, enhance our brand recognition or increase positive awareness of our websites, products and services, it may be difficult to maintain and grow our customer base, and our business and growth prospects may be materially and adversely affected.</w:t>
      </w:r>
    </w:p>
    <w:p>
      <w:pPr>
        <w:spacing w:after="0" w:line="17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If we fail to manage and expand our relationships with suppliers of our e-commerce business, or otherwise fail to procure products at favorable terms, our business and growth prospects may suffer.</w:t>
      </w:r>
    </w:p>
    <w:p>
      <w:pPr>
        <w:spacing w:after="0" w:line="173" w:lineRule="exact"/>
        <w:rPr>
          <w:sz w:val="20"/>
          <w:szCs w:val="20"/>
          <w:color w:val="auto"/>
        </w:rPr>
      </w:pPr>
    </w:p>
    <w:p>
      <w:pPr>
        <w:ind w:right="80" w:firstLine="639"/>
        <w:spacing w:after="0" w:line="282" w:lineRule="auto"/>
        <w:rPr>
          <w:sz w:val="20"/>
          <w:szCs w:val="20"/>
          <w:color w:val="auto"/>
        </w:rPr>
      </w:pPr>
      <w:r>
        <w:rPr>
          <w:rFonts w:ascii="Arial" w:cs="Arial" w:eastAsia="Arial" w:hAnsi="Arial"/>
          <w:sz w:val="16"/>
          <w:szCs w:val="16"/>
          <w:color w:val="auto"/>
        </w:rPr>
        <w:t>We source products from third-party suppliers for a majority of sales made by our e-commerce business. These suppliers include manufacturers, distributors and resellers. Maintaining strong relationships with these suppliers is important to the growth of our business. In particular, we depend significantly on our ability to procure products from suppliers on favorable pricing terms. In addition, our agreements with suppliers typically do not restrict the suppliers from selling products to other buyers. We cannot assure you that our current suppliers will continue to sell products to us on commercially acceptable terms, or at all, after the term of the current agreement expires. Even if we maintain good relationships with our suppliers, their ability to supply products to us in sufficient quantity and at competitive prices may be adversely affected by economic conditions, labor actions, regulatory or legal decisions, natural disasters or other causes. In the event that we are not able to purchase merchandise at favorable prices, our revenues and cost of revenues may be materially and adversely affected. In the event any distributor or reseller does not have authority from the relevant manufacturer to sell certain products to us, such distributor or reseller may cease selling such products to us at any time. If our suppliers cease to provide us with favorable payment terms, our requirements for working capital may increase and our operations may be materially and adversely affected. We will also need to establish new supplier relationships to ensure that we have access to a steady supply of products on favorable commercial terms. If we are unable to develop and maintain good relationships with suppliers that would allow us to obtain a sufficient amount and variety of authentic and quality merchandise on acceptable commercial terms, it may inhibit our ability to offer sufficient products sought by our customers, or to offer these products at competitive prices. Any adverse developments in our relationships with suppliers could materially and adversely affect our business and growth prospects.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comply with relevant customs and other regulations on bonded areas in the PRC, our operations may be materially affected.</w:t>
      </w:r>
    </w:p>
    <w:p>
      <w:pPr>
        <w:spacing w:after="0" w:line="237" w:lineRule="exact"/>
        <w:rPr>
          <w:sz w:val="20"/>
          <w:szCs w:val="20"/>
          <w:color w:val="auto"/>
        </w:rPr>
      </w:pPr>
    </w:p>
    <w:p>
      <w:pPr>
        <w:ind w:right="160" w:firstLine="639"/>
        <w:spacing w:after="0" w:line="270" w:lineRule="auto"/>
        <w:rPr>
          <w:sz w:val="20"/>
          <w:szCs w:val="20"/>
          <w:color w:val="auto"/>
        </w:rPr>
      </w:pPr>
      <w:r>
        <w:rPr>
          <w:rFonts w:ascii="Arial" w:cs="Arial" w:eastAsia="Arial" w:hAnsi="Arial"/>
          <w:sz w:val="17"/>
          <w:szCs w:val="17"/>
          <w:color w:val="auto"/>
        </w:rPr>
        <w:t>Our cross-border e-commerce operations are subject to customs and other regulations on bonded areas in the PRC, where we temporarily store our imported goods before we take them through the customs process. Pursuant to the Customs Law of the People’s Republic of China and the Implementations Rules on Administrative Penalties, any discrepancies between the goods actually stored in bonded areas and the declarations made by an importer, as well as omissions in an importer’s declarations, may lead to administrative penalties or even criminal liabilities. In the event of any material non-compliance with any relevant customs rules or regulations on bonded areas, our operations may be adversely affected.</w:t>
      </w:r>
    </w:p>
    <w:p>
      <w:pPr>
        <w:spacing w:after="0" w:line="17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color w:val="auto"/>
        </w:rPr>
        <w:t>We expect that a portion of our future revenues will continue to come from our advertising services, which represented approximately 3.7% of our total net revenues for 2018, but we may not be able to compete effectively in this market because it is evolving and intensely competitive, in which case our ability to generate and maintain advertising revenue in the future could be adversely affected.</w:t>
      </w:r>
    </w:p>
    <w:p>
      <w:pPr>
        <w:spacing w:after="0" w:line="169" w:lineRule="exact"/>
        <w:rPr>
          <w:sz w:val="20"/>
          <w:szCs w:val="20"/>
          <w:color w:val="auto"/>
        </w:rPr>
      </w:pPr>
    </w:p>
    <w:p>
      <w:pPr>
        <w:ind w:right="120" w:firstLine="639"/>
        <w:spacing w:after="0" w:line="288" w:lineRule="auto"/>
        <w:rPr>
          <w:sz w:val="20"/>
          <w:szCs w:val="20"/>
          <w:color w:val="auto"/>
        </w:rPr>
      </w:pPr>
      <w:r>
        <w:rPr>
          <w:rFonts w:ascii="Arial" w:cs="Arial" w:eastAsia="Arial" w:hAnsi="Arial"/>
          <w:sz w:val="16"/>
          <w:szCs w:val="16"/>
          <w:color w:val="auto"/>
        </w:rPr>
        <w:t>Although we anticipate that the revenues generated by our online games and e-commerce business will continue to constitute the major portion of our future revenues, we believe that we will continue to rely on advertising as an important source of revenue for the foreseeable future. The popularity of online advertising in China has been growing quickly in recent years and many of our current and potential advertisers have gained experience with using the Internet as an advertising medium. Many advertisers, however, still do not devote a significant portion of their advertising expenditures to Internet-based advertising. Some advertisers may also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ectPr>
          <w:pgSz w:w="11900" w:h="16838" w:orient="portrait"/>
          <w:cols w:equalWidth="0" w:num="1">
            <w:col w:w="11420"/>
          </w:cols>
          <w:pgMar w:left="240" w:top="127"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26948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20" w:hanging="29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a large base of users possessing demographic characteristics attractive to advertisers;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software that blocks Internet advertisements before they appear on a user’s screen;</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downward pressure on online advertising prices;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advertising delivery and tracking system.</w:t>
      </w:r>
    </w:p>
    <w:p>
      <w:pPr>
        <w:spacing w:after="0" w:line="219" w:lineRule="exact"/>
        <w:rPr>
          <w:sz w:val="20"/>
          <w:szCs w:val="20"/>
          <w:color w:val="auto"/>
        </w:rPr>
      </w:pPr>
    </w:p>
    <w:p>
      <w:pPr>
        <w:ind w:right="160" w:firstLine="639"/>
        <w:spacing w:after="0" w:line="253" w:lineRule="auto"/>
        <w:rPr>
          <w:sz w:val="20"/>
          <w:szCs w:val="20"/>
          <w:color w:val="auto"/>
        </w:rPr>
      </w:pPr>
      <w:r>
        <w:rPr>
          <w:rFonts w:ascii="Arial" w:cs="Arial" w:eastAsia="Arial" w:hAnsi="Arial"/>
          <w:sz w:val="18"/>
          <w:szCs w:val="18"/>
          <w:color w:val="auto"/>
        </w:rPr>
        <w:t>Changes in government policy could also restrict or curtail our online advertising services. Moreover, the acceptance of the Internet as a medium for advertising depends on the development of a measurement standard. Industry-wide standards may not develop sufficiently to support the Internet as an effective advertising medium. If these standards do not develop, advertisers may choose not to advertise on the Internet in general or through our media platforms.</w:t>
      </w:r>
    </w:p>
    <w:p>
      <w:pPr>
        <w:spacing w:after="0" w:line="193" w:lineRule="exact"/>
        <w:rPr>
          <w:sz w:val="20"/>
          <w:szCs w:val="20"/>
          <w:color w:val="auto"/>
        </w:rPr>
      </w:pPr>
    </w:p>
    <w:p>
      <w:pPr>
        <w:ind w:right="240" w:firstLine="639"/>
        <w:spacing w:after="0" w:line="252" w:lineRule="auto"/>
        <w:rPr>
          <w:sz w:val="20"/>
          <w:szCs w:val="20"/>
          <w:color w:val="auto"/>
        </w:rPr>
      </w:pPr>
      <w:r>
        <w:rPr>
          <w:rFonts w:ascii="Arial" w:cs="Arial" w:eastAsia="Arial" w:hAnsi="Arial"/>
          <w:sz w:val="18"/>
          <w:szCs w:val="18"/>
          <w:color w:val="auto"/>
        </w:rPr>
        <w:t>In addition, competition in the online advertising industry in China is intense with numerous competitors such as Baidu, Inc., or Baidu, Sina Corporation, or Sina, Sohu.com Inc., or Sohu, Tencent Holdings Limited, or Tencent, Alibaba Group Holding Limited, or Alibaba, Phoenix New Media Limited, or iFeng.com and Beijing ByteDance Technology Co Ltd., or ByteDance, as well as virtual media such as SouFun Holdings Ltd., BitAuto Holdings Ltd. and Autohome Inc. The entry of additional, highly competitive Internet companies, whether domestic or international, into the Chinese market has and may continue to further heighten competition for advertising spending in China.</w:t>
      </w:r>
    </w:p>
    <w:p>
      <w:pPr>
        <w:spacing w:after="0" w:line="192" w:lineRule="exact"/>
        <w:rPr>
          <w:sz w:val="20"/>
          <w:szCs w:val="20"/>
          <w:color w:val="auto"/>
        </w:rPr>
      </w:pPr>
    </w:p>
    <w:p>
      <w:pPr>
        <w:ind w:right="80" w:firstLine="639"/>
        <w:spacing w:after="0" w:line="288" w:lineRule="auto"/>
        <w:rPr>
          <w:sz w:val="20"/>
          <w:szCs w:val="20"/>
          <w:color w:val="auto"/>
        </w:rPr>
      </w:pPr>
      <w:r>
        <w:rPr>
          <w:rFonts w:ascii="Arial" w:cs="Arial" w:eastAsia="Arial" w:hAnsi="Arial"/>
          <w:sz w:val="16"/>
          <w:szCs w:val="16"/>
          <w:color w:val="auto"/>
        </w:rPr>
        <w:t>As competition intensified for advertising services, we launched new marketing strategies to grow our advertising business and to cater to changes in the needs of our advertising services customers. In addition, to increase traffic on the NetEase websites and other online and mobile platforms, particularly our mobile news platform, NetEase News App, and enhance their appeal to advertisers, we have been focusing on high profile events, such as the NetEase Annual Economist Conference and the China Women’s Media Award, an awards ceremony for women who have made outstanding contributions to different sectors of society. We believe that these efforts, together with other factors, contributed to the growth of our net revenues from advertising services in recent years. We cannot assure you, however, that any of these efforts will continue to be successful in improving the financial results of our advertising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keep up with rapid changes in technologies and user behavior, our future success may be adversely affected.</w:t>
      </w:r>
    </w:p>
    <w:p>
      <w:pPr>
        <w:spacing w:after="0" w:line="225" w:lineRule="exact"/>
        <w:rPr>
          <w:sz w:val="20"/>
          <w:szCs w:val="20"/>
          <w:color w:val="auto"/>
        </w:rPr>
      </w:pPr>
    </w:p>
    <w:p>
      <w:pPr>
        <w:ind w:right="60" w:firstLine="639"/>
        <w:spacing w:after="0" w:line="266" w:lineRule="auto"/>
        <w:rPr>
          <w:sz w:val="20"/>
          <w:szCs w:val="20"/>
          <w:color w:val="auto"/>
        </w:rPr>
      </w:pPr>
      <w:r>
        <w:rPr>
          <w:rFonts w:ascii="Arial" w:cs="Arial" w:eastAsia="Arial" w:hAnsi="Arial"/>
          <w:sz w:val="17"/>
          <w:szCs w:val="17"/>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4G,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75" w:lineRule="exact"/>
        <w:rPr>
          <w:sz w:val="20"/>
          <w:szCs w:val="20"/>
          <w:color w:val="auto"/>
        </w:rPr>
      </w:pPr>
    </w:p>
    <w:p>
      <w:pPr>
        <w:ind w:right="900"/>
        <w:spacing w:after="0" w:line="274" w:lineRule="auto"/>
        <w:rPr>
          <w:sz w:val="20"/>
          <w:szCs w:val="20"/>
          <w:color w:val="auto"/>
        </w:rPr>
      </w:pPr>
      <w:r>
        <w:rPr>
          <w:rFonts w:ascii="Arial" w:cs="Arial" w:eastAsia="Arial" w:hAnsi="Arial"/>
          <w:sz w:val="18"/>
          <w:szCs w:val="18"/>
          <w:b w:val="1"/>
          <w:bCs w:val="1"/>
          <w:color w:val="auto"/>
        </w:rPr>
        <w:t>We may be unable to obtain licenses to the music content necessary to provide our music streaming services or to obtain such licenses at an economically viable cost.</w:t>
      </w:r>
    </w:p>
    <w:p>
      <w:pPr>
        <w:spacing w:after="0" w:line="173" w:lineRule="exact"/>
        <w:rPr>
          <w:sz w:val="20"/>
          <w:szCs w:val="20"/>
          <w:color w:val="auto"/>
        </w:rPr>
      </w:pPr>
    </w:p>
    <w:p>
      <w:pPr>
        <w:ind w:firstLine="639"/>
        <w:spacing w:after="0" w:line="267" w:lineRule="auto"/>
        <w:rPr>
          <w:sz w:val="20"/>
          <w:szCs w:val="20"/>
          <w:color w:val="auto"/>
        </w:rPr>
      </w:pPr>
      <w:r>
        <w:rPr>
          <w:rFonts w:ascii="Arial" w:cs="Arial" w:eastAsia="Arial" w:hAnsi="Arial"/>
          <w:sz w:val="17"/>
          <w:szCs w:val="17"/>
          <w:color w:val="auto"/>
        </w:rPr>
        <w:t>Our ability to offer online music streaming services through our music streaming platform, Cloud Music, depends upon maintaining commercially viable licenses or arrangements with copyright owners for music content which is popular in China. Most of these licenses or arrangements we have are short-term and may be terminated at the convenience of the other party. Moreover, the majority of our agreements with copyright owners are usually non-exclusive, while some of our competitors have been entering into exclusive arrangements for music distribution rights in China. The competition in China for exclusive or non-exclusive licenses to distribute music content is fierce. As a result, certain owners of music content or exclusive rights to distribute music content have increased the fees they charge us for their content or distribution rights. This trend could increase our costs and operating expenses and could adversely affect our ability to obtain music content at an economically viable cost.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639"/>
        <w:spacing w:after="0" w:line="253" w:lineRule="auto"/>
        <w:rPr>
          <w:sz w:val="20"/>
          <w:szCs w:val="20"/>
          <w:color w:val="auto"/>
        </w:rPr>
      </w:pPr>
      <w:r>
        <w:rPr>
          <w:rFonts w:ascii="Arial" w:cs="Arial" w:eastAsia="Arial" w:hAnsi="Arial"/>
          <w:sz w:val="18"/>
          <w:szCs w:val="18"/>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cannot guarantee that our efforts to innovate and explore new areas of operations would be successful or bring positive financial impact to us.</w:t>
      </w:r>
    </w:p>
    <w:p>
      <w:pPr>
        <w:spacing w:after="0" w:line="248" w:lineRule="exact"/>
        <w:rPr>
          <w:sz w:val="20"/>
          <w:szCs w:val="20"/>
          <w:color w:val="auto"/>
        </w:rPr>
      </w:pPr>
    </w:p>
    <w:p>
      <w:pPr>
        <w:jc w:val="both"/>
        <w:ind w:right="120" w:firstLine="639"/>
        <w:spacing w:after="0" w:line="364" w:lineRule="auto"/>
        <w:rPr>
          <w:sz w:val="20"/>
          <w:szCs w:val="20"/>
          <w:color w:val="auto"/>
        </w:rPr>
      </w:pPr>
      <w:r>
        <w:rPr>
          <w:rFonts w:ascii="Arial" w:cs="Arial" w:eastAsia="Arial" w:hAnsi="Arial"/>
          <w:sz w:val="14"/>
          <w:szCs w:val="14"/>
          <w:color w:val="auto"/>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 acceptance by the targeted customers and our assessment of market demands and trends.</w:t>
      </w:r>
    </w:p>
    <w:p>
      <w:pPr>
        <w:spacing w:after="0" w:line="120" w:lineRule="exact"/>
        <w:rPr>
          <w:sz w:val="20"/>
          <w:szCs w:val="20"/>
          <w:color w:val="auto"/>
        </w:rPr>
      </w:pPr>
    </w:p>
    <w:p>
      <w:pPr>
        <w:ind w:right="180" w:firstLine="639"/>
        <w:spacing w:after="0" w:line="253" w:lineRule="auto"/>
        <w:rPr>
          <w:sz w:val="20"/>
          <w:szCs w:val="20"/>
          <w:color w:val="auto"/>
        </w:rPr>
      </w:pPr>
      <w:r>
        <w:rPr>
          <w:rFonts w:ascii="Arial" w:cs="Arial" w:eastAsia="Arial" w:hAnsi="Arial"/>
          <w:sz w:val="18"/>
          <w:szCs w:val="18"/>
          <w:color w:val="auto"/>
        </w:rPr>
        <w:t>Furthermore, our competitors are constantly developing innovations, on both mobile devices and personal computers, to enhance users’ online experience in areas that we currently operate or areas that we wish to expand our operations into. As a result, our efforts to continuously innovate and explore new growth strategies and introduce new products and services to attract more customers of our services, may not be successful, and we cannot guarantee that our innovation efforts could bring positive financial impact to us.</w:t>
      </w:r>
    </w:p>
    <w:p>
      <w:pPr>
        <w:spacing w:after="0" w:line="187"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b w:val="1"/>
          <w:bCs w:val="1"/>
          <w:color w:val="auto"/>
        </w:rPr>
        <w:t>A prolonged slowdown in the PRC economy may materially and adversely affect our results of operations, financial condition, prospects and future expansion plans.</w:t>
      </w:r>
    </w:p>
    <w:p>
      <w:pPr>
        <w:spacing w:after="0" w:line="173" w:lineRule="exact"/>
        <w:rPr>
          <w:sz w:val="20"/>
          <w:szCs w:val="20"/>
          <w:color w:val="auto"/>
        </w:rPr>
      </w:pPr>
    </w:p>
    <w:p>
      <w:pPr>
        <w:ind w:right="80" w:firstLine="639"/>
        <w:spacing w:after="0" w:line="295" w:lineRule="auto"/>
        <w:rPr>
          <w:sz w:val="20"/>
          <w:szCs w:val="20"/>
          <w:color w:val="auto"/>
        </w:rPr>
      </w:pPr>
      <w:r>
        <w:rPr>
          <w:rFonts w:ascii="Arial" w:cs="Arial" w:eastAsia="Arial" w:hAnsi="Arial"/>
          <w:sz w:val="16"/>
          <w:szCs w:val="16"/>
          <w:color w:val="auto"/>
        </w:rPr>
        <w:t>We derive substantially all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61" w:lineRule="exact"/>
        <w:rPr>
          <w:sz w:val="20"/>
          <w:szCs w:val="20"/>
          <w:color w:val="auto"/>
        </w:rPr>
      </w:pPr>
    </w:p>
    <w:p>
      <w:pPr>
        <w:ind w:right="160" w:firstLine="639"/>
        <w:spacing w:after="0" w:line="288" w:lineRule="auto"/>
        <w:rPr>
          <w:sz w:val="20"/>
          <w:szCs w:val="20"/>
          <w:color w:val="auto"/>
        </w:rPr>
      </w:pPr>
      <w:r>
        <w:rPr>
          <w:rFonts w:ascii="Arial" w:cs="Arial" w:eastAsia="Arial" w:hAnsi="Arial"/>
          <w:sz w:val="16"/>
          <w:szCs w:val="16"/>
          <w:color w:val="auto"/>
        </w:rPr>
        <w:t>The rate of economic growth in the PRC has been experiencing a significant slowdown. In addition, any future escalation of the ongoing trade war between the United States and China may negatively impact the growth in both the Chinese economy and the global economy as a whole. Although the PRC government has implemented a number of measures to address the slowdown, these measures may not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laws and other obligations regarding data protection.</w:t>
      </w:r>
    </w:p>
    <w:p>
      <w:pPr>
        <w:spacing w:after="0" w:line="225" w:lineRule="exact"/>
        <w:rPr>
          <w:sz w:val="20"/>
          <w:szCs w:val="20"/>
          <w:color w:val="auto"/>
        </w:rPr>
      </w:pPr>
    </w:p>
    <w:p>
      <w:pPr>
        <w:ind w:firstLine="639"/>
        <w:spacing w:after="0" w:line="284"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variable interest entities, or VIEs, and among our company, our subsidiaries, VIEs and other parties with which we have commercial relations. These laws are continuing to develop, and the PRC government may adopt other rules and restrictions in the future. According to the Cyber Security Law of the People’s Republic of China, or Cyber 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 Security Law provides that personal information and important data collected and generated by an operator of critical information infrastructure in the course of its operations in the PRC must be stored in the PRC. We have undertaken significant measures in an effort to ensure compliance with the Cyber Security Law.</w:t>
      </w:r>
    </w:p>
    <w:p>
      <w:pPr>
        <w:spacing w:after="0" w:line="172" w:lineRule="exact"/>
        <w:rPr>
          <w:sz w:val="20"/>
          <w:szCs w:val="20"/>
          <w:color w:val="auto"/>
        </w:rPr>
      </w:pPr>
    </w:p>
    <w:p>
      <w:pPr>
        <w:ind w:right="120" w:firstLine="639"/>
        <w:spacing w:after="0" w:line="249" w:lineRule="auto"/>
        <w:rPr>
          <w:sz w:val="20"/>
          <w:szCs w:val="20"/>
          <w:color w:val="auto"/>
        </w:rPr>
      </w:pPr>
      <w:r>
        <w:rPr>
          <w:rFonts w:ascii="Arial" w:cs="Arial" w:eastAsia="Arial" w:hAnsi="Arial"/>
          <w:sz w:val="18"/>
          <w:szCs w:val="18"/>
          <w:color w:val="auto"/>
        </w:rPr>
        <w:t>In addition to the Cyber Security Law, the General Administration of Quality Supervision, Inspection and Quarantine and Standardization Administration jointly issued the Standard of Information Security Technology—Personal Information Security Specification, which took effect in May 2018. Pursuant to this new standard,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 We generally comply with industry standards and have established privacy policies to ensure such compliance. However,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w:t>
      </w:r>
    </w:p>
    <w:p>
      <w:pPr>
        <w:spacing w:after="0" w:line="200" w:lineRule="exact"/>
        <w:rPr>
          <w:sz w:val="20"/>
          <w:szCs w:val="20"/>
          <w:color w:val="auto"/>
        </w:rPr>
      </w:pPr>
    </w:p>
    <w:p>
      <w:pPr>
        <w:ind w:right="320" w:firstLine="639"/>
        <w:spacing w:after="0" w:line="253" w:lineRule="auto"/>
        <w:rPr>
          <w:sz w:val="20"/>
          <w:szCs w:val="20"/>
          <w:color w:val="auto"/>
        </w:rPr>
      </w:pPr>
      <w:r>
        <w:rPr>
          <w:rFonts w:ascii="Arial" w:cs="Arial" w:eastAsia="Arial" w:hAnsi="Arial"/>
          <w:sz w:val="18"/>
          <w:szCs w:val="18"/>
          <w:color w:val="auto"/>
        </w:rPr>
        <w:t>Furthermore, we may be subject to similar data protection laws and other obligations in jurisdictions outside of China where we operate. More generally, complying with emerging and changing requirements may cause us to incur substantial costs or require us to change our business practices. Non-compliance could result in penalties or significant legal liability, including fines and public announcements of misconduct by the relevant authorities which govern the telecommunications systems.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39"/>
        <w:spacing w:after="0" w:line="251" w:lineRule="auto"/>
        <w:rPr>
          <w:sz w:val="20"/>
          <w:szCs w:val="20"/>
          <w:color w:val="auto"/>
        </w:rPr>
      </w:pPr>
      <w:r>
        <w:rPr>
          <w:rFonts w:ascii="Arial" w:cs="Arial" w:eastAsia="Arial" w:hAnsi="Arial"/>
          <w:sz w:val="18"/>
          <w:szCs w:val="18"/>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results of operations and financial condition. In addition, any negative publicity on our website or platform’s safety or privacy protection mechanism and policy could have a material and adverse effect on our business, results of operations and financial condition, public image and reputation.</w:t>
      </w:r>
    </w:p>
    <w:p>
      <w:pPr>
        <w:spacing w:after="0" w:line="187" w:lineRule="exact"/>
        <w:rPr>
          <w:sz w:val="20"/>
          <w:szCs w:val="20"/>
          <w:color w:val="auto"/>
        </w:rPr>
      </w:pPr>
    </w:p>
    <w:p>
      <w:pPr>
        <w:jc w:val="both"/>
        <w:ind w:right="40"/>
        <w:spacing w:after="0" w:line="420" w:lineRule="auto"/>
        <w:rPr>
          <w:sz w:val="20"/>
          <w:szCs w:val="20"/>
          <w:color w:val="auto"/>
        </w:rPr>
      </w:pPr>
      <w:r>
        <w:rPr>
          <w:rFonts w:ascii="Arial" w:cs="Arial" w:eastAsia="Arial" w:hAnsi="Arial"/>
          <w:sz w:val="14"/>
          <w:szCs w:val="14"/>
          <w:b w:val="1"/>
          <w:bCs w:val="1"/>
          <w:color w:val="auto"/>
        </w:rPr>
        <w:t>We may be subject to breaches of our information technology systems, including security breaches and improper access to or disclosure of our data or user data, which could materially adversely affect our reputation and our results of operations and financial position and expose us to liability claims.</w:t>
      </w:r>
    </w:p>
    <w:p>
      <w:pPr>
        <w:spacing w:after="0" w:line="82" w:lineRule="exact"/>
        <w:rPr>
          <w:sz w:val="20"/>
          <w:szCs w:val="20"/>
          <w:color w:val="auto"/>
        </w:rPr>
      </w:pPr>
    </w:p>
    <w:p>
      <w:pPr>
        <w:ind w:firstLine="639"/>
        <w:spacing w:after="0" w:line="283" w:lineRule="auto"/>
        <w:rPr>
          <w:sz w:val="20"/>
          <w:szCs w:val="20"/>
          <w:color w:val="auto"/>
        </w:rPr>
      </w:pPr>
      <w:r>
        <w:rPr>
          <w:rFonts w:ascii="Arial" w:cs="Arial" w:eastAsia="Arial" w:hAnsi="Arial"/>
          <w:sz w:val="16"/>
          <w:szCs w:val="16"/>
          <w:color w:val="auto"/>
        </w:rPr>
        <w:t>Any compromise of the security of our information technology systems could materially adversely affect the operations of NetEase’s websites and other online and mobile platforms,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 In addition, in relation to our e-commerce business, almost all of the orders and some of the payments for products we offer are made through our websites and our mobile applications, and some online payments for our products are settled through third-party online payment services. We also share certain personal information about our customers with contracted third-party couriers, such as their names, addresses, phone numbers and transaction records. Moreover, with the rapid development of our e-commerce businesses, we have accumulated a large volume of data, which covers customers’ browsing and consumption behavior information, product manufacturing and sales information, warehousing and distribution information and customer service information.</w:t>
      </w:r>
    </w:p>
    <w:p>
      <w:pPr>
        <w:spacing w:after="0" w:line="175"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Hackers develop and deploy viruses, worms, and other malicious software programs to attack websites or other online and mobile platforms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In addition, we distribute our contents to users based on user interest levels indicated by their past viewing behavior. As a result, our content distribution platforms and the results of our user behavior analysis is subject to attempts of improper access or creating false or undesirable user accounts for purposes of spreading misinformation.</w:t>
      </w:r>
    </w:p>
    <w:p>
      <w:pPr>
        <w:spacing w:after="0" w:line="182" w:lineRule="exact"/>
        <w:rPr>
          <w:sz w:val="20"/>
          <w:szCs w:val="20"/>
          <w:color w:val="auto"/>
        </w:rPr>
      </w:pPr>
    </w:p>
    <w:p>
      <w:pPr>
        <w:ind w:right="20" w:firstLine="639"/>
        <w:spacing w:after="0" w:line="252" w:lineRule="auto"/>
        <w:rPr>
          <w:sz w:val="20"/>
          <w:szCs w:val="20"/>
          <w:color w:val="auto"/>
        </w:rPr>
      </w:pPr>
      <w:r>
        <w:rPr>
          <w:rFonts w:ascii="Arial" w:cs="Arial" w:eastAsia="Arial" w:hAnsi="Arial"/>
          <w:sz w:val="18"/>
          <w:szCs w:val="18"/>
          <w:color w:val="auto"/>
        </w:rPr>
        <w:t>Although we believe that we have not experienced any hacking activity or security breach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192" w:lineRule="exact"/>
        <w:rPr>
          <w:sz w:val="20"/>
          <w:szCs w:val="20"/>
          <w:color w:val="auto"/>
        </w:rPr>
      </w:pPr>
    </w:p>
    <w:p>
      <w:pPr>
        <w:ind w:right="80" w:firstLine="639"/>
        <w:spacing w:after="0" w:line="250" w:lineRule="auto"/>
        <w:rPr>
          <w:sz w:val="20"/>
          <w:szCs w:val="20"/>
          <w:color w:val="auto"/>
        </w:rPr>
      </w:pPr>
      <w:r>
        <w:rPr>
          <w:rFonts w:ascii="Arial" w:cs="Arial" w:eastAsia="Arial" w:hAnsi="Arial"/>
          <w:sz w:val="18"/>
          <w:szCs w:val="18"/>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to system security, data encryption, and other security measures to protect our systems and data, but these security measures cannot provide absolute security.</w:t>
      </w:r>
    </w:p>
    <w:p>
      <w:pPr>
        <w:spacing w:after="0" w:line="196" w:lineRule="exact"/>
        <w:rPr>
          <w:sz w:val="20"/>
          <w:szCs w:val="20"/>
          <w:color w:val="auto"/>
        </w:rPr>
      </w:pPr>
    </w:p>
    <w:p>
      <w:pPr>
        <w:ind w:right="120" w:firstLine="639"/>
        <w:spacing w:after="0" w:line="251" w:lineRule="auto"/>
        <w:rPr>
          <w:sz w:val="20"/>
          <w:szCs w:val="20"/>
          <w:color w:val="auto"/>
        </w:rPr>
      </w:pPr>
      <w:r>
        <w:rPr>
          <w:rFonts w:ascii="Arial" w:cs="Arial" w:eastAsia="Arial" w:hAnsi="Arial"/>
          <w:sz w:val="18"/>
          <w:szCs w:val="18"/>
          <w:color w:val="auto"/>
        </w:rPr>
        <w:t>In the case of a breach of our systems, our data on the purchase and consumption of virtual items by our game players may be compromised, and as a result, our ability to accurately recognize revenues from certain of our online games and the playing experience of our game players could be materially and adversely affected. Moreover, if a computer security breach allows unauthorized access to or release of personal information and other data of our users, our reputation and brand could be materially damaged and use of the NetEase websites and other online and mobile platforms could decrease. We could also be exposed to a risk of loss or litigation and possible liability, which could result in a material adverse effect on our business, results of operations and financial condition.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success of our business is dependent on our ability to retain our existing key employees and to add and retain senior officers to our management.</w:t>
      </w:r>
    </w:p>
    <w:p>
      <w:pPr>
        <w:spacing w:after="0" w:line="271" w:lineRule="exact"/>
        <w:rPr>
          <w:sz w:val="20"/>
          <w:szCs w:val="20"/>
          <w:color w:val="auto"/>
        </w:rPr>
      </w:pPr>
    </w:p>
    <w:p>
      <w:pPr>
        <w:ind w:right="80" w:firstLine="639"/>
        <w:spacing w:after="0" w:line="266" w:lineRule="auto"/>
        <w:rPr>
          <w:sz w:val="20"/>
          <w:szCs w:val="20"/>
          <w:color w:val="auto"/>
        </w:rPr>
      </w:pPr>
      <w:r>
        <w:rPr>
          <w:rFonts w:ascii="Arial" w:cs="Arial" w:eastAsia="Arial" w:hAnsi="Arial"/>
          <w:sz w:val="17"/>
          <w:szCs w:val="17"/>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7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Our revenues fluctuate significantly and may adversely impact the trading price of our American Depositary Shares, or ADSs, or any other securities which become publicly traded.</w:t>
      </w:r>
    </w:p>
    <w:p>
      <w:pPr>
        <w:spacing w:after="0" w:line="173" w:lineRule="exact"/>
        <w:rPr>
          <w:sz w:val="20"/>
          <w:szCs w:val="20"/>
          <w:color w:val="auto"/>
        </w:rPr>
      </w:pPr>
    </w:p>
    <w:p>
      <w:pPr>
        <w:ind w:right="120" w:firstLine="639"/>
        <w:spacing w:after="0" w:line="267" w:lineRule="auto"/>
        <w:rPr>
          <w:sz w:val="20"/>
          <w:szCs w:val="20"/>
          <w:color w:val="auto"/>
        </w:rPr>
      </w:pPr>
      <w:r>
        <w:rPr>
          <w:rFonts w:ascii="Arial" w:cs="Arial" w:eastAsia="Arial" w:hAnsi="Arial"/>
          <w:sz w:val="18"/>
          <w:szCs w:val="18"/>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179" w:lineRule="exact"/>
        <w:rPr>
          <w:sz w:val="20"/>
          <w:szCs w:val="20"/>
          <w:color w:val="auto"/>
        </w:rPr>
      </w:pPr>
    </w:p>
    <w:p>
      <w:pPr>
        <w:ind w:left="620" w:hanging="29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users to our websites and other online and mobile platforms in the increasingly competitive Internet market in China;</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implement our business strategies as planned;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update and develop our Internet applications, services, technologies and infrastructure.</w:t>
      </w:r>
    </w:p>
    <w:p>
      <w:pPr>
        <w:spacing w:after="0" w:line="219" w:lineRule="exact"/>
        <w:rPr>
          <w:sz w:val="20"/>
          <w:szCs w:val="20"/>
          <w:color w:val="auto"/>
        </w:rPr>
      </w:pPr>
    </w:p>
    <w:p>
      <w:pPr>
        <w:ind w:right="40" w:firstLine="639"/>
        <w:spacing w:after="0" w:line="285" w:lineRule="auto"/>
        <w:rPr>
          <w:sz w:val="20"/>
          <w:szCs w:val="20"/>
          <w:color w:val="auto"/>
        </w:rPr>
      </w:pPr>
      <w:r>
        <w:rPr>
          <w:rFonts w:ascii="Arial" w:cs="Arial" w:eastAsia="Arial" w:hAnsi="Arial"/>
          <w:sz w:val="16"/>
          <w:szCs w:val="16"/>
          <w:color w:val="auto"/>
        </w:rPr>
        <w:t>Historically, our revenues from advertising and certain other online services have followed the same general seasonal trend throughout each year with the first quarter of the year being the weakest quarter due to the Chinese New Year holiday and the traditional close of customers’ annual budgets and the fourth quarter being the strongest. Usage of online games has generally increased around the Chinese New Year holiday and other Chinese holidays, in particular winter and summer school holidays during which school-aged users have more time to use such services and play games. For our e-commerce business, we have generally experienced the highest levels of revenue in the fourth quarter of each calendar year as e-commerce companies in China including us organize special promotional campaigns annually on November 11 and December 12.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6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b w:val="1"/>
          <w:bCs w:val="1"/>
          <w:color w:val="auto"/>
        </w:rPr>
        <w:t>We do not own Guangzhou NetEase Computer System Co., Ltd., or Guangzhou NetEase, and certain other affiliated entities, and if they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69" w:lineRule="exact"/>
        <w:rPr>
          <w:sz w:val="20"/>
          <w:szCs w:val="20"/>
          <w:color w:val="auto"/>
        </w:rPr>
      </w:pPr>
    </w:p>
    <w:p>
      <w:pPr>
        <w:ind w:firstLine="639"/>
        <w:spacing w:after="0" w:line="280" w:lineRule="auto"/>
        <w:rPr>
          <w:sz w:val="20"/>
          <w:szCs w:val="20"/>
          <w:color w:val="auto"/>
        </w:rPr>
      </w:pPr>
      <w:r>
        <w:rPr>
          <w:rFonts w:ascii="Arial" w:cs="Arial" w:eastAsia="Arial" w:hAnsi="Arial"/>
          <w:sz w:val="16"/>
          <w:szCs w:val="16"/>
          <w:color w:val="auto"/>
        </w:rPr>
        <w:t>Certain of our affiliated companies are owned by shareholders whose interests may differ from ours and those of our shareholders because they own a larger percentage of such companies than of our company. In particular, the business and operations of Guangzhou NetEase, the operator of the NetEase websites and a provider of online games and other online services, Wangyibao Co., Ltd., or Wangyibao, the operator of our NetEase Pay (previously known as Wangyibao) online payment platform and a wholly-owned subsidiary of Guangzhou NetEase, Beijing NetEase Youdao Computer System Co., Ltd., or Youdao Computer, the operator of our online dictionary, online education and other cloud application services, Beijing NetEase Media Co., Ltd. (previously named Beijing Guangyitong Advertising Co., Ltd.), or NetEase Advertising, an advertising firm, Hangzhou NetEase Leihuo Network Co., Ltd., or Hangzhou Leihuo, a provider of mobile games, and certain other affiliated companies, are subject to Chinese laws and regulations that differ from the laws and regulations that govern the business and operations of NetEase. For example, Chinese laws and regulations require us to verify the content of third-party advertising we place on the NetEase websites and other online and mobile platforms, and we are partly dependent upon the conduct of NetEase Advertising in order to ensure that we remain compliant with those laws and regulations. These affiliated companies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The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b w:val="1"/>
          <w:bCs w:val="1"/>
          <w:color w:val="auto"/>
        </w:rPr>
        <w:t>Because our contractual arrangements with Guangzhou NetEase and certain other affiliated entities and their ultimate shareholders do not detail the parties’ rights and obligations, our remedies for a breach of these arrangements are limited.</w:t>
      </w:r>
    </w:p>
    <w:p>
      <w:pPr>
        <w:spacing w:after="0" w:line="173" w:lineRule="exact"/>
        <w:rPr>
          <w:sz w:val="20"/>
          <w:szCs w:val="20"/>
          <w:color w:val="auto"/>
        </w:rPr>
      </w:pPr>
    </w:p>
    <w:p>
      <w:pPr>
        <w:ind w:right="40" w:firstLine="639"/>
        <w:spacing w:after="0" w:line="285" w:lineRule="auto"/>
        <w:rPr>
          <w:sz w:val="20"/>
          <w:szCs w:val="20"/>
          <w:color w:val="auto"/>
        </w:rPr>
      </w:pPr>
      <w:r>
        <w:rPr>
          <w:rFonts w:ascii="Arial" w:cs="Arial" w:eastAsia="Arial" w:hAnsi="Arial"/>
          <w:sz w:val="16"/>
          <w:szCs w:val="16"/>
          <w:color w:val="auto"/>
        </w:rPr>
        <w:t>Our current relationship with Guangzhou NetEase and certain other affiliated entities and their ultimate shareholders is based on a number of contracts, and these affiliated companies are considered our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and certain other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64"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b w:val="1"/>
          <w:bCs w:val="1"/>
          <w:color w:val="auto"/>
        </w:rPr>
        <w:t>A majority of the share capital of Guangzhou NetEase, NetEase Advertising, Wangyibao, Youdao Computer and certain other affiliated entities and the entire share capital of Shanghai EaseNet are held by our major shareholder, who may cause these agreements to be amended in a manner that is adverse to us.</w:t>
      </w:r>
    </w:p>
    <w:p>
      <w:pPr>
        <w:spacing w:after="0" w:line="186"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Our major shareholder, William Lei Ding, directly or indirectly holds the majority interest in Guangzhou NetEase, NetEase Advertising, Wangyibao, Youdao Computer and certain other affiliated entities.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64" w:lineRule="exact"/>
        <w:rPr>
          <w:sz w:val="20"/>
          <w:szCs w:val="20"/>
          <w:color w:val="auto"/>
        </w:rPr>
      </w:pPr>
    </w:p>
    <w:p>
      <w:pPr>
        <w:ind w:right="720"/>
        <w:spacing w:after="0" w:line="274" w:lineRule="auto"/>
        <w:rPr>
          <w:sz w:val="20"/>
          <w:szCs w:val="20"/>
          <w:color w:val="auto"/>
        </w:rPr>
      </w:pPr>
      <w:r>
        <w:rPr>
          <w:rFonts w:ascii="Arial" w:cs="Arial" w:eastAsia="Arial" w:hAnsi="Arial"/>
          <w:sz w:val="18"/>
          <w:szCs w:val="18"/>
          <w:b w:val="1"/>
          <w:bCs w:val="1"/>
          <w:color w:val="auto"/>
        </w:rPr>
        <w:t>We may not be able to conduct our operations without the services provided by Guangzhou NetEase, NetEase Advertising, Hangzhou Leihuo, Shanghai EaseNet, Youdao Computer, and certain other affiliated entities.</w:t>
      </w:r>
    </w:p>
    <w:p>
      <w:pPr>
        <w:spacing w:after="0" w:line="173" w:lineRule="exact"/>
        <w:rPr>
          <w:sz w:val="20"/>
          <w:szCs w:val="20"/>
          <w:color w:val="auto"/>
        </w:rPr>
      </w:pPr>
    </w:p>
    <w:p>
      <w:pPr>
        <w:ind w:right="40" w:firstLine="639"/>
        <w:spacing w:after="0" w:line="286" w:lineRule="auto"/>
        <w:rPr>
          <w:sz w:val="20"/>
          <w:szCs w:val="20"/>
          <w:color w:val="auto"/>
        </w:rPr>
      </w:pPr>
      <w:r>
        <w:rPr>
          <w:rFonts w:ascii="Arial" w:cs="Arial" w:eastAsia="Arial" w:hAnsi="Arial"/>
          <w:sz w:val="16"/>
          <w:szCs w:val="16"/>
          <w:color w:val="auto"/>
        </w:rPr>
        <w:t>Our operations are currently dependent upon our commercial relationships with Guangzhou NetEase, NetEase Advertising, Hangzhou Leihuo, Shanghai EaseNet, Youdao Computer and certain other affiliated entities, and we derive most of our revenues from these companies. If these companies are unwilling or unable to perform the agreements which we have entered into with them, we may not be able to conduct our operations in the manner in which we currently do. In addition, Guangzhou NetEase, NetEase Advertising, Hangzhou Leihuo, Shanghai EaseNet, Youdao Computer and certain other affiliated entities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of our shareholders has significant influence over our company.</w:t>
      </w:r>
    </w:p>
    <w:p>
      <w:pPr>
        <w:spacing w:after="0" w:line="225" w:lineRule="exact"/>
        <w:rPr>
          <w:sz w:val="20"/>
          <w:szCs w:val="20"/>
          <w:color w:val="auto"/>
        </w:rPr>
      </w:pPr>
    </w:p>
    <w:p>
      <w:pPr>
        <w:ind w:right="20" w:firstLine="639"/>
        <w:spacing w:after="0" w:line="251" w:lineRule="auto"/>
        <w:rPr>
          <w:sz w:val="20"/>
          <w:szCs w:val="20"/>
          <w:color w:val="auto"/>
        </w:rPr>
      </w:pPr>
      <w:r>
        <w:rPr>
          <w:rFonts w:ascii="Arial" w:cs="Arial" w:eastAsia="Arial" w:hAnsi="Arial"/>
          <w:sz w:val="18"/>
          <w:szCs w:val="18"/>
          <w:color w:val="auto"/>
        </w:rPr>
        <w:t>Our founder, Chief Executive Officer and director, William Lei Ding, beneficially owned, as of December 31, 2018, approximately 45.5%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8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73" w:lineRule="exact"/>
        <w:rPr>
          <w:sz w:val="20"/>
          <w:szCs w:val="20"/>
          <w:color w:val="auto"/>
        </w:rPr>
      </w:pPr>
    </w:p>
    <w:p>
      <w:pPr>
        <w:ind w:right="20" w:firstLine="639"/>
        <w:spacing w:after="0" w:line="281" w:lineRule="auto"/>
        <w:rPr>
          <w:sz w:val="20"/>
          <w:szCs w:val="20"/>
          <w:color w:val="auto"/>
        </w:rPr>
      </w:pPr>
      <w:r>
        <w:rPr>
          <w:rFonts w:ascii="Arial" w:cs="Arial" w:eastAsia="Arial" w:hAnsi="Arial"/>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ADSs and service any debt we may incur. PRC tax authorities may also require us to amend our contractual arrangements with Guangzhou NetEase, NetEase Advertising, Hangzhou Leihuo, Shanghai EaseNet, Youdao Computer and certain other affiliated entities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below for further details. Any limitation on the ability of our PRC subsidiaries and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ectPr>
          <w:pgSz w:w="11900" w:h="16838" w:orient="portrait"/>
          <w:cols w:equalWidth="0" w:num="1">
            <w:col w:w="11420"/>
          </w:cols>
          <w:pgMar w:left="240" w:top="127"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53" w:lineRule="auto"/>
        <w:rPr>
          <w:sz w:val="20"/>
          <w:szCs w:val="20"/>
          <w:color w:val="auto"/>
        </w:rPr>
      </w:pPr>
      <w:r>
        <w:rPr>
          <w:rFonts w:ascii="Arial" w:cs="Arial" w:eastAsia="Arial" w:hAnsi="Arial"/>
          <w:sz w:val="18"/>
          <w:szCs w:val="18"/>
          <w:color w:val="auto"/>
        </w:rPr>
        <w:t>In addition,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VIEs are not permitted under PRC law to directly lend money to one another.</w:t>
      </w:r>
    </w:p>
    <w:p>
      <w:pPr>
        <w:spacing w:after="0" w:line="193" w:lineRule="exact"/>
        <w:rPr>
          <w:sz w:val="20"/>
          <w:szCs w:val="20"/>
          <w:color w:val="auto"/>
        </w:rPr>
      </w:pPr>
    </w:p>
    <w:p>
      <w:pPr>
        <w:ind w:right="100" w:firstLine="639"/>
        <w:spacing w:after="0" w:line="257" w:lineRule="auto"/>
        <w:rPr>
          <w:sz w:val="20"/>
          <w:szCs w:val="20"/>
          <w:color w:val="auto"/>
        </w:rPr>
      </w:pPr>
      <w:r>
        <w:rPr>
          <w:rFonts w:ascii="Arial" w:cs="Arial" w:eastAsia="Arial" w:hAnsi="Arial"/>
          <w:sz w:val="18"/>
          <w:szCs w:val="18"/>
          <w:color w:val="auto"/>
        </w:rPr>
        <w:t>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182" w:lineRule="exact"/>
        <w:rPr>
          <w:sz w:val="20"/>
          <w:szCs w:val="20"/>
          <w:color w:val="auto"/>
        </w:rPr>
      </w:pPr>
    </w:p>
    <w:p>
      <w:pPr>
        <w:spacing w:after="0" w:line="420" w:lineRule="auto"/>
        <w:rPr>
          <w:sz w:val="20"/>
          <w:szCs w:val="20"/>
          <w:color w:val="auto"/>
        </w:rPr>
      </w:pPr>
      <w:r>
        <w:rPr>
          <w:rFonts w:ascii="Arial" w:cs="Arial" w:eastAsia="Arial" w:hAnsi="Arial"/>
          <w:sz w:val="14"/>
          <w:szCs w:val="14"/>
          <w:b w:val="1"/>
          <w:bCs w:val="1"/>
          <w:color w:val="auto"/>
        </w:rPr>
        <w:t>Our arrangements with Guangzhou NetEase, NetEase Advertising, Hangzhou Leihuo, Shanghai EaseNet, Youdao Computer and certain other affiliated entities and their respective shareholders may cause a transfer pricing adjustment and may be subject to scrutiny by the PRC tax authorities.</w:t>
      </w:r>
    </w:p>
    <w:p>
      <w:pPr>
        <w:spacing w:after="0" w:line="82" w:lineRule="exact"/>
        <w:rPr>
          <w:sz w:val="20"/>
          <w:szCs w:val="20"/>
          <w:color w:val="auto"/>
        </w:rPr>
      </w:pPr>
    </w:p>
    <w:p>
      <w:pPr>
        <w:ind w:right="40" w:firstLine="639"/>
        <w:spacing w:after="0" w:line="270" w:lineRule="auto"/>
        <w:rPr>
          <w:sz w:val="20"/>
          <w:szCs w:val="20"/>
          <w:color w:val="auto"/>
        </w:rPr>
      </w:pPr>
      <w:r>
        <w:rPr>
          <w:rFonts w:ascii="Arial" w:cs="Arial" w:eastAsia="Arial" w:hAnsi="Arial"/>
          <w:sz w:val="17"/>
          <w:szCs w:val="17"/>
          <w:color w:val="auto"/>
        </w:rPr>
        <w:t>We could face material and adverse tax consequences if the PRC tax authorities determine that our contracts with Guangzhou NetEase, NetEase Advertising, Hangzhou Leihuo, Shanghai EaseNet, Youdao Computer and certain other affiliated entities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w:t>
      </w:r>
    </w:p>
    <w:p>
      <w:pPr>
        <w:spacing w:after="0" w:line="173"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b w:val="1"/>
          <w:bCs w:val="1"/>
          <w:color w:val="auto"/>
        </w:rPr>
        <w:t>A transfer of shares of Guangzhou NetEase, NetEase Advertising, Hangzhou Leihuo, Shanghai EaseNet, Youdao Computer or certain other affiliated entities may trigger tax liability.</w:t>
      </w:r>
    </w:p>
    <w:p>
      <w:pPr>
        <w:spacing w:after="0" w:line="173" w:lineRule="exact"/>
        <w:rPr>
          <w:sz w:val="20"/>
          <w:szCs w:val="20"/>
          <w:color w:val="auto"/>
        </w:rPr>
      </w:pPr>
    </w:p>
    <w:p>
      <w:pPr>
        <w:ind w:right="20" w:firstLine="639"/>
        <w:spacing w:after="0" w:line="251" w:lineRule="auto"/>
        <w:rPr>
          <w:sz w:val="20"/>
          <w:szCs w:val="20"/>
          <w:color w:val="auto"/>
        </w:rPr>
      </w:pPr>
      <w:r>
        <w:rPr>
          <w:rFonts w:ascii="Arial" w:cs="Arial" w:eastAsia="Arial" w:hAnsi="Arial"/>
          <w:sz w:val="18"/>
          <w:szCs w:val="18"/>
          <w:color w:val="auto"/>
        </w:rPr>
        <w:t>If we need to cause the transfer of shareholdings of Guangzhou NetEase, NetEase Advertising, Hangzhou Leihuo, Shanghai EaseNet, Youdao Computer or certain other affiliated entities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8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173" w:lineRule="exact"/>
        <w:rPr>
          <w:sz w:val="20"/>
          <w:szCs w:val="20"/>
          <w:color w:val="auto"/>
        </w:rPr>
      </w:pPr>
    </w:p>
    <w:p>
      <w:pPr>
        <w:ind w:right="260" w:firstLine="639"/>
        <w:spacing w:after="0" w:line="253" w:lineRule="auto"/>
        <w:rPr>
          <w:sz w:val="20"/>
          <w:szCs w:val="20"/>
          <w:color w:val="auto"/>
        </w:rPr>
      </w:pPr>
      <w:r>
        <w:rPr>
          <w:rFonts w:ascii="Arial" w:cs="Arial" w:eastAsia="Arial" w:hAnsi="Arial"/>
          <w:sz w:val="18"/>
          <w:szCs w:val="18"/>
          <w:color w:val="auto"/>
        </w:rPr>
        <w:t>Under China’s Enterprise Income Tax Law, the enterprise income tax, or EIT, rate payable by domestic and foreign-invested enterprises is 25.0%. Preferential tax treatments are granted to entities that conduct business in encouraged sectors and to entities that are classified as “High and New Technology Enterprises,” or HNTEs, or “Software Enterprises” or “Key Software Enterprises,” whether such entities are foreign invested enterprises or domestic companies.</w:t>
      </w:r>
    </w:p>
    <w:p>
      <w:pPr>
        <w:spacing w:after="0" w:line="193" w:lineRule="exact"/>
        <w:rPr>
          <w:sz w:val="20"/>
          <w:szCs w:val="20"/>
          <w:color w:val="auto"/>
        </w:rPr>
      </w:pPr>
    </w:p>
    <w:p>
      <w:pPr>
        <w:ind w:right="40" w:firstLine="639"/>
        <w:spacing w:after="0" w:line="252" w:lineRule="auto"/>
        <w:rPr>
          <w:sz w:val="20"/>
          <w:szCs w:val="20"/>
          <w:color w:val="auto"/>
        </w:rPr>
      </w:pPr>
      <w:r>
        <w:rPr>
          <w:rFonts w:ascii="Arial" w:cs="Arial" w:eastAsia="Arial" w:hAnsi="Arial"/>
          <w:sz w:val="18"/>
          <w:szCs w:val="18"/>
          <w:color w:val="auto"/>
        </w:rPr>
        <w:t>A number of our subsidiaries enjoy preferential tax rates by being recognized as an HNTE and/or a “Key Software Enterprise.” For example, NetEase Beijing, Boguan and NetEase (Hangzhou) Network Co., Ltd., or NetEase Hangzhou, and NetEase Media Technology (Beijing) Co., Ltd., or Media Beijing, were qualified as HNTEs and enjoyed a preferential tax rate of 15% for 2016, 2017 and 2018. In addition, Boguan, NetEase Hangzhou and Media Beijing were each qualified as a Key Software Enterprise in 2016, 2017 and 2018 and enjoyed a further reduced preferential tax rate of 10% for 2015, 2016 and 2017. See Item 5.A. “Operating Results—Income Taxes.”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status are subject to an annual assessment by the relevant government authorities in China. Without any preferential tax status, the standard EIT rate of 25.0% will apply. Moreover, if there are further changes to the relevant income tax laws and their implementation, our subsidiaries and VIEs may need to pay additional taxes, which could have a material adverse effect on our results of operations.</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86" w:lineRule="exact"/>
        <w:rPr>
          <w:sz w:val="20"/>
          <w:szCs w:val="20"/>
          <w:color w:val="auto"/>
        </w:rPr>
      </w:pPr>
    </w:p>
    <w:p>
      <w:pPr>
        <w:ind w:right="20" w:firstLine="639"/>
        <w:spacing w:after="0" w:line="250" w:lineRule="auto"/>
        <w:rPr>
          <w:sz w:val="20"/>
          <w:szCs w:val="20"/>
          <w:color w:val="auto"/>
        </w:rPr>
      </w:pPr>
      <w:r>
        <w:rPr>
          <w:rFonts w:ascii="Arial" w:cs="Arial" w:eastAsia="Arial" w:hAnsi="Arial"/>
          <w:sz w:val="18"/>
          <w:szCs w:val="18"/>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96" w:lineRule="exact"/>
        <w:rPr>
          <w:sz w:val="20"/>
          <w:szCs w:val="20"/>
          <w:color w:val="auto"/>
        </w:rPr>
      </w:pPr>
    </w:p>
    <w:p>
      <w:pPr>
        <w:ind w:right="80" w:firstLine="639"/>
        <w:spacing w:after="0" w:line="279" w:lineRule="auto"/>
        <w:rPr>
          <w:sz w:val="20"/>
          <w:szCs w:val="20"/>
          <w:color w:val="auto"/>
        </w:rPr>
      </w:pPr>
      <w:r>
        <w:rPr>
          <w:rFonts w:ascii="Arial" w:cs="Arial" w:eastAsia="Arial" w:hAnsi="Arial"/>
          <w:sz w:val="17"/>
          <w:szCs w:val="17"/>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71" w:lineRule="exact"/>
        <w:rPr>
          <w:sz w:val="20"/>
          <w:szCs w:val="20"/>
          <w:color w:val="auto"/>
        </w:rPr>
      </w:pPr>
    </w:p>
    <w:p>
      <w:pPr>
        <w:ind w:right="20" w:firstLine="639"/>
        <w:spacing w:after="0" w:line="283" w:lineRule="auto"/>
        <w:rPr>
          <w:sz w:val="20"/>
          <w:szCs w:val="20"/>
          <w:color w:val="auto"/>
        </w:rPr>
      </w:pPr>
      <w:r>
        <w:rPr>
          <w:rFonts w:ascii="Arial" w:cs="Arial" w:eastAsia="Arial" w:hAnsi="Arial"/>
          <w:sz w:val="16"/>
          <w:szCs w:val="16"/>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of 5.0% is applied if the “non-resident enterprises” are registered in Hong Kong or other jurisdictions that have a favorable tax treaty arrangement with China. Nevertheless, the PRC State Administration of Taxation promulgated a tax notice on October 27, 2009, or Circular 601, which provides that tax treaty benefits will be denied to “conduit” or shell companies without business substance, and a beneficial ownership analysis will be used based on a “substance-over-form” principle to determine whether or not to grant tax treaty benefits. It is unclear at this stage whether Circular 601 applies to dividends from our PRC subsidiaries paid to us through our Hong Kong subsidiaries. It is possible that under Circular 601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71"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Because we may be treated as a “resident enterprise,” any dividends paid to the corporate shareholders or shareholders appearing as corporate entities on the share registers of NetEase, Inc. which are considered “non-resident enterprises” may be subject to withholding income tax, and gains realized on the transfer of our ordinary shares or ADSs by such shareholders may be subject to PRC income tax, which may adversely and materially affect the value of the investment in our shares or ADSs.</w:t>
      </w:r>
    </w:p>
    <w:p>
      <w:pPr>
        <w:spacing w:after="0" w:line="187" w:lineRule="exact"/>
        <w:rPr>
          <w:sz w:val="20"/>
          <w:szCs w:val="20"/>
          <w:color w:val="auto"/>
        </w:rPr>
      </w:pPr>
    </w:p>
    <w:p>
      <w:pPr>
        <w:ind w:right="80"/>
        <w:spacing w:after="0" w:line="304" w:lineRule="auto"/>
        <w:rPr>
          <w:sz w:val="20"/>
          <w:szCs w:val="20"/>
          <w:color w:val="auto"/>
        </w:rPr>
      </w:pPr>
      <w:r>
        <w:rPr>
          <w:rFonts w:ascii="Arial" w:cs="Arial" w:eastAsia="Arial" w:hAnsi="Arial"/>
          <w:sz w:val="17"/>
          <w:szCs w:val="17"/>
          <w:b w:val="1"/>
          <w:bCs w:val="1"/>
          <w:color w:val="auto"/>
        </w:rPr>
        <w:t>If we fail to maintain an effective system of internal control over financial reporting, we may lose investor confidence in the reliability of our financial statements which in turn could negatively impact the trading price of our ADSs or otherwise harm our reputation.</w:t>
      </w:r>
    </w:p>
    <w:p>
      <w:pPr>
        <w:spacing w:after="0" w:line="150" w:lineRule="exact"/>
        <w:rPr>
          <w:sz w:val="20"/>
          <w:szCs w:val="20"/>
          <w:color w:val="auto"/>
        </w:rPr>
      </w:pPr>
    </w:p>
    <w:p>
      <w:pPr>
        <w:ind w:right="260" w:firstLine="639"/>
        <w:spacing w:after="0" w:line="253" w:lineRule="auto"/>
        <w:rPr>
          <w:sz w:val="20"/>
          <w:szCs w:val="20"/>
          <w:color w:val="auto"/>
        </w:rPr>
      </w:pPr>
      <w:r>
        <w:rPr>
          <w:rFonts w:ascii="Arial" w:cs="Arial" w:eastAsia="Arial" w:hAnsi="Arial"/>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93" w:lineRule="exact"/>
        <w:rPr>
          <w:sz w:val="20"/>
          <w:szCs w:val="20"/>
          <w:color w:val="auto"/>
        </w:rPr>
      </w:pPr>
    </w:p>
    <w:p>
      <w:pPr>
        <w:ind w:right="40" w:firstLine="639"/>
        <w:spacing w:after="0" w:line="284"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and concluded that our internal control over financial reporting was effective as of December 31, 2018. Our independent registered public accounting firm has also, in its audit report, concluded that our internal control over financial reporting was effective in all material aspects as of December 31, 2018.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network interruption caused by system failures may reduce visitor traffic and harm our reputation.</w:t>
      </w:r>
    </w:p>
    <w:p>
      <w:pPr>
        <w:spacing w:after="0" w:line="225" w:lineRule="exact"/>
        <w:rPr>
          <w:sz w:val="20"/>
          <w:szCs w:val="20"/>
          <w:color w:val="auto"/>
        </w:rPr>
      </w:pPr>
    </w:p>
    <w:p>
      <w:pPr>
        <w:ind w:right="300" w:firstLine="639"/>
        <w:spacing w:after="0" w:line="288" w:lineRule="auto"/>
        <w:rPr>
          <w:sz w:val="20"/>
          <w:szCs w:val="20"/>
          <w:color w:val="auto"/>
        </w:rPr>
      </w:pPr>
      <w:r>
        <w:rPr>
          <w:rFonts w:ascii="Arial" w:cs="Arial" w:eastAsia="Arial" w:hAnsi="Arial"/>
          <w:sz w:val="16"/>
          <w:szCs w:val="16"/>
          <w:color w:val="auto"/>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vulnerable to natural disasters, widespread public health problems and other events.</w:t>
      </w:r>
    </w:p>
    <w:p>
      <w:pPr>
        <w:spacing w:after="0" w:line="225"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cannot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spacing w:after="0" w:line="167"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color w:val="auto"/>
        </w:rPr>
        <w:t>In addition, our business could be adversely affected by widespread public health or other outbreaks and epidemics. In recent years, there have been recent reports of outbreaks of an avian flu caused by the H7N9 influenza and H5N6 influenza including confirmed human cases in China. The spread of avian flu or any other widespread public health problem in China, where substantially all of our revenue is derived, or in Beijing, Shanghai, Guangzhou or Hangzhou, where most of our employees are located, could have a material and adverse effect on our business and operations. Our operations may be impacted due to closures of our offices or the sickness or death of our key officers and employees. Our operations could also be severely disrupted if such health problems or outbreak lead to a general slowdown in the Chinese economy or if our suppliers, customers or business partners were affected by such natural disasters, outbreaks or health epidemics.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acquisitions and investments could result in operating difficulties, dilution and other harmful consequences.</w:t>
      </w:r>
    </w:p>
    <w:p>
      <w:pPr>
        <w:spacing w:after="0" w:line="225" w:lineRule="exact"/>
        <w:rPr>
          <w:sz w:val="20"/>
          <w:szCs w:val="20"/>
          <w:color w:val="auto"/>
        </w:rPr>
      </w:pPr>
    </w:p>
    <w:p>
      <w:pPr>
        <w:ind w:right="20" w:firstLine="639"/>
        <w:spacing w:after="0" w:line="253" w:lineRule="auto"/>
        <w:rPr>
          <w:sz w:val="20"/>
          <w:szCs w:val="20"/>
          <w:color w:val="auto"/>
        </w:rPr>
      </w:pPr>
      <w:r>
        <w:rPr>
          <w:rFonts w:ascii="Arial" w:cs="Arial" w:eastAsia="Arial" w:hAnsi="Arial"/>
          <w:sz w:val="18"/>
          <w:szCs w:val="18"/>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93" w:lineRule="exact"/>
        <w:rPr>
          <w:sz w:val="20"/>
          <w:szCs w:val="20"/>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costs of identifying and consummating acquisitions;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the management, technologies and employees of the acquired businesses;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coordination of products and services, engineering and sales and marketing functions;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retention of employees from the businesses we acquire;</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significant impairment losses related to goodwill and other intangible assets acquired or investments in other businesses;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expenses in obtaining approvals for the transaction from shareholders and relevant government authorities in China;</w:t>
      </w:r>
    </w:p>
    <w:p>
      <w:pPr>
        <w:spacing w:after="0" w:line="219" w:lineRule="exact"/>
        <w:rPr>
          <w:rFonts w:ascii="Arial" w:cs="Arial" w:eastAsia="Arial" w:hAnsi="Arial"/>
          <w:sz w:val="18"/>
          <w:szCs w:val="18"/>
          <w:color w:val="auto"/>
        </w:rPr>
      </w:pPr>
    </w:p>
    <w:p>
      <w:pPr>
        <w:ind w:left="640" w:right="340" w:hanging="314"/>
        <w:spacing w:after="0" w:line="267" w:lineRule="auto"/>
        <w:tabs>
          <w:tab w:leader="none" w:pos="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overseas acquisitions, the need to integrate operations across different cultures and languages and to address the particular economic, currency, political and regulatory risks associated with specific countries;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20" w:hanging="294"/>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the intended objectives, benefits or revenue-enhancing opportunities.</w:t>
      </w:r>
    </w:p>
    <w:p>
      <w:pPr>
        <w:spacing w:after="0" w:line="219" w:lineRule="exact"/>
        <w:rPr>
          <w:sz w:val="20"/>
          <w:szCs w:val="20"/>
          <w:color w:val="auto"/>
        </w:rPr>
      </w:pPr>
    </w:p>
    <w:p>
      <w:pPr>
        <w:ind w:right="120" w:firstLine="639"/>
        <w:spacing w:after="0" w:line="291" w:lineRule="auto"/>
        <w:rPr>
          <w:sz w:val="20"/>
          <w:szCs w:val="20"/>
          <w:color w:val="auto"/>
        </w:rPr>
      </w:pPr>
      <w:r>
        <w:rPr>
          <w:rFonts w:ascii="Arial" w:cs="Arial" w:eastAsia="Arial" w:hAnsi="Arial"/>
          <w:sz w:val="16"/>
          <w:szCs w:val="16"/>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providers of bandwidth and server custody service fail to provide these services, our business could be materially curtailed.</w:t>
      </w:r>
    </w:p>
    <w:p>
      <w:pPr>
        <w:spacing w:after="0" w:line="225"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We rely on affiliates of China Unicom, China Telecom and China Net Center to provide us with bandwidth and server custody service for Internet users to access the NetEase websites and other online and mobile platforms. If China Unicom, China Telecom, China Net Center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87" w:lineRule="exact"/>
        <w:rPr>
          <w:sz w:val="20"/>
          <w:szCs w:val="20"/>
          <w:color w:val="auto"/>
        </w:rPr>
      </w:pPr>
    </w:p>
    <w:p>
      <w:pPr>
        <w:ind w:right="800"/>
        <w:spacing w:after="0" w:line="274" w:lineRule="auto"/>
        <w:rPr>
          <w:sz w:val="20"/>
          <w:szCs w:val="20"/>
          <w:color w:val="auto"/>
        </w:rPr>
      </w:pPr>
      <w:r>
        <w:rPr>
          <w:rFonts w:ascii="Arial" w:cs="Arial" w:eastAsia="Arial" w:hAnsi="Arial"/>
          <w:sz w:val="18"/>
          <w:szCs w:val="18"/>
          <w:b w:val="1"/>
          <w:bCs w:val="1"/>
          <w:color w:val="auto"/>
        </w:rPr>
        <w:t>We may be held liable for information or content displayed on, retrieved from or linked to the NetEase websites and other online and mobile platforms.</w:t>
      </w:r>
    </w:p>
    <w:p>
      <w:pPr>
        <w:spacing w:after="0" w:line="173" w:lineRule="exact"/>
        <w:rPr>
          <w:sz w:val="20"/>
          <w:szCs w:val="20"/>
          <w:color w:val="auto"/>
        </w:rPr>
      </w:pPr>
    </w:p>
    <w:p>
      <w:pPr>
        <w:ind w:right="80" w:firstLine="639"/>
        <w:spacing w:after="0" w:line="283"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and other online and mobile platforms. We are involved in several intellectual property infringement claims or actions and are occasionally subject to defamation claims.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user-generated content that is accessible on the NetEase websites or other online and mobile platforms such as content and materials posted by users on message boards, online communities, voting systems, e-mail, chat rooms or livestreams that are offered on the NetEase websites or online and mobile platforms. By providing technology for hypertext links to third-party websites, we may be held liable for copyright or trademark violations by those third-party sites. Third parties could assert claims against us for losses incurred in reliance on any erroneous information distributed by us. Moreover, users of the NetEase web-based e-mail services could seek damages from us for:</w:t>
      </w:r>
    </w:p>
    <w:p>
      <w:pPr>
        <w:spacing w:after="0" w:line="175" w:lineRule="exact"/>
        <w:rPr>
          <w:sz w:val="20"/>
          <w:szCs w:val="20"/>
          <w:color w:val="auto"/>
        </w:rPr>
      </w:pPr>
    </w:p>
    <w:p>
      <w:pPr>
        <w:ind w:left="620" w:hanging="29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unsolicited e-mails;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lost or misplaced messages;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illegal or fraudulent use of e-mail; or</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e-mail service.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incur significant costs in investigating and defending these claims, even if they do not result in liability.</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Information displayed on, retrieved from or linked to the NetEase websites and other online and mobile platforms may subject us to claims of violating Chinese laws.</w:t>
      </w:r>
    </w:p>
    <w:p>
      <w:pPr>
        <w:spacing w:after="0" w:line="173" w:lineRule="exact"/>
        <w:rPr>
          <w:sz w:val="20"/>
          <w:szCs w:val="20"/>
          <w:color w:val="auto"/>
        </w:rPr>
      </w:pPr>
    </w:p>
    <w:p>
      <w:pPr>
        <w:ind w:right="20" w:firstLine="639"/>
        <w:spacing w:after="0" w:line="284" w:lineRule="auto"/>
        <w:rPr>
          <w:sz w:val="20"/>
          <w:szCs w:val="20"/>
          <w:color w:val="auto"/>
        </w:rPr>
      </w:pPr>
      <w:r>
        <w:rPr>
          <w:rFonts w:ascii="Arial" w:cs="Arial" w:eastAsia="Arial" w:hAnsi="Arial"/>
          <w:sz w:val="16"/>
          <w:szCs w:val="16"/>
          <w:color w:val="auto"/>
        </w:rPr>
        <w:t>Violations or perceived violations of Chinese laws arising from information displayed on, retrieved from or linked to the NetEase websites and other online and mobile platforms could result in significant penalties, including a temporary or complete cessation of our business. China has enacted regulations governing Internet access and the distribution of news and other information. Furthermore, multiple organizations are involved in the administering of such regulations, including the Propaganda Department of the Chinese Communist Party, which has been given the responsibility to censor news published in China to ensure, supervise and control a particular political ideology, and the Cyberspace Administration of China, or CAC, which has been given the responsibility to protect, supervise and administer cyber security issues in China. In addition, the PRC Ministry of Industries and Information Technology, or MII,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w:t>
      </w:r>
    </w:p>
    <w:p>
      <w:pPr>
        <w:spacing w:after="0" w:line="172" w:lineRule="exact"/>
        <w:rPr>
          <w:sz w:val="20"/>
          <w:szCs w:val="20"/>
          <w:color w:val="auto"/>
        </w:rPr>
      </w:pPr>
    </w:p>
    <w:p>
      <w:pPr>
        <w:ind w:right="20" w:firstLine="639"/>
        <w:spacing w:after="0" w:line="265" w:lineRule="auto"/>
        <w:rPr>
          <w:sz w:val="20"/>
          <w:szCs w:val="20"/>
          <w:color w:val="auto"/>
        </w:rPr>
      </w:pPr>
      <w:r>
        <w:rPr>
          <w:rFonts w:ascii="Arial" w:cs="Arial" w:eastAsia="Arial" w:hAnsi="Arial"/>
          <w:sz w:val="17"/>
          <w:szCs w:val="17"/>
          <w:color w:val="auto"/>
        </w:rPr>
        <w:t>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or transmitted by users on message boards, virtual communities, chat rooms or e-mails. Furthermore, where the transmitted content clearly violates the laws of the PRC, we will be required to delete it. In the case where we consider transmitted content suspicious, we are required to report such content. We must also undergo computer security inspections, and if we fail to implement the relevant safeguards against security breaches, we may be shut down. In addition, under the relevant regulations, Internet companies which provide bulletin board systems, chat rooms or similar services, such as our company, must apply for the approval of the State Secrecy Bureau. As the implementing rules of these new regulations have not been issued, we do not know how or when we will be expected to comply, or how our business will be affected by the application of these regulations.</w:t>
      </w:r>
    </w:p>
    <w:p>
      <w:pPr>
        <w:sectPr>
          <w:pgSz w:w="11900" w:h="16838" w:orient="portrait"/>
          <w:cols w:equalWidth="0" w:num="1">
            <w:col w:w="11420"/>
          </w:cols>
          <w:pgMar w:left="240" w:top="127"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20" w:firstLine="639"/>
        <w:spacing w:after="0" w:line="257" w:lineRule="auto"/>
        <w:rPr>
          <w:sz w:val="20"/>
          <w:szCs w:val="20"/>
          <w:color w:val="auto"/>
        </w:rPr>
      </w:pPr>
      <w:r>
        <w:rPr>
          <w:rFonts w:ascii="Arial" w:cs="Arial" w:eastAsia="Arial" w:hAnsi="Arial"/>
          <w:sz w:val="18"/>
          <w:szCs w:val="18"/>
          <w:color w:val="auto"/>
        </w:rPr>
        <w:t>If the Chinese government takes any action to limit or eliminate the distribution of information through the NetEase websites or other online and mobile platforms, or to limit or regulate any current or future community functions available to users or otherwise block the NetEase websites or other online and mobile platforms, our business would be significantly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adequately protect our intellectual property, and we may be exposed to infringement claims by third parties.</w:t>
      </w:r>
    </w:p>
    <w:p>
      <w:pPr>
        <w:spacing w:after="0" w:line="225" w:lineRule="exact"/>
        <w:rPr>
          <w:sz w:val="20"/>
          <w:szCs w:val="20"/>
          <w:color w:val="auto"/>
        </w:rPr>
      </w:pPr>
    </w:p>
    <w:p>
      <w:pPr>
        <w:ind w:right="220" w:firstLine="639"/>
        <w:spacing w:after="0" w:line="253" w:lineRule="auto"/>
        <w:rPr>
          <w:sz w:val="20"/>
          <w:szCs w:val="20"/>
          <w:color w:val="auto"/>
        </w:rPr>
      </w:pPr>
      <w:r>
        <w:rPr>
          <w:rFonts w:ascii="Arial" w:cs="Arial" w:eastAsia="Arial" w:hAnsi="Arial"/>
          <w:sz w:val="18"/>
          <w:szCs w:val="18"/>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Monitoring unauthorized use of our services is difficult and costly, and we cannot be certain that the steps we take will effectively prevent misappropriation of our technology.</w:t>
      </w:r>
    </w:p>
    <w:p>
      <w:pPr>
        <w:spacing w:after="0" w:line="193"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 and Proprietary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business in international markets may be adversely affected by legal, regulatory and other risks.</w:t>
      </w:r>
    </w:p>
    <w:p>
      <w:pPr>
        <w:spacing w:after="0" w:line="225" w:lineRule="exact"/>
        <w:rPr>
          <w:sz w:val="20"/>
          <w:szCs w:val="20"/>
          <w:color w:val="auto"/>
        </w:rPr>
      </w:pPr>
    </w:p>
    <w:p>
      <w:pPr>
        <w:ind w:right="120" w:firstLine="679"/>
        <w:spacing w:after="0" w:line="288" w:lineRule="auto"/>
        <w:rPr>
          <w:sz w:val="20"/>
          <w:szCs w:val="20"/>
          <w:color w:val="auto"/>
        </w:rPr>
      </w:pPr>
      <w:r>
        <w:rPr>
          <w:rFonts w:ascii="Arial" w:cs="Arial" w:eastAsia="Arial" w:hAnsi="Arial"/>
          <w:sz w:val="16"/>
          <w:szCs w:val="16"/>
          <w:color w:val="auto"/>
        </w:rPr>
        <w:t>International expansion of our online games is an important component of our growth strategy and may subject us to additional risks and challenges, including but not limited to challenges in formulating effective local sales and marketing strategies targeting users from various jurisdictions and cultures, who have a diverse range of preferences and demands; challenges in identifying appropriate local business partners and establishing and maintaining good working relationships with them; exposure to different tax jurisdictions that may subject us to greater fluctuations in our effective tax rate and potentially adverse tax consequence; and risks of increased costs associated with doing business in foreign jurisdictions. If we fail to address any of these risks and challenges associated with our international expansion, our reputation, business and results of operations may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or become a passive foreign investment company, or PFIC, which could result in adverse U.S. federal income tax consequences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08" w:lineRule="exact"/>
        <w:rPr>
          <w:sz w:val="20"/>
          <w:szCs w:val="20"/>
          <w:color w:val="auto"/>
        </w:rPr>
      </w:pPr>
    </w:p>
    <w:p>
      <w:pPr>
        <w:jc w:val="both"/>
        <w:ind w:right="100" w:firstLine="639"/>
        <w:spacing w:after="0" w:line="252" w:lineRule="auto"/>
        <w:rPr>
          <w:sz w:val="20"/>
          <w:szCs w:val="20"/>
          <w:color w:val="auto"/>
        </w:rPr>
      </w:pPr>
      <w:r>
        <w:rPr>
          <w:rFonts w:ascii="Arial" w:cs="Arial" w:eastAsia="Arial" w:hAnsi="Arial"/>
          <w:sz w:val="18"/>
          <w:szCs w:val="18"/>
          <w:color w:val="auto"/>
        </w:rPr>
        <w:t>We may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92" w:lineRule="exact"/>
        <w:rPr>
          <w:sz w:val="20"/>
          <w:szCs w:val="20"/>
          <w:color w:val="auto"/>
        </w:rPr>
      </w:pPr>
    </w:p>
    <w:p>
      <w:pPr>
        <w:ind w:right="80" w:firstLine="639"/>
        <w:spacing w:after="0" w:line="251"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3" w:lineRule="exact"/>
        <w:rPr>
          <w:sz w:val="20"/>
          <w:szCs w:val="20"/>
          <w:color w:val="auto"/>
        </w:rPr>
      </w:pPr>
    </w:p>
    <w:p>
      <w:pPr>
        <w:ind w:right="100" w:firstLine="639"/>
        <w:spacing w:after="0" w:line="257" w:lineRule="auto"/>
        <w:rPr>
          <w:sz w:val="20"/>
          <w:szCs w:val="20"/>
          <w:color w:val="auto"/>
        </w:rPr>
      </w:pPr>
      <w:r>
        <w:rPr>
          <w:rFonts w:ascii="Arial" w:cs="Arial" w:eastAsia="Arial" w:hAnsi="Arial"/>
          <w:sz w:val="18"/>
          <w:szCs w:val="18"/>
          <w:color w:val="auto"/>
        </w:rPr>
        <w:t>We do not believe that we were a PFIC for the taxable year 2018. The PFIC determination is highly fact intensive and made at the end of each taxable year. For these reasons, there can be no assurance that we were not a PFIC in 2018 or that we will not be a PFIC in any future taxable year or that the U.S. Internal Revenue Service will not challenge our determination concerning our PFIC status.</w:t>
      </w:r>
    </w:p>
    <w:p>
      <w:pPr>
        <w:spacing w:after="0" w:line="188" w:lineRule="exact"/>
        <w:rPr>
          <w:sz w:val="20"/>
          <w:szCs w:val="20"/>
          <w:color w:val="auto"/>
        </w:rPr>
      </w:pPr>
    </w:p>
    <w:p>
      <w:pPr>
        <w:ind w:right="40" w:firstLine="639"/>
        <w:spacing w:after="0" w:line="266" w:lineRule="auto"/>
        <w:rPr>
          <w:sz w:val="20"/>
          <w:szCs w:val="20"/>
          <w:color w:val="auto"/>
        </w:rPr>
      </w:pPr>
      <w:r>
        <w:rPr>
          <w:rFonts w:ascii="Arial" w:cs="Arial" w:eastAsia="Arial" w:hAnsi="Arial"/>
          <w:sz w:val="17"/>
          <w:szCs w:val="17"/>
          <w:color w:val="auto"/>
        </w:rPr>
        <w:t>If we are or become a PFIC, and, if so, if one or more of our subsidiaries are treated as PFICs, U.S. holders of our shares or ADSs would be subject to adverse U.S. federal income tax consequences, such as ineligibility for any preferential tax rates on capital gains or on actual or deemed dividends, interest charges on certain taxes treated as deferred, and additional reporting requirements under U.S. federal income tax laws and regulations. Whether U.S. holders of our shares or ADSs make (or are eligible to make) a timely qualified electing fund, or QEF, election or a mark-to-market election may affect the U.S. federal income tax consequences to U.S. holders with respect to the acquisition, ownership and disposition of our shares and ADSs and any distributions such U.S. holders may receive. We do not, however, expect to provide the information regarding our income that would be necessary in order for a U.S. holder to make a QEF election if we are classified as a PFIC. Investors should consult their own tax advisors regarding all aspects of the application of the PFIC rules to our shares and ADSs.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If we are a PFIC in any year with respect to a U.S. Holder (as defined below), the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 U.S. Holders should consult their tax advisors regarding the potential application of the PFIC regime and related reporting requirements.</w:t>
      </w:r>
    </w:p>
    <w:p>
      <w:pPr>
        <w:spacing w:after="0" w:line="176" w:lineRule="exact"/>
        <w:rPr>
          <w:sz w:val="20"/>
          <w:szCs w:val="20"/>
          <w:color w:val="auto"/>
        </w:rPr>
      </w:pPr>
    </w:p>
    <w:p>
      <w:pPr>
        <w:ind w:right="660" w:firstLine="639"/>
        <w:spacing w:after="0" w:line="267"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Item 10.E “Additional Information—Taxation—United States Federal Income Taxation.”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 legal environment in China could limit the legal protections available to you.</w:t>
      </w:r>
    </w:p>
    <w:p>
      <w:pPr>
        <w:spacing w:after="0" w:line="225" w:lineRule="exact"/>
        <w:rPr>
          <w:sz w:val="20"/>
          <w:szCs w:val="20"/>
          <w:color w:val="auto"/>
        </w:rPr>
      </w:pPr>
    </w:p>
    <w:p>
      <w:pPr>
        <w:ind w:right="20" w:firstLine="639"/>
        <w:spacing w:after="0" w:line="270" w:lineRule="auto"/>
        <w:rPr>
          <w:sz w:val="20"/>
          <w:szCs w:val="20"/>
          <w:color w:val="auto"/>
        </w:rPr>
      </w:pPr>
      <w:r>
        <w:rPr>
          <w:rFonts w:ascii="Arial" w:cs="Arial" w:eastAsia="Arial" w:hAnsi="Arial"/>
          <w:sz w:val="17"/>
          <w:szCs w:val="17"/>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73" w:lineRule="exact"/>
        <w:rPr>
          <w:sz w:val="20"/>
          <w:szCs w:val="20"/>
          <w:color w:val="auto"/>
        </w:rPr>
      </w:pPr>
    </w:p>
    <w:p>
      <w:pPr>
        <w:ind w:right="440"/>
        <w:spacing w:after="0" w:line="274" w:lineRule="auto"/>
        <w:rPr>
          <w:sz w:val="20"/>
          <w:szCs w:val="20"/>
          <w:color w:val="auto"/>
        </w:rPr>
      </w:pPr>
      <w:r>
        <w:rPr>
          <w:rFonts w:ascii="Arial" w:cs="Arial" w:eastAsia="Arial" w:hAnsi="Arial"/>
          <w:sz w:val="18"/>
          <w:szCs w:val="18"/>
          <w:b w:val="1"/>
          <w:bCs w:val="1"/>
          <w:color w:val="auto"/>
        </w:rPr>
        <w:t>Substantial uncertainties exist with respect to how the 2019 Foreign Investment Law may impact the viability of our current corporate structure, corporate governance and business operations.</w:t>
      </w:r>
    </w:p>
    <w:p>
      <w:pPr>
        <w:spacing w:after="0" w:line="173" w:lineRule="exact"/>
        <w:rPr>
          <w:sz w:val="20"/>
          <w:szCs w:val="20"/>
          <w:color w:val="auto"/>
        </w:rPr>
      </w:pPr>
    </w:p>
    <w:p>
      <w:pPr>
        <w:ind w:firstLine="639"/>
        <w:spacing w:after="0" w:line="282" w:lineRule="auto"/>
        <w:rPr>
          <w:sz w:val="20"/>
          <w:szCs w:val="20"/>
          <w:color w:val="auto"/>
        </w:rPr>
      </w:pPr>
      <w:r>
        <w:rPr>
          <w:rFonts w:ascii="Arial" w:cs="Arial" w:eastAsia="Arial" w:hAnsi="Arial"/>
          <w:sz w:val="16"/>
          <w:szCs w:val="16"/>
          <w:color w:val="auto"/>
        </w:rPr>
        <w:t>On March 15, 2019, the Standing Committee of National People’s Congress promulgated the Law of Foreign Investment, or the 2019 Law of Foreign Investment, which is expected to become effective on January 1, 2020. The 2019 Law of Foreign Investment replaces the trio of existing laws regulating foreign investment in China, namely, the Sino-Foreign Equity Joint Venture Enterprise Law, the Sino-Foreign Cooperative Joint Venture Enterprise Law and the Wholly Foreign-Owned Enterprise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2019 Law of Foreign Investment, especially in regard to, including, among other things, the nature of VIE contractual arrangements, the promulgation schedule of both the “negative list” under the 2019 Law of Foreign Investment and specific rules regulating the organization form of foreign-invested enterprises within the five-year transition period. 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 and “Our Organizational Structure.” While the 2019 Law of Foreign Investment does not define contractual arrangements as a form of foreign investment explicitly, we cannot assure you that future laws and regulations will not provide for contractual arrangements as a form of foreign investment. Therefore, there can be no assurance that our control over our VIEs through contractual arrangements will not be deemed as foreign investment in the future.</w:t>
      </w:r>
    </w:p>
    <w:p>
      <w:pPr>
        <w:spacing w:after="0" w:line="173" w:lineRule="exact"/>
        <w:rPr>
          <w:sz w:val="20"/>
          <w:szCs w:val="20"/>
          <w:color w:val="auto"/>
        </w:rPr>
      </w:pPr>
    </w:p>
    <w:p>
      <w:pPr>
        <w:ind w:right="20" w:firstLine="639"/>
        <w:spacing w:after="0" w:line="283" w:lineRule="auto"/>
        <w:rPr>
          <w:sz w:val="20"/>
          <w:szCs w:val="20"/>
          <w:color w:val="auto"/>
        </w:rPr>
      </w:pPr>
      <w:r>
        <w:rPr>
          <w:rFonts w:ascii="Arial" w:cs="Arial" w:eastAsia="Arial" w:hAnsi="Arial"/>
          <w:sz w:val="16"/>
          <w:szCs w:val="16"/>
          <w:color w:val="auto"/>
        </w:rPr>
        <w:t>In the event that any possible implementing regulations of the 2019 Law of Foreign Investment, any other future laws, administrative regulations or provisions deem contractual arrangements as a way of foreign investment, or if any of our operations through contractual arrangements is classified in the “restricted” or “prohibited” industry in the future “negative list” under the 2019 Law of Foreign Investment, our contractual arrangements may be deemed as invalid and illegal, and we may be required to unwind the variable interest entity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In addition, the 2019 Law of Foreign Investment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PRC subsidiaries in such transition period. Failure to take timely and appropriate measures to cope with any of these or similar regulatory compliance challenges could materially and adversely affect our current corporate structure, corporate governance and business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drafting, interpretation and enforcement in China involve significant uncertainty.</w:t>
      </w:r>
    </w:p>
    <w:p>
      <w:pPr>
        <w:spacing w:after="0" w:line="225"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We have entered into numerous contracts governed by PRC law, many of which are material to our business. As compared with contracts in the United States, contracts governed by PRC law tend to contain less detail and are not as comprehensive in defining contracting parties’ rights and obligations. As a result, contracts in China are more vulnerable to disputes and legal challenges. In addition, contract interpretation and enforcement in China is not as developed as in the United States, and the result of any contract dispute is subject to significant uncertainties. Therefore, we cannot assure you that we will not be subject to disputes under our material contracts, and if such disputes arise, we cannot assure you that we will prevail. Any dispute involving material contracts, even without merit, may materially and adversely affect our reputation and our business operations, and may cause the price of our ADSs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China’s political and economic policies could harm our business.</w:t>
      </w:r>
    </w:p>
    <w:p>
      <w:pPr>
        <w:spacing w:after="0" w:line="225" w:lineRule="exact"/>
        <w:rPr>
          <w:sz w:val="20"/>
          <w:szCs w:val="20"/>
          <w:color w:val="auto"/>
        </w:rPr>
      </w:pPr>
    </w:p>
    <w:p>
      <w:pPr>
        <w:ind w:right="220" w:firstLine="639"/>
        <w:spacing w:after="0" w:line="291" w:lineRule="auto"/>
        <w:rPr>
          <w:sz w:val="20"/>
          <w:szCs w:val="20"/>
          <w:color w:val="auto"/>
        </w:rPr>
      </w:pPr>
      <w:r>
        <w:rPr>
          <w:rFonts w:ascii="Arial" w:cs="Arial" w:eastAsia="Arial" w:hAnsi="Arial"/>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63" w:lineRule="exact"/>
        <w:rPr>
          <w:sz w:val="20"/>
          <w:szCs w:val="20"/>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structure;</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government involvement in the economy;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capital reinvestment;</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of foreign exchange;</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of allocating resources;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of payments position.</w:t>
      </w:r>
    </w:p>
    <w:p>
      <w:pPr>
        <w:spacing w:after="0" w:line="219" w:lineRule="exact"/>
        <w:rPr>
          <w:sz w:val="20"/>
          <w:szCs w:val="20"/>
          <w:color w:val="auto"/>
        </w:rPr>
      </w:pPr>
    </w:p>
    <w:p>
      <w:pPr>
        <w:ind w:right="200" w:firstLine="639"/>
        <w:spacing w:after="0" w:line="267" w:lineRule="auto"/>
        <w:rPr>
          <w:sz w:val="20"/>
          <w:szCs w:val="20"/>
          <w:color w:val="auto"/>
        </w:rPr>
      </w:pPr>
      <w:r>
        <w:rPr>
          <w:rFonts w:ascii="Arial" w:cs="Arial" w:eastAsia="Arial" w:hAnsi="Arial"/>
          <w:sz w:val="18"/>
          <w:szCs w:val="18"/>
          <w:color w:val="auto"/>
        </w:rPr>
        <w:t>As a result of these differences, our business may not develop in the same way or at the same rate as might be expected if the Chinese economy were similar to those of the OECD member countries.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 in Renminbi exchange rates could adversely affect the value of our ADSs and any cash dividend declared on them.</w:t>
      </w:r>
    </w:p>
    <w:p>
      <w:pPr>
        <w:spacing w:after="0" w:line="225" w:lineRule="exact"/>
        <w:rPr>
          <w:sz w:val="20"/>
          <w:szCs w:val="20"/>
          <w:color w:val="auto"/>
        </w:rPr>
      </w:pPr>
    </w:p>
    <w:p>
      <w:pPr>
        <w:ind w:right="60" w:firstLine="639"/>
        <w:spacing w:after="0" w:line="265" w:lineRule="auto"/>
        <w:rPr>
          <w:sz w:val="20"/>
          <w:szCs w:val="20"/>
          <w:color w:val="auto"/>
        </w:rPr>
      </w:pPr>
      <w:r>
        <w:rPr>
          <w:rFonts w:ascii="Arial" w:cs="Arial" w:eastAsia="Arial" w:hAnsi="Arial"/>
          <w:sz w:val="17"/>
          <w:szCs w:val="17"/>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allowed the RMB to appreciate slowly against the U.S. dollar again, and it had appreciated more than 10% since June 2010 until it began to depreciate against the U.S. dollar in January 2014. Between January 2014 and December 2018, the RMB depreciated against the U.S. dollar by approximately 13.6%.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 of the RMB against the U.S. dollar. Our revenues are primarily denominated in Renminbi, and any significant depreciation of the RMB may affect the value of, and dividends (if any) payable on, our ADSs in U.S. dollar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currency exchange may limit our ability to utilize our revenues effectively.</w:t>
      </w:r>
    </w:p>
    <w:p>
      <w:pPr>
        <w:spacing w:after="0" w:line="225" w:lineRule="exact"/>
        <w:rPr>
          <w:sz w:val="20"/>
          <w:szCs w:val="20"/>
          <w:color w:val="auto"/>
        </w:rPr>
      </w:pPr>
    </w:p>
    <w:p>
      <w:pPr>
        <w:jc w:val="both"/>
        <w:ind w:right="100" w:firstLine="639"/>
        <w:spacing w:after="0" w:line="257" w:lineRule="auto"/>
        <w:rPr>
          <w:sz w:val="20"/>
          <w:szCs w:val="20"/>
          <w:color w:val="auto"/>
        </w:rPr>
      </w:pPr>
      <w:r>
        <w:rPr>
          <w:rFonts w:ascii="Arial" w:cs="Arial" w:eastAsia="Arial" w:hAnsi="Arial"/>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88" w:lineRule="exact"/>
        <w:rPr>
          <w:sz w:val="20"/>
          <w:szCs w:val="20"/>
          <w:color w:val="auto"/>
        </w:rPr>
      </w:pPr>
    </w:p>
    <w:p>
      <w:pPr>
        <w:ind w:right="20" w:firstLine="639"/>
        <w:spacing w:after="0" w:line="253" w:lineRule="auto"/>
        <w:rPr>
          <w:sz w:val="20"/>
          <w:szCs w:val="20"/>
          <w:color w:val="auto"/>
        </w:rPr>
      </w:pPr>
      <w:r>
        <w:rPr>
          <w:rFonts w:ascii="Arial" w:cs="Arial" w:eastAsia="Arial" w:hAnsi="Arial"/>
          <w:sz w:val="18"/>
          <w:szCs w:val="18"/>
          <w:color w:val="auto"/>
        </w:rPr>
        <w:t>Under existing PRC foreign exchange regulations, payments of current account items, including payment of dividends, interest payments and trade and service-related foreign exchange transactions, can be made in foreign currencies without prior approval of the State Administration of Foreign Exchange, or SAFE, by complying with certain procedural requirements. Our PRC subsidiaries and affiliates may also retain foreign exchange in its current account to satisfy foreign exchange liabilities or to pay dividends.</w:t>
      </w:r>
    </w:p>
    <w:p>
      <w:pPr>
        <w:sectPr>
          <w:pgSz w:w="11900" w:h="16838" w:orient="portrait"/>
          <w:cols w:equalWidth="0" w:num="1">
            <w:col w:w="11420"/>
          </w:cols>
          <w:pgMar w:left="240" w:top="12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639"/>
        <w:spacing w:after="0" w:line="252" w:lineRule="auto"/>
        <w:rPr>
          <w:sz w:val="20"/>
          <w:szCs w:val="20"/>
          <w:color w:val="auto"/>
        </w:rPr>
      </w:pPr>
      <w:r>
        <w:rPr>
          <w:rFonts w:ascii="Arial" w:cs="Arial" w:eastAsia="Arial" w:hAnsi="Arial"/>
          <w:sz w:val="18"/>
          <w:szCs w:val="18"/>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spacing w:after="0" w:line="192" w:lineRule="exact"/>
        <w:rPr>
          <w:sz w:val="20"/>
          <w:szCs w:val="20"/>
          <w:color w:val="auto"/>
        </w:rPr>
      </w:pPr>
    </w:p>
    <w:p>
      <w:pPr>
        <w:ind w:right="20" w:firstLine="639"/>
        <w:spacing w:after="0" w:line="284" w:lineRule="auto"/>
        <w:rPr>
          <w:sz w:val="20"/>
          <w:szCs w:val="20"/>
          <w:color w:val="auto"/>
        </w:rPr>
      </w:pPr>
      <w:r>
        <w:rPr>
          <w:rFonts w:ascii="Arial" w:cs="Arial" w:eastAsia="Arial" w:hAnsi="Arial"/>
          <w:sz w:val="16"/>
          <w:szCs w:val="16"/>
          <w:color w:val="auto"/>
        </w:rPr>
        <w:t>In addition, foreign exchange transactions under the capital account are subject to limitations and require registration with or approval by the relevant PRC governmental authorities. In particular,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spacing w:after="0" w:line="166"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73"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On March 28, 2007, SAFE promulgated the Application Procedure of Foreign Exchange Administration for Domestic Individuals Participating in Employee Stock Holding Plan or Share Option Plan of Overseas-Listed Company, or the Share Option Rule. On February 15, 2012, SAFE issued the Notices on Issues Concerning the Foreign Exchange Administration for Domestic Individuals Participating in Stock Incentive Plan of Overseas-Listed Company, or the Stock Incentive Plan Rule, which replaced the Share Option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We have registered with and obtained approvals from the SAFE office in Beijing for the participants of our equity compensation plans who are PRC citizens. Nevertheless, if we or such PRC participants fail to comply with these regulations, we or such PRC participants may be subject to fines and other legal or administrative sanctions.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73" w:lineRule="exact"/>
        <w:rPr>
          <w:sz w:val="20"/>
          <w:szCs w:val="20"/>
          <w:color w:val="auto"/>
        </w:rPr>
      </w:pPr>
    </w:p>
    <w:p>
      <w:pPr>
        <w:ind w:right="100" w:firstLine="639"/>
        <w:spacing w:after="0" w:line="283" w:lineRule="auto"/>
        <w:rPr>
          <w:sz w:val="20"/>
          <w:szCs w:val="20"/>
          <w:color w:val="auto"/>
        </w:rPr>
      </w:pPr>
      <w:r>
        <w:rPr>
          <w:rFonts w:ascii="Arial" w:cs="Arial" w:eastAsia="Arial" w:hAnsi="Arial"/>
          <w:sz w:val="16"/>
          <w:szCs w:val="16"/>
          <w:color w:val="auto"/>
        </w:rPr>
        <w:t>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 offshore company.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75" w:lineRule="exact"/>
        <w:rPr>
          <w:sz w:val="20"/>
          <w:szCs w:val="20"/>
          <w:color w:val="auto"/>
        </w:rPr>
      </w:pPr>
    </w:p>
    <w:p>
      <w:pPr>
        <w:ind w:right="20" w:firstLine="639"/>
        <w:spacing w:after="0" w:line="295"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161" w:lineRule="exact"/>
        <w:rPr>
          <w:sz w:val="20"/>
          <w:szCs w:val="20"/>
          <w:color w:val="auto"/>
        </w:rPr>
      </w:pPr>
    </w:p>
    <w:p>
      <w:pPr>
        <w:ind w:firstLine="639"/>
        <w:spacing w:after="0" w:line="265" w:lineRule="auto"/>
        <w:rPr>
          <w:sz w:val="20"/>
          <w:szCs w:val="20"/>
          <w:color w:val="auto"/>
        </w:rPr>
      </w:pPr>
      <w:r>
        <w:rPr>
          <w:rFonts w:ascii="Arial" w:cs="Arial" w:eastAsia="Arial" w:hAnsi="Arial"/>
          <w:sz w:val="17"/>
          <w:szCs w:val="17"/>
          <w:color w:val="auto"/>
        </w:rPr>
        <w:t>These regulations may have a significant impact on our present and future structuring and investment. We have requested our shareholders who to our knowledge are PRC residents to make the necessary applications, filings and amendments as required under these regulations. We intend to take all necessary measures to ensure that all required applications and filings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ectPr>
          <w:pgSz w:w="11900" w:h="16838" w:orient="portrait"/>
          <w:cols w:equalWidth="0" w:num="1">
            <w:col w:w="11400"/>
          </w:cols>
          <w:pgMar w:left="240" w:top="127" w:right="25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260"/>
        <w:spacing w:after="0" w:line="304" w:lineRule="auto"/>
        <w:rPr>
          <w:sz w:val="20"/>
          <w:szCs w:val="20"/>
          <w:color w:val="auto"/>
        </w:rPr>
      </w:pPr>
      <w:r>
        <w:rPr>
          <w:rFonts w:ascii="Arial" w:cs="Arial" w:eastAsia="Arial" w:hAnsi="Arial"/>
          <w:sz w:val="17"/>
          <w:szCs w:val="17"/>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w:t>
      </w:r>
    </w:p>
    <w:p>
      <w:pPr>
        <w:spacing w:after="0" w:line="150" w:lineRule="exact"/>
        <w:rPr>
          <w:sz w:val="20"/>
          <w:szCs w:val="20"/>
          <w:color w:val="auto"/>
        </w:rPr>
      </w:pPr>
    </w:p>
    <w:p>
      <w:pPr>
        <w:ind w:firstLine="639"/>
        <w:spacing w:after="0" w:line="265" w:lineRule="auto"/>
        <w:rPr>
          <w:sz w:val="20"/>
          <w:szCs w:val="20"/>
          <w:color w:val="auto"/>
        </w:rPr>
      </w:pPr>
      <w:r>
        <w:rPr>
          <w:rFonts w:ascii="Arial" w:cs="Arial" w:eastAsia="Arial" w:hAnsi="Arial"/>
          <w:sz w:val="17"/>
          <w:szCs w:val="17"/>
          <w:color w:val="auto"/>
        </w:rPr>
        <w:t>Our auditor, the independent registered public accounting firm that issued the audit report included elsewhere in this annual report, as an auditor of companies that are registered with the SEC and traded publicly in the United States and a firm registered with the U.S. Public Company Accounting Oversight Board, or PCAOB, is subject to the laws in the United States pursuant to which the PCAOB conducts regular inspections to assess its compliance with the applicable professional standards. Our auditor is located in, and organized under the laws of, the PRC, which is a jurisdiction where the PCAOB has been unable to conduct inspections without the approval of the Chinese authorities. The PCAOB announced on May 24, 2013 that it had entered into a Memorandum of Understanding on Enforcement Cooperation, or the MOU, with the China Securities Regulatory Commission, or the CSRC, and the PRC Ministry of Finance,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w:t>
      </w:r>
    </w:p>
    <w:p>
      <w:pPr>
        <w:spacing w:after="0" w:line="186" w:lineRule="exact"/>
        <w:rPr>
          <w:sz w:val="20"/>
          <w:szCs w:val="20"/>
          <w:color w:val="auto"/>
        </w:rPr>
      </w:pPr>
    </w:p>
    <w:p>
      <w:pPr>
        <w:ind w:right="220" w:firstLine="639"/>
        <w:spacing w:after="0" w:line="257"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PCAOB will take to address the problem.</w:t>
      </w:r>
    </w:p>
    <w:p>
      <w:pPr>
        <w:spacing w:after="0" w:line="188" w:lineRule="exact"/>
        <w:rPr>
          <w:sz w:val="20"/>
          <w:szCs w:val="20"/>
          <w:color w:val="auto"/>
        </w:rPr>
      </w:pPr>
    </w:p>
    <w:p>
      <w:pPr>
        <w:ind w:right="340" w:firstLine="639"/>
        <w:spacing w:after="0" w:line="291" w:lineRule="auto"/>
        <w:rPr>
          <w:sz w:val="20"/>
          <w:szCs w:val="20"/>
          <w:color w:val="auto"/>
        </w:rPr>
      </w:pPr>
      <w:r>
        <w:rPr>
          <w:rFonts w:ascii="Arial" w:cs="Arial" w:eastAsia="Arial" w:hAnsi="Arial"/>
          <w:sz w:val="16"/>
          <w:szCs w:val="16"/>
          <w:color w:val="auto"/>
        </w:rPr>
        <w:t>This lack of PCAOB inspections in China prevents the PCAOB from fully evaluating audits and quality control procedures of our independent registered public accounting firm. As a result, we and our investors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us to lose confidence in our audit procedures and reported financial information and the quality of our financial statements.</w:t>
      </w:r>
    </w:p>
    <w:p>
      <w:pPr>
        <w:spacing w:after="0" w:line="157"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b w:val="1"/>
          <w:bCs w:val="1"/>
          <w:color w:val="auto"/>
        </w:rPr>
        <w:t>We may be adversely affected by the outcome of the administrative proceedings brought by the SEC against the Big Four PRC-based accounting firms.</w:t>
      </w:r>
    </w:p>
    <w:p>
      <w:pPr>
        <w:spacing w:after="0" w:line="173" w:lineRule="exact"/>
        <w:rPr>
          <w:sz w:val="20"/>
          <w:szCs w:val="20"/>
          <w:color w:val="auto"/>
        </w:rPr>
      </w:pPr>
    </w:p>
    <w:p>
      <w:pPr>
        <w:ind w:right="140" w:firstLine="639"/>
        <w:spacing w:after="0" w:line="304" w:lineRule="auto"/>
        <w:rPr>
          <w:sz w:val="20"/>
          <w:szCs w:val="20"/>
          <w:color w:val="auto"/>
        </w:rPr>
      </w:pPr>
      <w:r>
        <w:rPr>
          <w:rFonts w:ascii="Arial" w:cs="Arial" w:eastAsia="Arial" w:hAnsi="Arial"/>
          <w:sz w:val="16"/>
          <w:szCs w:val="16"/>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53"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On January 22, 2014, the administrative law judge presiding over the matter reached an initial decision that the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w:t>
      </w:r>
    </w:p>
    <w:p>
      <w:pPr>
        <w:spacing w:after="0" w:line="188" w:lineRule="exact"/>
        <w:rPr>
          <w:sz w:val="20"/>
          <w:szCs w:val="20"/>
          <w:color w:val="auto"/>
        </w:rPr>
      </w:pPr>
    </w:p>
    <w:p>
      <w:pPr>
        <w:ind w:firstLine="639"/>
        <w:spacing w:after="0" w:line="284" w:lineRule="auto"/>
        <w:rPr>
          <w:sz w:val="20"/>
          <w:szCs w:val="20"/>
          <w:color w:val="auto"/>
        </w:rPr>
      </w:pPr>
      <w:r>
        <w:rPr>
          <w:rFonts w:ascii="Arial" w:cs="Arial" w:eastAsia="Arial" w:hAnsi="Arial"/>
          <w:sz w:val="16"/>
          <w:szCs w:val="16"/>
          <w:color w:val="auto"/>
        </w:rPr>
        <w:t>On February 6, 2015, the four PRC-based accounting firms each agreed to a censure and to pay a fine to the SEC to settle the dispute and avoid suspension of their ability to practice before the SEC and to audit U.S.-listed companies. The settlement required the Chinese firms to follow detailed procedures and to seek to provide the SEC with access to these firms’ audit documents via the CSRC. Under the terms of the settlement, the underlying proceeding against the four China-based accounting firms was deemed dismissed with prejudice four years after entry of the settlement. The four-year anniversary occurred on February 6, 2019. While we cannot predict if the SEC will further challenge the Big Four PRC-based accounting firms’ compliance with U.S. law in connection with U.S. regulatory requests for audit work papers or if the results of such a challenge would result in the SEC imposing penalties such as suspensions, if the accounting firms are subject to additional remedial measures, we may not be able to continue to meet our reporting obligations under the Securities Exchange Act of 1934, as amended, or the Exchange Act, which may ultimately result in our deregistration by the SEC and delisting from the NASDAQ, in which case our market capitalization may decline sharply and the value of your investment in our ADSs may be materially and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TELECOMMUNICATIONS AND INTERNET INDUSTRIES IN CHINA</w:t>
      </w:r>
    </w:p>
    <w:p>
      <w:pPr>
        <w:spacing w:after="0" w:line="21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w:t>
      </w:r>
    </w:p>
    <w:p>
      <w:pPr>
        <w:spacing w:after="0" w:line="186" w:lineRule="exact"/>
        <w:rPr>
          <w:sz w:val="20"/>
          <w:szCs w:val="20"/>
          <w:color w:val="auto"/>
        </w:rPr>
      </w:pPr>
    </w:p>
    <w:p>
      <w:pPr>
        <w:jc w:val="both"/>
        <w:ind w:right="180" w:firstLine="639"/>
        <w:spacing w:after="0" w:line="253" w:lineRule="auto"/>
        <w:rPr>
          <w:sz w:val="20"/>
          <w:szCs w:val="20"/>
          <w:color w:val="auto"/>
        </w:rPr>
      </w:pPr>
      <w:r>
        <w:rPr>
          <w:rFonts w:ascii="Arial" w:cs="Arial" w:eastAsia="Arial" w:hAnsi="Arial"/>
          <w:sz w:val="18"/>
          <w:szCs w:val="18"/>
          <w:color w:val="auto"/>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spacing w:after="0" w:line="193" w:lineRule="exact"/>
        <w:rPr>
          <w:sz w:val="20"/>
          <w:szCs w:val="20"/>
          <w:color w:val="auto"/>
        </w:rPr>
      </w:pPr>
    </w:p>
    <w:p>
      <w:pPr>
        <w:ind w:right="60" w:firstLine="639"/>
        <w:spacing w:after="0" w:line="250" w:lineRule="auto"/>
        <w:rPr>
          <w:sz w:val="20"/>
          <w:szCs w:val="20"/>
          <w:color w:val="auto"/>
        </w:rPr>
      </w:pPr>
      <w:r>
        <w:rPr>
          <w:rFonts w:ascii="Arial" w:cs="Arial" w:eastAsia="Arial" w:hAnsi="Arial"/>
          <w:sz w:val="18"/>
          <w:szCs w:val="18"/>
          <w:color w:val="auto"/>
        </w:rPr>
        <w:t>Currently, to operate our business in compliance with all the relevant ICP-related Chinese regulations, we have control over our websites and other online and mobile platforms through contractual arrangements. For example, we rely exclusively on contractual arrangements with Guangzhou NetEase and its approvals to operate as an ICP as a result of restrictions on foreign investment for businesses providing value-added telecommunications services in China, including Internet information services. In addition, Shanghai EaseNet holds the Value-Added Telecommunications Business Operating License issued by the Shanghai Provincial Telecommunications Bureau and the Internet Culture Operating License from the Ministry of Culture, or the MOC (later superseded by the Ministry of Culture and Tourism, or the MOCT), and we rely on contractual arrangements with Shanghai EaseNet for our operations of online games licensed from Blizzard.</w:t>
      </w:r>
    </w:p>
    <w:p>
      <w:pPr>
        <w:spacing w:after="0" w:line="196" w:lineRule="exact"/>
        <w:rPr>
          <w:sz w:val="20"/>
          <w:szCs w:val="20"/>
          <w:color w:val="auto"/>
        </w:rPr>
      </w:pPr>
    </w:p>
    <w:p>
      <w:pPr>
        <w:ind w:right="20" w:firstLine="639"/>
        <w:spacing w:after="0" w:line="252" w:lineRule="auto"/>
        <w:rPr>
          <w:sz w:val="20"/>
          <w:szCs w:val="20"/>
          <w:color w:val="auto"/>
        </w:rPr>
      </w:pPr>
      <w:r>
        <w:rPr>
          <w:rFonts w:ascii="Arial" w:cs="Arial" w:eastAsia="Arial" w:hAnsi="Arial"/>
          <w:sz w:val="18"/>
          <w:szCs w:val="18"/>
          <w:color w:val="auto"/>
        </w:rPr>
        <w:t>The evolving PRC regulatory system for the telecommunications and Internet industries may lead to the establishment of new regulatory agencies. For example, in May 2011, the State Council, in collaboration with the State Council Information Office, the MIIT and the Ministry of Public Security,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192"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In addition, we are uncertain as to whether the Chinese government will reclassify our business as a media or retail company, due to our acceptance of fees for Internet advertising, online games, e-commerce, and other innovative services as sources of revenues, or as a result of our current corporate structure. Such reclassification could subject us to penalties or fines or significant restrictions on our business. Moreover, NetEase, Inc. may have difficulties enforcing its rights under the agreements with Guangzhou NetEase, NetEase Advertising, Hangzhou Leihuo, Youdao Computer, Shanghai EaseNet or other affiliated entities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Chinese government restricts the ability for foreign investors to invest in and operate in the value-added telecommunications businesses.</w:t>
      </w:r>
    </w:p>
    <w:p>
      <w:pPr>
        <w:spacing w:after="0" w:line="248" w:lineRule="exact"/>
        <w:rPr>
          <w:sz w:val="20"/>
          <w:szCs w:val="20"/>
          <w:color w:val="auto"/>
        </w:rPr>
      </w:pPr>
    </w:p>
    <w:p>
      <w:pPr>
        <w:ind w:right="80" w:firstLine="639"/>
        <w:spacing w:after="0" w:line="265" w:lineRule="auto"/>
        <w:rPr>
          <w:sz w:val="20"/>
          <w:szCs w:val="20"/>
          <w:color w:val="auto"/>
        </w:rPr>
      </w:pPr>
      <w:r>
        <w:rPr>
          <w:rFonts w:ascii="Arial" w:cs="Arial" w:eastAsia="Arial" w:hAnsi="Arial"/>
          <w:sz w:val="17"/>
          <w:szCs w:val="17"/>
          <w:color w:val="auto"/>
        </w:rPr>
        <w:t>In July 2006, the MII issued a notice to strengthen management of foreign investment in and operation of value-added telecommunications services. The notice emphasizes that foreign investors who wish to engage in value-added telecommunications services must strictly follow the relevant rules and regulations on foreign investment in telecommunication sectors. The notice also prohibits domestic telecommunications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the notice, either the holder of a value-added telecommunication service license or its shareholders must directly own the domain names and trademarks used by such license holders in their provision of value-added telecommunications services. The notice further requires each license holder to have the necessary facilities, including servers, for its approved business operations and to maintain such facilities in the regions covered by its license. Value-added services license holders are required to evaluate the compliance with the requirements set forth in the notice. To comply with these requirements, Guangzhou NetEase submitted its self-correction report to MII in 2007.</w:t>
      </w:r>
    </w:p>
    <w:p>
      <w:pPr>
        <w:spacing w:after="0" w:line="186" w:lineRule="exact"/>
        <w:rPr>
          <w:sz w:val="20"/>
          <w:szCs w:val="20"/>
          <w:color w:val="auto"/>
        </w:rPr>
      </w:pPr>
    </w:p>
    <w:p>
      <w:pPr>
        <w:ind w:right="40" w:firstLine="639"/>
        <w:spacing w:after="0" w:line="285" w:lineRule="auto"/>
        <w:rPr>
          <w:sz w:val="20"/>
          <w:szCs w:val="20"/>
          <w:color w:val="auto"/>
        </w:rPr>
      </w:pPr>
      <w:r>
        <w:rPr>
          <w:rFonts w:ascii="Arial" w:cs="Arial" w:eastAsia="Arial" w:hAnsi="Arial"/>
          <w:sz w:val="16"/>
          <w:szCs w:val="16"/>
          <w:color w:val="auto"/>
        </w:rPr>
        <w:t>In September 2009, General Administration of Press and Publication, or GAPP (later superseded by the State Administration of Radio and Television, or the SART), together with the National Copyright Administration and National Office of Combating Pornography and Illegal Publications issued a Notice on Further Strengthening on the Administration of Pre-examination and Approval of Online Games and the Examination and Approval of Imported Online Games, or the GAPP Notice. The GAPP Notice restates that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State Administration of Press, Publication, Radio, Film and Television, or the SAPPRFT (later superseded by the SART) and MII, effective on March 10, 2016, forbids foreign investments in the online publishing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639"/>
        <w:spacing w:after="0" w:line="266" w:lineRule="auto"/>
        <w:rPr>
          <w:sz w:val="20"/>
          <w:szCs w:val="20"/>
          <w:color w:val="auto"/>
        </w:rPr>
      </w:pPr>
      <w:r>
        <w:rPr>
          <w:rFonts w:ascii="Arial" w:cs="Arial" w:eastAsia="Arial" w:hAnsi="Arial"/>
          <w:sz w:val="17"/>
          <w:szCs w:val="17"/>
          <w:color w:val="auto"/>
        </w:rPr>
        <w:t>With respect to our Internet media business, the CAC’s Administrative Provisions for Internet-based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media business is conducted through our contractually controlled VIEs that are PRC entities. Additionally, in accordance with the Several Opinions on the Introduction of Foreign Capital to the Culture Sector (Wen Ban Fa [2005] No. 19) by the MOC (later superseded by the MOCT), foreign investors (excluding Hong Kong and Macau) are prohibited from establishing or operating Internet-based cultural institutions. It is unclear what activities count as “operating Internet-based cultural institutions,” however certain services we provide in our innovative businesses and others segment, particularly our online education platforms, are likely to be deemed as such. We believe we are also in compliance with this requirement because we operate our other innovative businesses and other services through our contractually controlled VIEs.</w:t>
      </w:r>
    </w:p>
    <w:p>
      <w:pPr>
        <w:spacing w:after="0" w:line="181"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It is unclear whether the authorities will deem our VIE structure as a kind of such “indirect ways” by foreign investors to gain control over or participate in domestic online game operators, Internet-based news information services or Internet-based cultural institutions. If our VIE structure is deemed as one such “indirect way,”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w:t>
      </w:r>
    </w:p>
    <w:p>
      <w:pPr>
        <w:spacing w:after="0" w:line="192" w:lineRule="exact"/>
        <w:rPr>
          <w:sz w:val="20"/>
          <w:szCs w:val="20"/>
          <w:color w:val="auto"/>
        </w:rPr>
      </w:pPr>
    </w:p>
    <w:p>
      <w:pPr>
        <w:ind w:right="120" w:firstLine="639"/>
        <w:spacing w:after="0" w:line="268" w:lineRule="auto"/>
        <w:rPr>
          <w:sz w:val="20"/>
          <w:szCs w:val="20"/>
          <w:color w:val="auto"/>
        </w:rPr>
      </w:pPr>
      <w:r>
        <w:rPr>
          <w:rFonts w:ascii="Arial" w:cs="Arial" w:eastAsia="Arial" w:hAnsi="Arial"/>
          <w:sz w:val="17"/>
          <w:szCs w:val="17"/>
          <w:color w:val="auto"/>
        </w:rPr>
        <w:t>Although for our e-commerce business, according to the Notice on Lifting the Restriction to Foreign Shareholding Percentage in Online Data Processing and Transaction Processing Business (Operational E-commerce) promulgated by the MIIT on June 19, 2015, foreign investors are allowed to hold up to 100% of the equity interests in an online data processing and transaction processing business (operational e-commerce) in China, other requirements provided by the SART and MIIT regulations still apply. It is unclear how this notice will be implemented. More generally, the authorities in China have broad discretion in the determination and interpretation of the rules and regulations regarding foreign investment in the value-added telecommunications industry, which may adversely impact our financial statements, operations and cash flows.</w:t>
      </w:r>
    </w:p>
    <w:p>
      <w:pPr>
        <w:spacing w:after="0" w:line="176"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27" w:lineRule="exact"/>
        <w:rPr>
          <w:sz w:val="20"/>
          <w:szCs w:val="20"/>
          <w:color w:val="auto"/>
        </w:rPr>
      </w:pPr>
    </w:p>
    <w:p>
      <w:pPr>
        <w:ind w:firstLine="639"/>
        <w:spacing w:after="0" w:line="264" w:lineRule="auto"/>
        <w:rPr>
          <w:sz w:val="20"/>
          <w:szCs w:val="20"/>
          <w:color w:val="auto"/>
        </w:rPr>
      </w:pPr>
      <w:r>
        <w:rPr>
          <w:rFonts w:ascii="Arial" w:cs="Arial" w:eastAsia="Arial" w:hAnsi="Arial"/>
          <w:sz w:val="17"/>
          <w:szCs w:val="17"/>
          <w:color w:val="auto"/>
        </w:rPr>
        <w:t>As part of its anti-addiction online game policy, the Chinese government has taken several steps to discourage minors under the age of 18 from continuously playing online games once they exceed a set number of hours of continuous play. For example, in July 2005, the MOC (later superseded by the MOCT) and the MII jointly issued an opinion which requires online game operators to develop systems and software for identity certification, to implement anti-addiction modifications to game rules and to restrict players under 18 years of age from playing certain games. Subsequently, in August 2005, GAPP (later superseded by the SART) proposed an online game anti-addiction system that would have reduced and eliminated experience points that a user can accumulate after three and five hours of consecutive playing, respectively. In March 2006, GAPP (later superseded by the SART) amended its proposal to require players to register with their real names and identity card numbers and to apply the anti-addiction system only to players under 18 years of age. In April 2007, GAPP (later superseded by the SART) and several other government authorities jointly promulgated the Notice Concerning the Protection of Minors’ Physical and Mental Well-being and Implementation of Anti-addiction System on Online Games,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w:t>
      </w:r>
    </w:p>
    <w:p>
      <w:pPr>
        <w:spacing w:after="0" w:line="188" w:lineRule="exact"/>
        <w:rPr>
          <w:sz w:val="20"/>
          <w:szCs w:val="20"/>
          <w:color w:val="auto"/>
        </w:rPr>
      </w:pPr>
    </w:p>
    <w:p>
      <w:pPr>
        <w:ind w:right="20" w:firstLine="639"/>
        <w:spacing w:after="0" w:line="280" w:lineRule="auto"/>
        <w:rPr>
          <w:sz w:val="20"/>
          <w:szCs w:val="20"/>
          <w:color w:val="auto"/>
        </w:rPr>
      </w:pPr>
      <w:r>
        <w:rPr>
          <w:rFonts w:ascii="Arial" w:cs="Arial" w:eastAsia="Arial" w:hAnsi="Arial"/>
          <w:sz w:val="16"/>
          <w:szCs w:val="16"/>
          <w:color w:val="auto"/>
        </w:rPr>
        <w:t>In addition, on June 3, 2010, the MOC (later superseded by the MOCT) issued a decree on Interim Measures for the Administration of Online Games, or the Online Games Measures, which became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Furthermore, in July 2010, the MOC (later superseded by the MOCT) enacted the Notice on Implementing Interim Measures for the Administration of Online Games, or the Online Games Notice, in which several provisions of the Online Games Measures are supplemented, including the required standard clauses for online games service contracts between game operators and users and the timing for the implementation of a real identity registration system. The Online Games Notice also adopts several new measures, including requirements for the domestic online games joint operation by game developers and operators. On December 1, 2016, the MOC (later superseded by the MOCT) issued the Notice on Regulating the Operations of Online Games and Strengthening Interim and Ex Post Supervision (Wen Shi Fa [2016] No. 32), or Notice 32, which became effective on May 1, 2017. Notice No. 32 clarified that technical testing of online games by means of, among others, making the online games available for user registration, opening the fee-charging system of the online games or providing client-end software with direct server registration and log-in functions shall be deemed as part of the operations of online games and shall comply with applicable online game regulations. Although many of these requirements reflect previously issued government regulations with which we already comply, certain new requirements may cause us to change the way we launch and operate our online games. Because Notice 32 is relatively new and it is unclear how the MOCT will interpret and enforce them, we are unable to fully assess what impact, if any, these new requirements may have on our business. On August 30, 2018, the Implementation Scheme on Comprehensive Prevention and Control of Adolescent Myopia, or the Implementation Scheme, was issued jointly by eight PRC regulatory authorities at the national level, including the GAPP and the SART. The Implementation Scheme provides that as a part of the plan to prevent myopia among children, the GAPP will control the number of new online games and take steps to restrict the amount of time children spend on playing online games. We do not believe that the Implementation Scheme has had any material impact on our gaming operations, but we cannot be sure that any future regulations or restrictive rules will not negatively impact our operations.</w:t>
      </w:r>
    </w:p>
    <w:p>
      <w:pPr>
        <w:sectPr>
          <w:pgSz w:w="11900" w:h="16838" w:orient="portrait"/>
          <w:cols w:equalWidth="0" w:num="1">
            <w:col w:w="11420"/>
          </w:cols>
          <w:pgMar w:left="240" w:top="127"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b w:val="1"/>
          <w:bCs w:val="1"/>
          <w:color w:val="auto"/>
        </w:rPr>
        <w:t>The Chinese government has not enacted any laws regarding virtual asset property rights and, accordingly, it is not clear what liabilities, if any, online game providers may have for virtual assets.</w:t>
      </w:r>
    </w:p>
    <w:p>
      <w:pPr>
        <w:spacing w:after="0" w:line="173"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One of the features of our PC-client and mobile massively multiplayer online role-playing game, or MMORPG,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General Rules on the Civil Law of the People’s Republic of China, which was passed by the National People’s Representative Meeting on March 15, 2017 and took effect on October 1, 2017,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virtual currency may adversely affect our online game revenues.</w:t>
      </w:r>
    </w:p>
    <w:p>
      <w:pPr>
        <w:spacing w:after="0" w:line="225"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color w:val="auto"/>
        </w:rPr>
        <w:t>Our online game revenues are collected through the sale of physical and virtual prepaid point cards, as described elsewhere on this annual report, including below in the “User Fees” section in Item 4.B of this annual report.</w:t>
      </w:r>
    </w:p>
    <w:p>
      <w:pPr>
        <w:spacing w:after="0" w:line="179" w:lineRule="exact"/>
        <w:rPr>
          <w:sz w:val="20"/>
          <w:szCs w:val="20"/>
          <w:color w:val="auto"/>
        </w:rPr>
      </w:pPr>
    </w:p>
    <w:p>
      <w:pPr>
        <w:ind w:right="120" w:firstLine="639"/>
        <w:spacing w:after="0" w:line="270" w:lineRule="auto"/>
        <w:rPr>
          <w:sz w:val="20"/>
          <w:szCs w:val="20"/>
          <w:color w:val="auto"/>
        </w:rPr>
      </w:pPr>
      <w:r>
        <w:rPr>
          <w:rFonts w:ascii="Arial" w:cs="Arial" w:eastAsia="Arial" w:hAnsi="Arial"/>
          <w:sz w:val="17"/>
          <w:szCs w:val="17"/>
          <w:color w:val="auto"/>
        </w:rPr>
        <w:t>On February 15, 2007, the MOC (later superseded by the MOCT) issued the Notice on the Reinforcement of the Administration of Internet Cafés and Online Games, or the Internet Cafés Notice, which directs the People’s Bank of China, or PBOC, to strengthen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79" w:lineRule="exact"/>
        <w:rPr>
          <w:sz w:val="20"/>
          <w:szCs w:val="20"/>
          <w:color w:val="auto"/>
        </w:rPr>
      </w:pPr>
    </w:p>
    <w:p>
      <w:pPr>
        <w:ind w:right="40" w:firstLine="639"/>
        <w:spacing w:after="0" w:line="282" w:lineRule="auto"/>
        <w:rPr>
          <w:sz w:val="20"/>
          <w:szCs w:val="20"/>
          <w:color w:val="auto"/>
        </w:rPr>
      </w:pPr>
      <w:r>
        <w:rPr>
          <w:rFonts w:ascii="Arial" w:cs="Arial" w:eastAsia="Arial" w:hAnsi="Arial"/>
          <w:sz w:val="16"/>
          <w:szCs w:val="16"/>
          <w:color w:val="auto"/>
        </w:rPr>
        <w:t>On June 4, 2009, the MOC (later superseded by the MOCT) and the Ministry of Commerce jointly issued the Notice on Strengthening the Administration of Online Game Virtual Currency, or the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Virtual Currency Notice categorizes companies involved with virtual currency as either issuers or trading platforms and prohibits companies from simultaneously engaging both as issuers and as trading platforms. The Virtual Currency Notice’s stated objective is to limit the circulation of virtual currency and thereby reduce concerns that it may impact real world inflation. To accomplish this, the Virtual Currency Notice requires online game operators to report the total amount of their issued virtual currencies on a quarterly basis and to refrain from issuing disproportionate amounts of virtual currencies in order to generate revenues. In addition, the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Virtual Currency Notice also requires online game operators to keep transaction data records for no less than 180 days and to not provide virtual currency trading services to minors.</w:t>
      </w:r>
    </w:p>
    <w:p>
      <w:pPr>
        <w:spacing w:after="0" w:line="176" w:lineRule="exact"/>
        <w:rPr>
          <w:sz w:val="20"/>
          <w:szCs w:val="20"/>
          <w:color w:val="auto"/>
        </w:rPr>
      </w:pPr>
    </w:p>
    <w:p>
      <w:pPr>
        <w:ind w:right="280" w:firstLine="639"/>
        <w:spacing w:after="0" w:line="257" w:lineRule="auto"/>
        <w:rPr>
          <w:sz w:val="20"/>
          <w:szCs w:val="20"/>
          <w:color w:val="auto"/>
        </w:rPr>
      </w:pPr>
      <w:r>
        <w:rPr>
          <w:rFonts w:ascii="Arial" w:cs="Arial" w:eastAsia="Arial" w:hAnsi="Arial"/>
          <w:sz w:val="18"/>
          <w:szCs w:val="18"/>
          <w:color w:val="auto"/>
        </w:rPr>
        <w:t>In order to comply with the requirements of the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consumer protection laws that could require us to modify our current business practices and incur increased costs.</w:t>
      </w:r>
    </w:p>
    <w:p>
      <w:pPr>
        <w:spacing w:after="0" w:line="237" w:lineRule="exact"/>
        <w:rPr>
          <w:sz w:val="20"/>
          <w:szCs w:val="20"/>
          <w:color w:val="auto"/>
        </w:rPr>
      </w:pPr>
    </w:p>
    <w:p>
      <w:pPr>
        <w:ind w:firstLine="639"/>
        <w:spacing w:after="0" w:line="281" w:lineRule="auto"/>
        <w:rPr>
          <w:sz w:val="20"/>
          <w:szCs w:val="20"/>
          <w:color w:val="auto"/>
        </w:rPr>
      </w:pPr>
      <w:r>
        <w:rPr>
          <w:rFonts w:ascii="Arial" w:cs="Arial" w:eastAsia="Arial" w:hAnsi="Arial"/>
          <w:sz w:val="16"/>
          <w:szCs w:val="16"/>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platforms and hurt our business and results of operations. For example, the amended Consumer Protection Law, which became effective in</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purchased are made through the Internet. Consumers whose interests have been harmed due to their purchase of goods or acceptance of services on e-commerce platforms may claim damages from sellers or service providers. An e-commerce platform’s failure to provide detailed contact information of sellers using its platform will give consumers the right to claim damages from the platform itself. Once the customer has been duly compensated, the operators of an e-commerce platform then have the right to recover the compensation from supplier or service providers.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The majority of products sold on our e-commerce platforms are purchased directly from us, however our Kaola platform allows certain reputable third-party vendors to sell their products on such platform. Therefore, we are subject to the Consumer Protection Law both as a seller and as an e-commerce platform provider. 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financial transactions may adversely affect the operation and profitability of our business.</w:t>
      </w:r>
    </w:p>
    <w:p>
      <w:pPr>
        <w:spacing w:after="0" w:line="225" w:lineRule="exact"/>
        <w:rPr>
          <w:sz w:val="20"/>
          <w:szCs w:val="20"/>
          <w:color w:val="auto"/>
        </w:rPr>
      </w:pPr>
    </w:p>
    <w:p>
      <w:pPr>
        <w:ind w:right="20" w:firstLine="639"/>
        <w:spacing w:after="0" w:line="282" w:lineRule="auto"/>
        <w:rPr>
          <w:sz w:val="20"/>
          <w:szCs w:val="20"/>
          <w:color w:val="auto"/>
        </w:rPr>
      </w:pPr>
      <w:r>
        <w:rPr>
          <w:rFonts w:ascii="Arial" w:cs="Arial" w:eastAsia="Arial" w:hAnsi="Arial"/>
          <w:sz w:val="16"/>
          <w:szCs w:val="16"/>
          <w:color w:val="auto"/>
        </w:rPr>
        <w:t>On June 14, 2010, the PBOC issued the Measures for the Administration of Non-financial Institutions Engaging in Payment and Settlement Services, or the PBOC Measures, which were effective as of September 1, 2010 and require that non-financial institutions engaging in the business of effecting payments and settlements before June 14, 2010 obtain a permit from the PBOC by August 31, 2011 to continue such business. We currently operate an online payment platform used by both distributors of our prepaid point cards and end-users of our online services, which requires a permit under the PBOC Measures. We have obtained such permit from the PBOC. In addition, on December 28, 2015, the PBOC issued a notice regarding the Administrative Measures for the Online Payment Business of Non-bank Payment Institutions, or PBOC Notice 18, which took effect on July 1, 2016. According to the PBOC Notice 18, a payment institution is required to follow the principles of “know your clients,” and maintain records on its clients using their real names when opening payment accounts for its clients. Pursuant to the PBOC Notice 18,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13, 2017, the PBOC issued the Notice on Matters Related to Implementation of Centralized Custody of Clients’ Reserve Funds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 On June 29, 2018, the PBOC issued a further notice that requires payment institutions to cause up to 100% of the customer reserve funds to be transferred to the above-mentioned account.</w:t>
      </w:r>
    </w:p>
    <w:p>
      <w:pPr>
        <w:spacing w:after="0" w:line="170"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We are in compliance with the PBOC Notice 18 and the recent PBOC requirement to transfer our customer reserve funds to its designated bank account with no interest accrual,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successfully against new entrants and established industry competitors.</w:t>
      </w:r>
    </w:p>
    <w:p>
      <w:pPr>
        <w:spacing w:after="0" w:line="225" w:lineRule="exact"/>
        <w:rPr>
          <w:sz w:val="20"/>
          <w:szCs w:val="20"/>
          <w:color w:val="auto"/>
        </w:rPr>
      </w:pPr>
    </w:p>
    <w:p>
      <w:pPr>
        <w:ind w:right="60" w:firstLine="639"/>
        <w:spacing w:after="0" w:line="257" w:lineRule="auto"/>
        <w:rPr>
          <w:sz w:val="20"/>
          <w:szCs w:val="20"/>
          <w:color w:val="auto"/>
        </w:rPr>
      </w:pPr>
      <w:r>
        <w:rPr>
          <w:rFonts w:ascii="Arial" w:cs="Arial" w:eastAsia="Arial" w:hAnsi="Arial"/>
          <w:sz w:val="18"/>
          <w:szCs w:val="18"/>
          <w:color w:val="auto"/>
        </w:rPr>
        <w:t>The Chinese market for Internet content and services is intensely competitive and rapidly changing. Many companies offer competitive products or services including online games, retrieval and navigation services, e-commerce services and extensive Chinese language content, informational and community features, and e-mail.</w:t>
      </w:r>
    </w:p>
    <w:p>
      <w:pPr>
        <w:spacing w:after="0" w:line="188" w:lineRule="exact"/>
        <w:rPr>
          <w:sz w:val="20"/>
          <w:szCs w:val="20"/>
          <w:color w:val="auto"/>
        </w:rPr>
      </w:pPr>
    </w:p>
    <w:p>
      <w:pPr>
        <w:ind w:right="20" w:firstLine="639"/>
        <w:spacing w:after="0" w:line="265" w:lineRule="auto"/>
        <w:rPr>
          <w:sz w:val="20"/>
          <w:szCs w:val="20"/>
          <w:color w:val="auto"/>
        </w:rPr>
      </w:pPr>
      <w:r>
        <w:rPr>
          <w:rFonts w:ascii="Arial" w:cs="Arial" w:eastAsia="Arial" w:hAnsi="Arial"/>
          <w:sz w:val="17"/>
          <w:szCs w:val="17"/>
          <w:color w:val="auto"/>
        </w:rPr>
        <w:t>Currently, our competition comes from Chinese language-based and U.S.-based Internet media companies, online game developers and operators, Internet service providers, e-commerce service providers, website operators and providers of web browser software that incorporate search and retrieval features. Some of our current and potential competitors are much larger than we are, and currently offer, and could further develop or acquire, content and services that compete with the NetEase websites. With respect to online games, we believe that more competitors are entering this market in China and that our competitors are becoming more active in both licensing foreign-developed games and developing games in-house, which trends, if they continue, could adversely affect our online game revenues in the future. In addition, while our e-commerce business has experienced significant growth in recent years, representing 28.6% of our total revenue for 2018, we may not be able to keep growing the e-commerce business at this rate because this market is intensely competitive and is dominated by a few major competitors including Alibaba and JD.com. We believe that competition in the online advertising industry in China is intense with numerous competitors such as Baidu, Sina, Sohu, Tencent, Alibaba, Qihoo, iFeng.com, ByteDance and other vertical Internet media. Any of our present or future competitors may offer products and services that provide significant performance, price, creativity or other advantages over those offered by us and, therefore, achieve greater market acceptance than ours.</w:t>
      </w:r>
    </w:p>
    <w:p>
      <w:pPr>
        <w:spacing w:after="0" w:line="183" w:lineRule="exact"/>
        <w:rPr>
          <w:sz w:val="20"/>
          <w:szCs w:val="20"/>
          <w:color w:val="auto"/>
        </w:rPr>
      </w:pPr>
    </w:p>
    <w:p>
      <w:pPr>
        <w:ind w:right="80" w:firstLine="639"/>
        <w:spacing w:after="0" w:line="273" w:lineRule="auto"/>
        <w:rPr>
          <w:sz w:val="20"/>
          <w:szCs w:val="20"/>
          <w:color w:val="auto"/>
        </w:rPr>
      </w:pPr>
      <w:r>
        <w:rPr>
          <w:rFonts w:ascii="Arial" w:cs="Arial" w:eastAsia="Arial" w:hAnsi="Arial"/>
          <w:sz w:val="17"/>
          <w:szCs w:val="17"/>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and competitive pressures may have a material and adverse effect on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19" w:lineRule="exact"/>
        <w:rPr>
          <w:sz w:val="20"/>
          <w:szCs w:val="20"/>
          <w:color w:val="auto"/>
        </w:rPr>
      </w:pPr>
    </w:p>
    <w:p>
      <w:pPr>
        <w:ind w:left="660" w:hanging="653"/>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5" w:lineRule="exact"/>
        <w:rPr>
          <w:sz w:val="20"/>
          <w:szCs w:val="20"/>
          <w:color w:val="auto"/>
        </w:rPr>
      </w:pPr>
    </w:p>
    <w:p>
      <w:pPr>
        <w:ind w:right="80" w:firstLine="639"/>
        <w:spacing w:after="0" w:line="268" w:lineRule="auto"/>
        <w:rPr>
          <w:sz w:val="20"/>
          <w:szCs w:val="20"/>
          <w:color w:val="auto"/>
        </w:rPr>
      </w:pPr>
      <w:r>
        <w:rPr>
          <w:rFonts w:ascii="Arial" w:cs="Arial" w:eastAsia="Arial" w:hAnsi="Arial"/>
          <w:sz w:val="17"/>
          <w:szCs w:val="17"/>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online platforms and provide online shopping mall and other online services in China. In 2001, we also began focusing on fee-based premium services and online entertainment services, including online games, wireless value-added services, premium e-mail services and other subscription-type services. We launched our two e-commerce platforms, Kaola and Yanxuan, in January 2015 and April 2016, respectively.</w:t>
      </w:r>
    </w:p>
    <w:p>
      <w:pPr>
        <w:spacing w:after="0" w:line="182" w:lineRule="exact"/>
        <w:rPr>
          <w:sz w:val="20"/>
          <w:szCs w:val="20"/>
          <w:color w:val="auto"/>
        </w:rPr>
      </w:pPr>
    </w:p>
    <w:p>
      <w:pPr>
        <w:ind w:right="60" w:firstLine="679"/>
        <w:spacing w:after="0" w:line="253" w:lineRule="auto"/>
        <w:rPr>
          <w:sz w:val="20"/>
          <w:szCs w:val="20"/>
          <w:color w:val="auto"/>
        </w:rPr>
      </w:pPr>
      <w:r>
        <w:rPr>
          <w:rFonts w:ascii="Arial" w:cs="Arial" w:eastAsia="Arial" w:hAnsi="Arial"/>
          <w:sz w:val="18"/>
          <w:szCs w:val="18"/>
          <w:color w:val="auto"/>
        </w:rPr>
        <w:t>In addition to organic growth, we have also recently made, or have entered into agreements to make, strategic investments, acquisitions and alliances that are intended to further our strategic objectives. In the last quarter of 2018, we entered into definitive agreements with a group of investors for an over-$600 million financing for Cloud Music, our music streaming platform. Following the closing of such financing in 2018, we maintained a majority ownership in Cloud Music.</w:t>
      </w:r>
    </w:p>
    <w:p>
      <w:pPr>
        <w:spacing w:after="0" w:line="193" w:lineRule="exact"/>
        <w:rPr>
          <w:sz w:val="20"/>
          <w:szCs w:val="20"/>
          <w:color w:val="auto"/>
        </w:rPr>
      </w:pPr>
    </w:p>
    <w:p>
      <w:pPr>
        <w:ind w:right="300" w:firstLine="639"/>
        <w:spacing w:after="0" w:line="257" w:lineRule="auto"/>
        <w:rPr>
          <w:sz w:val="20"/>
          <w:szCs w:val="20"/>
          <w:color w:val="auto"/>
        </w:rPr>
      </w:pPr>
      <w:r>
        <w:rPr>
          <w:rFonts w:ascii="Arial" w:cs="Arial" w:eastAsia="Arial" w:hAnsi="Arial"/>
          <w:sz w:val="18"/>
          <w:szCs w:val="18"/>
          <w:color w:val="auto"/>
        </w:rPr>
        <w:t>Our company was incorporated in the Cayman Islands on July 6, 1999, and it operates under the Cayman Islands Companies Law (2018 Revision). Our principal executive offices are located at Building No. 7, West Zone, Zhongguancun Software Park (Phase II), No. 10 Xibeiwang East Road, Haidian District, Beijing, People’s Republic of China 100193. Our telephone number is (86-10) 8255-8163.</w:t>
      </w:r>
    </w:p>
    <w:p>
      <w:pPr>
        <w:spacing w:after="0" w:line="188"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Our principal capital expenditures for 2018 consisted mainly of the construction of our new office buildings and warehouses in Hangzhou, Guangzhou and Ningbo in China, acquisition of new servers in connection with the operation of our online games and developing the expansion packages of such games, and upgrades of our online service infrastructure, for a total of approximately RMB2,528.1 million (US$367.7 million). Our principal capital expenditures for 2017 consisted mainly of costs incurred for the construction of our new office buildings and warehouses in Zhoushan, Guangzhou, Hangzhou and Ningbo in China, acquisition of new servers in connection with the operation of our online games and developing the expansion packages of such games, and upgrades of our online service infrastructure, for a total of approximately RMB1,842.9 million. Our principal capital expenditures for 2016 consisted mainly of cost incurred for the construction of our new office buildings and warehouses in Beijing, Guangzhou, Hangzhou, Zhoushan and Ningbo in China, acquisition of new servers and investment in the expansion and upgrade of our mailbox infrastructure for a total of approximately RMB1,135.5 million.</w:t>
      </w:r>
    </w:p>
    <w:p>
      <w:pPr>
        <w:spacing w:after="0" w:line="170"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during the respective terms of the licenses, Shanghai EaseNet as licensee of the games is required to pay royalty fees to Blizzard for the games, have a minimum marketing expenditure commitment, and provide funds for hardware to operate the games. For further details, see Item 4.B. “Business Overview— Our Services—Online Games—Game Licensing and Joint Venture with Blizzard.”</w:t>
      </w:r>
    </w:p>
    <w:p>
      <w:pPr>
        <w:spacing w:after="0" w:line="193" w:lineRule="exact"/>
        <w:rPr>
          <w:sz w:val="20"/>
          <w:szCs w:val="20"/>
          <w:color w:val="auto"/>
        </w:rPr>
      </w:pPr>
    </w:p>
    <w:p>
      <w:pPr>
        <w:ind w:right="240" w:firstLine="639"/>
        <w:spacing w:after="0" w:line="253" w:lineRule="auto"/>
        <w:rPr>
          <w:sz w:val="20"/>
          <w:szCs w:val="20"/>
          <w:color w:val="auto"/>
        </w:rPr>
      </w:pPr>
      <w:r>
        <w:rPr>
          <w:rFonts w:ascii="Arial" w:cs="Arial" w:eastAsia="Arial" w:hAnsi="Arial"/>
          <w:sz w:val="18"/>
          <w:szCs w:val="18"/>
          <w:color w:val="auto"/>
        </w:rPr>
        <w:t>As of December 31, 2018, we had capital expenditure commitments of RMB1,900.4 million (US$276.4 million) for 2019 onwards, which primarily consist of commitments made in connection with the construction of new office buildings and warehouses in Guangzhou, Shanghai, Ningbo and Hangzhou. Our capital expenditures in 2018 have been, and future capital expenditures are expected to continue to be, funded by operating cash flows and our existing capital resources.</w:t>
      </w:r>
    </w:p>
    <w:p>
      <w:pPr>
        <w:spacing w:after="0" w:line="193" w:lineRule="exact"/>
        <w:rPr>
          <w:sz w:val="20"/>
          <w:szCs w:val="20"/>
          <w:color w:val="auto"/>
        </w:rPr>
      </w:pPr>
    </w:p>
    <w:p>
      <w:pPr>
        <w:ind w:right="200" w:firstLine="639"/>
        <w:spacing w:after="0" w:line="26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173" w:lineRule="exact"/>
        <w:rPr>
          <w:sz w:val="20"/>
          <w:szCs w:val="20"/>
          <w:color w:val="auto"/>
        </w:rPr>
      </w:pPr>
    </w:p>
    <w:p>
      <w:pPr>
        <w:ind w:left="640" w:hanging="633"/>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1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40" w:firstLine="639"/>
        <w:spacing w:after="0" w:line="279" w:lineRule="auto"/>
        <w:rPr>
          <w:sz w:val="20"/>
          <w:szCs w:val="20"/>
          <w:color w:val="auto"/>
        </w:rPr>
      </w:pPr>
      <w:r>
        <w:rPr>
          <w:rFonts w:ascii="Arial" w:cs="Arial" w:eastAsia="Arial" w:hAnsi="Arial"/>
          <w:sz w:val="17"/>
          <w:szCs w:val="17"/>
          <w:color w:val="auto"/>
        </w:rPr>
        <w:t>Through our subsidiaries and contracts with our affiliates Guangzhou NetEase, NetEase Advertising, Hangzhou Leihuo, Shanghai EaseNet and certain other affiliated companies and their respective shareholders, we operate a leading interactive online community in China and are a major provider of Chinese language content and services through our online games, e-commerce, Internet media, and other innovative businesses.</w:t>
      </w:r>
    </w:p>
    <w:p>
      <w:pPr>
        <w:spacing w:after="0" w:line="184" w:lineRule="exact"/>
        <w:rPr>
          <w:sz w:val="20"/>
          <w:szCs w:val="20"/>
          <w:color w:val="auto"/>
        </w:rPr>
      </w:pPr>
    </w:p>
    <w:p>
      <w:pPr>
        <w:ind w:right="360" w:firstLine="639"/>
        <w:spacing w:after="0" w:line="279" w:lineRule="auto"/>
        <w:rPr>
          <w:sz w:val="20"/>
          <w:szCs w:val="20"/>
          <w:color w:val="auto"/>
        </w:rPr>
      </w:pPr>
      <w:r>
        <w:rPr>
          <w:rFonts w:ascii="Arial" w:cs="Arial" w:eastAsia="Arial" w:hAnsi="Arial"/>
          <w:sz w:val="17"/>
          <w:szCs w:val="17"/>
          <w:color w:val="auto"/>
        </w:rPr>
        <w:t>We generate revenues from fees we charge users of our online games, sales of a wide range of products offered on our e-commerce platforms, sales of advertisements, and sales, service or commission fees from our innovative businesses and other services. Our ability to leverage our Internet media traffic to generate revenues in each of these segments is a key component of our growth strategy.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 Services</w:t>
      </w:r>
    </w:p>
    <w:p>
      <w:pPr>
        <w:spacing w:after="0" w:line="225"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Our online games business focuses on offering a variety of games in a wide range of genres through mobile devices and PCs, including role playing games, or RPG, MMORPGs, battle arena games, simulation games, or SLGs, collectible card games, or CCGs, first-person shooter games, sandbox games and other types of games to the Chinese market.</w:t>
      </w:r>
    </w:p>
    <w:p>
      <w:pPr>
        <w:spacing w:after="0" w:line="188" w:lineRule="exact"/>
        <w:rPr>
          <w:sz w:val="20"/>
          <w:szCs w:val="20"/>
          <w:color w:val="auto"/>
        </w:rPr>
      </w:pPr>
    </w:p>
    <w:p>
      <w:pPr>
        <w:ind w:firstLine="639"/>
        <w:spacing w:after="0" w:line="270" w:lineRule="auto"/>
        <w:rPr>
          <w:sz w:val="20"/>
          <w:szCs w:val="20"/>
          <w:color w:val="auto"/>
        </w:rPr>
      </w:pPr>
      <w:r>
        <w:rPr>
          <w:rFonts w:ascii="Arial" w:cs="Arial" w:eastAsia="Arial" w:hAnsi="Arial"/>
          <w:sz w:val="17"/>
          <w:szCs w:val="17"/>
          <w:color w:val="auto"/>
        </w:rPr>
        <w:t>MMORPGs are played over the Internet or mobile networks in “virtual worlds” that exist on networked game servers to which thousands of players simultaneously connect to interact with each other. Battle arena games allow a player to control a single character who competes with other players in a mapped field. SLGs players control, manage and use game characters and items, and design and implement their own strategies to win the games. CCGs allow players to collect cards and compete by using card sets with different functions. We develop and operate online games that are targeted at or localized to the Chinese market, and we strive to provide the highest quality game playing experience to our users.</w:t>
      </w:r>
    </w:p>
    <w:p>
      <w:pPr>
        <w:spacing w:after="0" w:line="179" w:lineRule="exact"/>
        <w:rPr>
          <w:sz w:val="20"/>
          <w:szCs w:val="20"/>
          <w:color w:val="auto"/>
        </w:rPr>
      </w:pPr>
    </w:p>
    <w:p>
      <w:pPr>
        <w:ind w:right="60" w:firstLine="639"/>
        <w:spacing w:after="0" w:line="267" w:lineRule="auto"/>
        <w:rPr>
          <w:sz w:val="20"/>
          <w:szCs w:val="20"/>
          <w:color w:val="auto"/>
        </w:rPr>
      </w:pPr>
      <w:r>
        <w:rPr>
          <w:rFonts w:ascii="Arial" w:cs="Arial" w:eastAsia="Arial" w:hAnsi="Arial"/>
          <w:sz w:val="18"/>
          <w:szCs w:val="18"/>
          <w:color w:val="auto"/>
        </w:rPr>
        <w:t>In addition, we offer mobile and PC-client games in China from various international developers including Blizzard and Microsoft, as discussed below under “Our Services—Licensed Games.”</w:t>
      </w:r>
    </w:p>
    <w:p>
      <w:pPr>
        <w:spacing w:after="0" w:line="179" w:lineRule="exact"/>
        <w:rPr>
          <w:sz w:val="20"/>
          <w:szCs w:val="20"/>
          <w:color w:val="auto"/>
        </w:rPr>
      </w:pPr>
    </w:p>
    <w:p>
      <w:pPr>
        <w:ind w:right="80" w:firstLine="639"/>
        <w:spacing w:after="0" w:line="270" w:lineRule="auto"/>
        <w:rPr>
          <w:sz w:val="20"/>
          <w:szCs w:val="20"/>
          <w:color w:val="auto"/>
        </w:rPr>
      </w:pPr>
      <w:r>
        <w:rPr>
          <w:rFonts w:ascii="Arial" w:cs="Arial" w:eastAsia="Arial" w:hAnsi="Arial"/>
          <w:sz w:val="17"/>
          <w:szCs w:val="17"/>
          <w:color w:val="auto"/>
        </w:rPr>
        <w:t>We offered over 100 self-developed and licensed mobile games of various genres as of December 31, 2018, such as the Fantasy Westward Journey mobile game, Westward Journey Online mobile game, Onmyoji, Invincible, the mobile version of New Ghost, Demon Seals mobile, Rules of Survival, Knives Out, Chu Liu Xiang, Identity V and Night Falls: Survival. In China, we distribute our mobile games by partnering with major Android- and iOS-based app stores as well as through our proprietary distribution channels, such as our websites. Mobile game revenues are primarily derived from sales of in-game virtual items, including avatars, skills, privileges or other in-game consumables, features or functionalities, within our games.</w:t>
      </w:r>
    </w:p>
    <w:p>
      <w:pPr>
        <w:spacing w:after="0" w:line="179" w:lineRule="exact"/>
        <w:rPr>
          <w:sz w:val="20"/>
          <w:szCs w:val="20"/>
          <w:color w:val="auto"/>
        </w:rPr>
      </w:pPr>
    </w:p>
    <w:p>
      <w:pPr>
        <w:ind w:right="140" w:firstLine="639"/>
        <w:spacing w:after="0" w:line="251" w:lineRule="auto"/>
        <w:rPr>
          <w:sz w:val="20"/>
          <w:szCs w:val="20"/>
          <w:color w:val="auto"/>
        </w:rPr>
      </w:pPr>
      <w:r>
        <w:rPr>
          <w:rFonts w:ascii="Arial" w:cs="Arial" w:eastAsia="Arial" w:hAnsi="Arial"/>
          <w:sz w:val="18"/>
          <w:szCs w:val="18"/>
          <w:color w:val="auto"/>
        </w:rPr>
        <w:t>We use two revenue models for PC-client games: an item-based model, in which players can play the basic features of the game for free and can purchase virtual items that enhance their playing experience, and a time-based model, in which players pay for game playing time. A majority of our revenues from PC-client games come from our games that use the item-based model, including our self-developed item-based PC-client MMORPG games, such as Tianxia III, New Ghost (a new version of Ghost II) and an item-based version of New Westward Journey Online II. Games that use the time-based model include self-developed PC-client games such as New Westward Journey Online II, Fantasy Westward Journey Online and Justice, as well as licensed games such as World of Warcraft.</w:t>
      </w:r>
    </w:p>
    <w:p>
      <w:pPr>
        <w:spacing w:after="0" w:line="193" w:lineRule="exact"/>
        <w:rPr>
          <w:sz w:val="20"/>
          <w:szCs w:val="20"/>
          <w:color w:val="auto"/>
        </w:rPr>
      </w:pPr>
    </w:p>
    <w:p>
      <w:pPr>
        <w:ind w:right="120" w:firstLine="639"/>
        <w:spacing w:after="0" w:line="274" w:lineRule="auto"/>
        <w:rPr>
          <w:sz w:val="20"/>
          <w:szCs w:val="20"/>
          <w:color w:val="auto"/>
        </w:rPr>
      </w:pPr>
      <w:r>
        <w:rPr>
          <w:rFonts w:ascii="Arial" w:cs="Arial" w:eastAsia="Arial" w:hAnsi="Arial"/>
          <w:sz w:val="16"/>
          <w:szCs w:val="16"/>
          <w:color w:val="auto"/>
        </w:rPr>
        <w:t>We have also recently commenced offering our online games internationally. We started with licensing our games to local distributors and have gradually moved to launching and operating our own games in various markets. For example, as of December 31, 2018, we had launched and promoted our self-developed games such as Onmyoji, Rules of Survival, Knives Out and Identity V globally. In the first half of 2019, we plan to introduce our popular hit Night Falls: Survival in Japan and the United States. In addition, we continued to establish and deepen collaboration with leading international game studios in 2018, including reaching a joint development agreement with Codemasters, a leading UK game studio focusing on racing games, as well as making minority investments in Bungie, an independent game Studio in Washington state, the United States, and Quantic Dream, a French independent game studio based in Paris. We are also currently co-developing Diablo Immortal</w:t>
      </w:r>
      <w:r>
        <w:rPr>
          <w:rFonts w:ascii="Arial" w:cs="Arial" w:eastAsia="Arial" w:hAnsi="Arial"/>
          <w:sz w:val="21"/>
          <w:szCs w:val="21"/>
          <w:color w:val="auto"/>
          <w:vertAlign w:val="superscript"/>
        </w:rPr>
        <w:t>TM</w:t>
      </w:r>
      <w:r>
        <w:rPr>
          <w:rFonts w:ascii="Arial" w:cs="Arial" w:eastAsia="Arial" w:hAnsi="Arial"/>
          <w:sz w:val="16"/>
          <w:szCs w:val="16"/>
          <w:color w:val="auto"/>
        </w:rPr>
        <w:t>, a mobile action-RPG, with Blizzard. We expect to continue the international expansion of our online games business by both partnering with local gaming industry leaders and continuing to introduce our self-developed games internationally.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w:t>
      </w:r>
    </w:p>
    <w:p>
      <w:pPr>
        <w:spacing w:after="0" w:line="225" w:lineRule="exact"/>
        <w:rPr>
          <w:sz w:val="20"/>
          <w:szCs w:val="20"/>
          <w:color w:val="auto"/>
        </w:rPr>
      </w:pPr>
    </w:p>
    <w:p>
      <w:pPr>
        <w:ind w:right="20" w:firstLine="639"/>
        <w:spacing w:after="0" w:line="267" w:lineRule="auto"/>
        <w:rPr>
          <w:sz w:val="20"/>
          <w:szCs w:val="20"/>
          <w:color w:val="auto"/>
        </w:rPr>
      </w:pPr>
      <w:r>
        <w:rPr>
          <w:rFonts w:ascii="Arial" w:cs="Arial" w:eastAsia="Arial" w:hAnsi="Arial"/>
          <w:sz w:val="17"/>
          <w:szCs w:val="17"/>
          <w:color w:val="auto"/>
        </w:rPr>
        <w:t>We sell merchandise through our two e-commerce platforms, Kaola and Yanxuan. Kaola sells mainly imported goods that we source from overseas suppliers, including maternity and baby products, skincare and cosmetics and other general merchandise. Kaola also acts as an online marketplace through which reputable third-party sellers are able to offer their products. Yanxuan primarily sells our private label products, including apparel, homeware, kitchenware and other general merchandise which we primarily source from original design manufacturers in China. Through these e-commerce platforms which are accessible on their respective websites and mobile applications, we offer a wide selection of imported products and private label products at competitive prices. We have experienced a significant expansion of our e-commerce business, and as of December 31, 2018, we made available to our e-commerce platform customers imported products from over 50 countries and regions, covering more than 4,300 brands.</w:t>
      </w:r>
    </w:p>
    <w:p>
      <w:pPr>
        <w:spacing w:after="0" w:line="183" w:lineRule="exact"/>
        <w:rPr>
          <w:sz w:val="20"/>
          <w:szCs w:val="20"/>
          <w:color w:val="auto"/>
        </w:rPr>
      </w:pPr>
    </w:p>
    <w:p>
      <w:pPr>
        <w:ind w:right="180" w:firstLine="639"/>
        <w:spacing w:after="0" w:line="252" w:lineRule="auto"/>
        <w:rPr>
          <w:sz w:val="20"/>
          <w:szCs w:val="20"/>
          <w:color w:val="auto"/>
        </w:rPr>
      </w:pPr>
      <w:r>
        <w:rPr>
          <w:rFonts w:ascii="Arial" w:cs="Arial" w:eastAsia="Arial" w:hAnsi="Arial"/>
          <w:sz w:val="18"/>
          <w:szCs w:val="18"/>
          <w:color w:val="auto"/>
        </w:rPr>
        <w:t>We have established and aim to maintain strong relationships with our suppliers to source high-quality products which are delivered to our customers by third-party delivery companies with whom we partner. As a promotional tool, we regularly provide discount coupons to customers of our e-commerce platforms. To further expand the capacity of our e-commerce business, we have built and leased warehouses in various locations in China, such as Hangzhou, Ningbo, Tianjin, Zhengzhou, Chongqing, Suzhou and Shenzhen. We also have developed a logistical system comprising fulfillment centers located in Hong Kong, Germany, Australia, Japan and the United States.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Internet Media Business</w:t>
      </w:r>
    </w:p>
    <w:p>
      <w:pPr>
        <w:spacing w:after="0" w:line="225" w:lineRule="exact"/>
        <w:rPr>
          <w:sz w:val="20"/>
          <w:szCs w:val="20"/>
          <w:color w:val="auto"/>
        </w:rPr>
      </w:pPr>
    </w:p>
    <w:p>
      <w:pPr>
        <w:ind w:right="280" w:firstLine="639"/>
        <w:spacing w:after="0" w:line="267" w:lineRule="auto"/>
        <w:rPr>
          <w:sz w:val="20"/>
          <w:szCs w:val="20"/>
          <w:color w:val="auto"/>
        </w:rPr>
      </w:pPr>
      <w:r>
        <w:rPr>
          <w:rFonts w:ascii="Arial" w:cs="Arial" w:eastAsia="Arial" w:hAnsi="Arial"/>
          <w:sz w:val="18"/>
          <w:szCs w:val="18"/>
          <w:color w:val="auto"/>
        </w:rPr>
        <w:t>Our Internet media business, which is conducted mainly through the NetEase News App and NetEase websites, provide Internet users with Chinese language-based online services that are centered around content and interactive community.</w:t>
      </w:r>
    </w:p>
    <w:p>
      <w:pPr>
        <w:spacing w:after="0" w:line="179"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 The NetEase News App offers content channels covering news, information, popular sports events, industry forums, celebrity close-ups,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fashion trends, and online entertainment to the Chinese public via a variety of mobile devices. This wide range of content appeals to a broad audience spanning all age groups, although this application is particularly popular among younger audiences between the ages of 23 and 35 who often use mobile devices as their primary means of obtaining news and information. We are continually working to reinforce the popularity of the NetEase News App among its large and loyal user base, as well as with new users, through premium content and service development and innovation. Users can also access various content channels on the NetEase websites.</w:t>
      </w:r>
    </w:p>
    <w:p>
      <w:pPr>
        <w:spacing w:after="0" w:line="193" w:lineRule="exact"/>
        <w:rPr>
          <w:sz w:val="20"/>
          <w:szCs w:val="20"/>
          <w:color w:val="auto"/>
        </w:rPr>
      </w:pPr>
    </w:p>
    <w:p>
      <w:pPr>
        <w:ind w:right="40" w:firstLine="639"/>
        <w:spacing w:after="0" w:line="330" w:lineRule="auto"/>
        <w:rPr>
          <w:sz w:val="20"/>
          <w:szCs w:val="20"/>
          <w:color w:val="auto"/>
        </w:rPr>
      </w:pPr>
      <w:r>
        <w:rPr>
          <w:rFonts w:ascii="Arial" w:cs="Arial" w:eastAsia="Arial" w:hAnsi="Arial"/>
          <w:sz w:val="16"/>
          <w:szCs w:val="16"/>
          <w:color w:val="auto"/>
        </w:rPr>
        <w:t>In addition, the main homepage of the NetEase websites, www.163.com, serves as a one-stop gateway for users to conveniently access our other online services, such as online games, e-mail, e-commerce, video and music streaming, e-reading and a set of other websites and mobile applications.</w:t>
      </w:r>
    </w:p>
    <w:p>
      <w:pPr>
        <w:spacing w:after="0" w:line="133" w:lineRule="exact"/>
        <w:rPr>
          <w:sz w:val="20"/>
          <w:szCs w:val="20"/>
          <w:color w:val="auto"/>
        </w:rPr>
      </w:pPr>
    </w:p>
    <w:p>
      <w:pPr>
        <w:ind w:right="60" w:firstLine="639"/>
        <w:spacing w:after="0" w:line="273" w:lineRule="auto"/>
        <w:rPr>
          <w:sz w:val="20"/>
          <w:szCs w:val="20"/>
          <w:color w:val="auto"/>
        </w:rPr>
      </w:pPr>
      <w:r>
        <w:rPr>
          <w:rFonts w:ascii="Arial" w:cs="Arial" w:eastAsia="Arial" w:hAnsi="Arial"/>
          <w:sz w:val="17"/>
          <w:szCs w:val="17"/>
          <w:i w:val="1"/>
          <w:iCs w:val="1"/>
          <w:color w:val="auto"/>
        </w:rPr>
        <w:t xml:space="preserve">Interactive Community </w:t>
      </w:r>
      <w:r>
        <w:rPr>
          <w:rFonts w:ascii="Arial" w:cs="Arial" w:eastAsia="Arial" w:hAnsi="Arial"/>
          <w:sz w:val="17"/>
          <w:szCs w:val="17"/>
          <w:color w:val="auto"/>
        </w:rPr>
        <w:t>— The NetEase News App and NetEase websites offer a wide range of tools for our users to interact with each other and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content we provide, opening up avenues for a lively exchange of information. For example, our users can instantly share any content displayed on the NetEase News App with other users and easily provide commentary to such content, which then becomes viewable by other users. We also offer a membership profile function, which allows users to monitor their past activities and viewing preferences.</w:t>
      </w:r>
    </w:p>
    <w:p>
      <w:pPr>
        <w:spacing w:after="0" w:line="176" w:lineRule="exact"/>
        <w:rPr>
          <w:sz w:val="20"/>
          <w:szCs w:val="20"/>
          <w:color w:val="auto"/>
        </w:rPr>
      </w:pPr>
    </w:p>
    <w:p>
      <w:pPr>
        <w:jc w:val="both"/>
        <w:ind w:right="60" w:firstLine="639"/>
        <w:spacing w:after="0" w:line="273" w:lineRule="auto"/>
        <w:rPr>
          <w:sz w:val="20"/>
          <w:szCs w:val="20"/>
          <w:color w:val="auto"/>
        </w:rPr>
      </w:pPr>
      <w:r>
        <w:rPr>
          <w:rFonts w:ascii="Arial" w:cs="Arial" w:eastAsia="Arial" w:hAnsi="Arial"/>
          <w:sz w:val="17"/>
          <w:szCs w:val="17"/>
          <w:color w:val="auto"/>
        </w:rPr>
        <w:t>Our Internet media business generates revenue mainly from selling advertising space on the NetEase News App and websites, and our large user base attracts many well-known advertisers. The various content channels and interactive community offered through our Internet media business forms an effective medium for our clients to conduct integrated marketing campaigns. Our online advertising offerings include banner advertising, channel sponsorships, direct e-mail, interactive media-rich sites, sponsored special events, games, contests and other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Innovative Businesses and Others</w:t>
      </w:r>
    </w:p>
    <w:p>
      <w:pPr>
        <w:spacing w:after="0" w:line="225"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We offer a wide range of other online services, which primarily include NetEase CC, our live video streaming platform, NetEase Cloud Music, our music streaming platform, NetEase Youdao Education, including Youdao Courses, our online platform offering educational content and a number of educational solutions, EaseRead, our online reading platform, and NetEase Pay, our payment platform.</w:t>
      </w:r>
    </w:p>
    <w:p>
      <w:pPr>
        <w:spacing w:after="0" w:line="188"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Our CC live streaming platform offers various live streaming content with a primary focus on games, including mobile, PC and console games. We launched the NetEase Cloud Music streaming platform in April 2013. Since then, NetEase Cloud Music has focused on delivering a differentiated and premium user experience in terms of the quality and variety of music offered, and has been steadily increasing its user base. As of the date of this annual report, NetEase Cloud Music had over 600 million registered users. Our Youdao Education platform offers educational content, including courses relating to test preparations, language learning and tutoring courses to supplement K-12 students’ school education, as well as a variety of educational solutions. We continue to build out the Youdao Education platform with new content and services.</w:t>
      </w:r>
    </w:p>
    <w:p>
      <w:pPr>
        <w:spacing w:after="0" w:line="182"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In addition, as one of the largest e-mail services providers in China, we offer free and fee-based premium e-mail services to our individual users and corporate users. Through a joint venture with China Telecom in which we hold a minority ownership stake, we also offer a social instant messaging application for smart phones called “Yichat,” which offers proprietary environmental noise reduction technology, high-quality photo messaging and various original stickers and emoticon designs.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225" w:lineRule="exact"/>
        <w:rPr>
          <w:sz w:val="20"/>
          <w:szCs w:val="20"/>
          <w:color w:val="auto"/>
        </w:rPr>
      </w:pPr>
    </w:p>
    <w:p>
      <w:pPr>
        <w:jc w:val="both"/>
        <w:ind w:right="20" w:firstLine="639"/>
        <w:spacing w:after="0" w:line="282" w:lineRule="auto"/>
        <w:rPr>
          <w:sz w:val="20"/>
          <w:szCs w:val="20"/>
          <w:color w:val="auto"/>
        </w:rPr>
      </w:pPr>
      <w:r>
        <w:rPr>
          <w:rFonts w:ascii="Arial" w:cs="Arial" w:eastAsia="Arial" w:hAnsi="Arial"/>
          <w:sz w:val="16"/>
          <w:szCs w:val="16"/>
          <w:color w:val="auto"/>
        </w:rPr>
        <w:t>We conduct our business in China solely through our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e-commerce and our other innovative services. In order to comply with these restrictions and other Chinese</w:t>
      </w:r>
    </w:p>
    <w:p>
      <w:pPr>
        <w:spacing w:after="0" w:line="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rules and regulations, NetEase, Inc. and certain of its subsidiaries have entered into a series of contractual arrangements for the provision of such services with certain affiliated companies, including Guangzhou NetEase, NetEase Advertising, Hangzhou Leihuo, Youdao Computer as well as certain other affiliated entities. Under the contracts, we provide our mobile applications, services and technologies and advertising services to such affiliated companies and they operate the NetEase online games, websites, e-commerce platforms, the online advertising business as well as our other online businesses. Guangzhou NetEase also has a wholly-owned subsidiary, Wangyibao, the operator of our NetEase Pay online payment platform. For more information on these agreements, see Item 7.B. “Major Shareholders and Related Party Transactions—Related Party Transactions.”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firstLine="639"/>
        <w:spacing w:after="0" w:line="273" w:lineRule="auto"/>
        <w:rPr>
          <w:sz w:val="20"/>
          <w:szCs w:val="20"/>
          <w:color w:val="auto"/>
        </w:rPr>
      </w:pPr>
      <w:r>
        <w:rPr>
          <w:rFonts w:ascii="Arial" w:cs="Arial" w:eastAsia="Arial" w:hAnsi="Arial"/>
          <w:sz w:val="17"/>
          <w:szCs w:val="17"/>
          <w:color w:val="auto"/>
        </w:rPr>
        <w:t>Each of Guangzhou NetEase and NetEase Advertising is 99.0% beneficially owned by our founder, Chief Executive Officer and major shareholder, William Lei Ding, and 1.0% owned by one of our employees. Youdao Computer, the operator of our online dictionary, online education and other cloud application services, is 71.1% owned by William Lei Ding and 28.9% owned by one of our employees. Wangyibao is 100.0% owned by Guangzhou NetEase. Hangzhou Leihuo is owned by two of our employees. We do not have any direct ownership interest in those companies.</w:t>
      </w:r>
    </w:p>
    <w:p>
      <w:pPr>
        <w:spacing w:after="0" w:line="176"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Under our agreements with Guangzhou NetEase, we have agreed to pay its operating costs. Under our agreements with NetEase Advertising, Hangzhou Leihuo and Youdao Computer, we have agreed to provide performance guarantees and guarantee loans for working capital purposes to the extent required by Guangzhou NetEase, NetEase Advertising, Hangzhou Leihuo or Youdao Computer for their operations. Guangzhou NetEase, NetEase Advertising, Hangzhou Leihuo and Youdao Computer are each prohibited from incurring any debt without our prior approval.</w:t>
      </w:r>
    </w:p>
    <w:p>
      <w:pPr>
        <w:spacing w:after="0" w:line="176" w:lineRule="exact"/>
        <w:rPr>
          <w:sz w:val="20"/>
          <w:szCs w:val="20"/>
          <w:color w:val="auto"/>
        </w:rPr>
      </w:pPr>
    </w:p>
    <w:p>
      <w:pPr>
        <w:ind w:right="180" w:firstLine="639"/>
        <w:spacing w:after="0" w:line="253" w:lineRule="auto"/>
        <w:rPr>
          <w:sz w:val="20"/>
          <w:szCs w:val="20"/>
          <w:color w:val="auto"/>
        </w:rPr>
      </w:pPr>
      <w:r>
        <w:rPr>
          <w:rFonts w:ascii="Arial" w:cs="Arial" w:eastAsia="Arial" w:hAnsi="Arial"/>
          <w:sz w:val="18"/>
          <w:szCs w:val="18"/>
          <w:color w:val="auto"/>
        </w:rPr>
        <w:t>Starting in August 2008, Blizzard agreed to license certain online games to Shanghai EaseNet for operation in the PRC. Shanghai EaseNet is a PRC company owned by William Lei Ding, our Chief Executive Officer, director and major shareholder and has contractual arrangements with the joint venture established between, and owned equally by, Blizzard and us. The joint venture was established concurrently with the licensing of games from Blizzard in August 2008 and provides technical services to Shanghai EaseNet.</w:t>
      </w:r>
    </w:p>
    <w:p>
      <w:pPr>
        <w:spacing w:after="0" w:line="193" w:lineRule="exact"/>
        <w:rPr>
          <w:sz w:val="20"/>
          <w:szCs w:val="20"/>
          <w:color w:val="auto"/>
        </w:rPr>
      </w:pPr>
    </w:p>
    <w:p>
      <w:pPr>
        <w:jc w:val="both"/>
        <w:ind w:right="200" w:firstLine="639"/>
        <w:spacing w:after="0" w:line="304" w:lineRule="auto"/>
        <w:rPr>
          <w:sz w:val="20"/>
          <w:szCs w:val="20"/>
          <w:color w:val="auto"/>
        </w:rPr>
      </w:pPr>
      <w:r>
        <w:rPr>
          <w:rFonts w:ascii="Arial" w:cs="Arial" w:eastAsia="Arial" w:hAnsi="Arial"/>
          <w:sz w:val="16"/>
          <w:szCs w:val="16"/>
          <w:color w:val="auto"/>
        </w:rPr>
        <w:t>As a result of our contractual arrangements with these companies, we bear the risks of, and enjoy the rewards associated with, and therefore are the primary beneficiary of our investments in them. They are therefore considered our VIEs, and we consolidate the results of operations of these VIEs and their subsidiaries in our historical consolidated financial statements. See also Item 5 “Operating and Financial Review and Prospects.”</w:t>
      </w:r>
    </w:p>
    <w:p>
      <w:pPr>
        <w:spacing w:after="0" w:line="153" w:lineRule="exact"/>
        <w:rPr>
          <w:sz w:val="20"/>
          <w:szCs w:val="20"/>
          <w:color w:val="auto"/>
        </w:rPr>
      </w:pPr>
    </w:p>
    <w:p>
      <w:pPr>
        <w:ind w:right="260" w:firstLine="639"/>
        <w:spacing w:after="0" w:line="257" w:lineRule="auto"/>
        <w:rPr>
          <w:sz w:val="20"/>
          <w:szCs w:val="20"/>
          <w:color w:val="auto"/>
        </w:rPr>
      </w:pPr>
      <w:r>
        <w:rPr>
          <w:rFonts w:ascii="Arial" w:cs="Arial" w:eastAsia="Arial" w:hAnsi="Arial"/>
          <w:sz w:val="18"/>
          <w:szCs w:val="18"/>
          <w:color w:val="auto"/>
        </w:rPr>
        <w:t>Any violations by Guangzhou NetEase, NetEase Advertising, Hangzhou Leihuo, Youdao Computer or any other VIEs of our agreements with them could disrupt our operations, degrade our services or shut down our services. See Item 3.D. “Risk Factors” for a detailed discussion of the risks to NetEase, Inc. regarding its dependency on these companies.</w:t>
      </w:r>
    </w:p>
    <w:p>
      <w:pPr>
        <w:spacing w:after="0" w:line="188"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HQG Inc., HQG Limited and Hangzhou Youmai were established by us in 2014. HQG Limited and Hangzhou Youmai now operate our cross-border e-commerce business Kaola. Hangzhou NetEase Yanxuan Trading Co., Ltd. or Hangzhou Yanxuan, was established by us in 2016. Hangzhou Yanxuan now operates our e-commerce platform Yanxuan through which we sell our private label products.</w:t>
      </w:r>
    </w:p>
    <w:p>
      <w:pPr>
        <w:spacing w:after="0" w:line="188" w:lineRule="exact"/>
        <w:rPr>
          <w:sz w:val="20"/>
          <w:szCs w:val="20"/>
          <w:color w:val="auto"/>
        </w:rPr>
      </w:pPr>
    </w:p>
    <w:p>
      <w:pPr>
        <w:ind w:right="320" w:firstLine="639"/>
        <w:spacing w:after="0" w:line="267" w:lineRule="auto"/>
        <w:rPr>
          <w:sz w:val="20"/>
          <w:szCs w:val="20"/>
          <w:color w:val="auto"/>
        </w:rPr>
      </w:pPr>
      <w:r>
        <w:rPr>
          <w:rFonts w:ascii="Arial" w:cs="Arial" w:eastAsia="Arial" w:hAnsi="Arial"/>
          <w:sz w:val="18"/>
          <w:szCs w:val="18"/>
          <w:color w:val="auto"/>
        </w:rPr>
        <w:t>The following diagram shows the group structure of our principal subsidiaries and certain affiliated companies as of April 19, 2019, other than our joint venture arrangements with Blizzard, which are described separately in this section.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310755" cy="548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548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Mobile Games</w:t>
      </w:r>
    </w:p>
    <w:p>
      <w:pPr>
        <w:spacing w:after="0" w:line="219" w:lineRule="exact"/>
        <w:rPr>
          <w:sz w:val="20"/>
          <w:szCs w:val="20"/>
          <w:color w:val="auto"/>
        </w:rPr>
      </w:pPr>
    </w:p>
    <w:p>
      <w:pPr>
        <w:ind w:right="60" w:firstLine="639"/>
        <w:spacing w:after="0" w:line="281" w:lineRule="auto"/>
        <w:rPr>
          <w:sz w:val="20"/>
          <w:szCs w:val="20"/>
          <w:color w:val="auto"/>
        </w:rPr>
      </w:pPr>
      <w:r>
        <w:rPr>
          <w:rFonts w:ascii="Arial" w:cs="Arial" w:eastAsia="Arial" w:hAnsi="Arial"/>
          <w:sz w:val="16"/>
          <w:szCs w:val="16"/>
          <w:color w:val="auto"/>
        </w:rPr>
        <w:t>Mobile games have gained increasing popularity and user base as Internet users in China rely more and more on mobile devices, such as smart phones and tablets, to access the Internet. In response to this trend, we are developing games that can be operated on mobile devices and, as of December 31, 2018, we had commercially launched over 100 mobile games of various genres, including self-developed and licensed CCGs, first-person shooter games, battle arena games, SLGs and MMORPGs. To date, the majority of our most popular mobile games are self-developed games such as Onmyoji, Invincible, Knives</w:t>
      </w:r>
    </w:p>
    <w:p>
      <w:pPr>
        <w:spacing w:after="0" w:line="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Out, Identify V, Chu Liu Xiang and Night Falls: Survival. We also offer the mobile versions of our self-developed PC-client MMORPGs, such as the Fantasy Westward Journey mobile game, Westward Journey Online mobile game and the mobile version of New Ghost.</w:t>
      </w:r>
    </w:p>
    <w:p>
      <w:pPr>
        <w:spacing w:after="0" w:line="190"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We distribute our mobile games through partnerships with major Android- and iOS-based application stores in China as well as proprietary distribution channels, such as our websites. Mobile game revenues are primarily derived from sales of in-game virtual items, including avatars, skills, privileges or other in-game consumables, features or functionality within our games. Users have a variety of payment options for in-game virtual items, including our prepaid point cards, online payments through application stores and other online payment channels.</w:t>
      </w:r>
    </w:p>
    <w:p>
      <w:pPr>
        <w:spacing w:after="0" w:line="176" w:lineRule="exact"/>
        <w:rPr>
          <w:sz w:val="20"/>
          <w:szCs w:val="20"/>
          <w:color w:val="auto"/>
        </w:rPr>
      </w:pPr>
    </w:p>
    <w:p>
      <w:pPr>
        <w:ind w:right="180" w:firstLine="639"/>
        <w:spacing w:after="0" w:line="253" w:lineRule="auto"/>
        <w:rPr>
          <w:sz w:val="20"/>
          <w:szCs w:val="20"/>
          <w:color w:val="auto"/>
        </w:rPr>
      </w:pPr>
      <w:r>
        <w:rPr>
          <w:rFonts w:ascii="Arial" w:cs="Arial" w:eastAsia="Arial" w:hAnsi="Arial"/>
          <w:sz w:val="18"/>
          <w:szCs w:val="18"/>
          <w:color w:val="auto"/>
        </w:rPr>
        <w:t>Our development strategy for our mobile games is focused on identifying trends in users’ preferences to develop games that will appeal to new users and at the same time leveraging the popularity of our established PC-client games among the game player community in China to develop attractive mobile versions of such games. In addition, for certain of our mobile games, we periodically introduce content updates. The timing and success of content updates have a strong influence on the popularity and profitability of mobile games.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PC-client Games</w:t>
      </w:r>
    </w:p>
    <w:p>
      <w:pPr>
        <w:spacing w:after="0" w:line="219" w:lineRule="exact"/>
        <w:rPr>
          <w:sz w:val="20"/>
          <w:szCs w:val="20"/>
          <w:color w:val="auto"/>
        </w:rPr>
      </w:pPr>
    </w:p>
    <w:p>
      <w:pPr>
        <w:ind w:right="60" w:firstLine="639"/>
        <w:spacing w:after="0" w:line="253" w:lineRule="auto"/>
        <w:rPr>
          <w:sz w:val="20"/>
          <w:szCs w:val="20"/>
          <w:color w:val="auto"/>
        </w:rPr>
      </w:pPr>
      <w:r>
        <w:rPr>
          <w:rFonts w:ascii="Arial" w:cs="Arial" w:eastAsia="Arial" w:hAnsi="Arial"/>
          <w:sz w:val="18"/>
          <w:szCs w:val="18"/>
          <w:color w:val="auto"/>
        </w:rPr>
        <w:t>We launched our first PC-client MMORPG, Westward Journey Online, in December 2001. Subsequently, we launched Westward Journey Online II in August 2002 and our second internally developed PC-client MMORPG, Fantasy Westward Journey, in January 2004. Westward Journey Online II and Fantasy Westward Journey were upgraded to New Westward Journey Online II and Fantasy Westward Journey Online in 2013. We have subsequently launched a number of additional online games, as set forth in the table below.</w:t>
      </w:r>
    </w:p>
    <w:p>
      <w:pPr>
        <w:spacing w:after="0" w:line="193" w:lineRule="exact"/>
        <w:rPr>
          <w:sz w:val="20"/>
          <w:szCs w:val="20"/>
          <w:color w:val="auto"/>
        </w:rPr>
      </w:pPr>
    </w:p>
    <w:p>
      <w:pPr>
        <w:ind w:right="540" w:firstLine="639"/>
        <w:spacing w:after="0" w:line="330" w:lineRule="auto"/>
        <w:rPr>
          <w:sz w:val="20"/>
          <w:szCs w:val="20"/>
          <w:color w:val="auto"/>
        </w:rPr>
      </w:pPr>
      <w:r>
        <w:rPr>
          <w:rFonts w:ascii="Arial" w:cs="Arial" w:eastAsia="Arial" w:hAnsi="Arial"/>
          <w:sz w:val="16"/>
          <w:szCs w:val="16"/>
          <w:color w:val="auto"/>
        </w:rPr>
        <w:t>Our principal internally developed games, in terms of the number of users and revenue generated, are Fantasy Westward Journey Online, New Westward Journey Online II, New Ghost, Tianxia III and Justice. These games are PC-client MMORPGs set in classical Chinese-themed fantasy worlds.</w:t>
      </w:r>
    </w:p>
    <w:p>
      <w:pPr>
        <w:spacing w:after="0" w:line="133"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Our PC-client game titles can be accessed from any location with an Internet connection by registered users of the NetEase websites. Users may enter our network with a password and a user ID after downloading our installation software. In our item-based games, players can also purchase virtual items that enhance their playing experience such as special powers, costumes, weapons and other accessories. We regularly introduce new virtual items or change the features of virtual items based on player feedback, market trends and other factors.</w:t>
      </w:r>
    </w:p>
    <w:p>
      <w:pPr>
        <w:spacing w:after="0" w:line="193" w:lineRule="exact"/>
        <w:rPr>
          <w:sz w:val="20"/>
          <w:szCs w:val="20"/>
          <w:color w:val="auto"/>
        </w:rPr>
      </w:pPr>
    </w:p>
    <w:p>
      <w:pPr>
        <w:ind w:right="80" w:firstLine="639"/>
        <w:spacing w:after="0" w:line="267" w:lineRule="auto"/>
        <w:rPr>
          <w:sz w:val="20"/>
          <w:szCs w:val="20"/>
          <w:color w:val="auto"/>
        </w:rPr>
      </w:pPr>
      <w:r>
        <w:rPr>
          <w:rFonts w:ascii="Arial" w:cs="Arial" w:eastAsia="Arial" w:hAnsi="Arial"/>
          <w:sz w:val="18"/>
          <w:szCs w:val="18"/>
          <w:color w:val="auto"/>
        </w:rPr>
        <w:t>Users of our time-based games pay a pre-determined fee per hour of game playing time. For our item-based games, we charge users a separate fee for each virtual item purchased within the games.</w:t>
      </w:r>
    </w:p>
    <w:p>
      <w:pPr>
        <w:spacing w:after="0" w:line="179" w:lineRule="exact"/>
        <w:rPr>
          <w:sz w:val="20"/>
          <w:szCs w:val="20"/>
          <w:color w:val="auto"/>
        </w:rPr>
      </w:pPr>
    </w:p>
    <w:p>
      <w:pPr>
        <w:ind w:right="120" w:firstLine="639"/>
        <w:spacing w:after="0" w:line="296" w:lineRule="auto"/>
        <w:rPr>
          <w:sz w:val="20"/>
          <w:szCs w:val="20"/>
          <w:color w:val="auto"/>
        </w:rPr>
      </w:pPr>
      <w:r>
        <w:rPr>
          <w:rFonts w:ascii="Arial" w:cs="Arial" w:eastAsia="Arial" w:hAnsi="Arial"/>
          <w:sz w:val="17"/>
          <w:szCs w:val="17"/>
          <w:color w:val="auto"/>
        </w:rPr>
        <w:t>Similar to our mobile games, we periodically develop and release expansion packs, which expand game content and gameplay features for previously launched PC-client games. These periodic expansion packs are designed to retain the interest of existing users and to attract new users.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certain of our major mobile and PC-client games.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Game</w:t>
            </w:r>
          </w:p>
        </w:tc>
        <w:tc>
          <w:tcPr>
            <w:tcW w:w="300" w:type="dxa"/>
            <w:vAlign w:val="bottom"/>
          </w:tcPr>
          <w:p>
            <w:pPr>
              <w:spacing w:after="0"/>
              <w:rPr>
                <w:sz w:val="14"/>
                <w:szCs w:val="14"/>
                <w:color w:val="auto"/>
              </w:rPr>
            </w:pPr>
          </w:p>
        </w:tc>
        <w:tc>
          <w:tcPr>
            <w:tcW w:w="202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Type</w:t>
            </w:r>
          </w:p>
        </w:tc>
        <w:tc>
          <w:tcPr>
            <w:tcW w:w="18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Genre</w:t>
            </w: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700" w:type="dxa"/>
            <w:vAlign w:val="bottom"/>
          </w:tcPr>
          <w:p>
            <w:pPr>
              <w:ind w:left="420"/>
              <w:spacing w:after="0"/>
              <w:rPr>
                <w:sz w:val="20"/>
                <w:szCs w:val="20"/>
                <w:color w:val="auto"/>
              </w:rPr>
            </w:pPr>
            <w:r>
              <w:rPr>
                <w:rFonts w:ascii="Arial" w:cs="Arial" w:eastAsia="Arial" w:hAnsi="Arial"/>
                <w:sz w:val="14"/>
                <w:szCs w:val="14"/>
                <w:b w:val="1"/>
                <w:bCs w:val="1"/>
                <w:color w:val="auto"/>
              </w:rPr>
              <w:t>Date of Initial</w:t>
            </w:r>
          </w:p>
        </w:tc>
        <w:tc>
          <w:tcPr>
            <w:tcW w:w="0" w:type="dxa"/>
            <w:vAlign w:val="bottom"/>
          </w:tcPr>
          <w:p>
            <w:pPr>
              <w:spacing w:after="0"/>
              <w:rPr>
                <w:sz w:val="1"/>
                <w:szCs w:val="1"/>
                <w:color w:val="auto"/>
              </w:rPr>
            </w:pPr>
          </w:p>
        </w:tc>
      </w:tr>
      <w:tr>
        <w:trPr>
          <w:trHeight w:val="169"/>
        </w:trPr>
        <w:tc>
          <w:tcPr>
            <w:tcW w:w="3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Model</w:t>
            </w:r>
          </w:p>
        </w:tc>
        <w:tc>
          <w:tcPr>
            <w:tcW w:w="1700" w:type="dxa"/>
            <w:vAlign w:val="bottom"/>
          </w:tcPr>
          <w:p>
            <w:pPr>
              <w:ind w:left="220"/>
              <w:spacing w:after="0"/>
              <w:rPr>
                <w:sz w:val="20"/>
                <w:szCs w:val="20"/>
                <w:color w:val="auto"/>
              </w:rPr>
            </w:pPr>
            <w:r>
              <w:rPr>
                <w:rFonts w:ascii="Arial" w:cs="Arial" w:eastAsia="Arial" w:hAnsi="Arial"/>
                <w:sz w:val="14"/>
                <w:szCs w:val="14"/>
                <w:b w:val="1"/>
                <w:bCs w:val="1"/>
                <w:color w:val="auto"/>
              </w:rPr>
              <w:t>Commercial Launch</w:t>
            </w:r>
          </w:p>
        </w:tc>
        <w:tc>
          <w:tcPr>
            <w:tcW w:w="0" w:type="dxa"/>
            <w:vAlign w:val="bottom"/>
          </w:tcPr>
          <w:p>
            <w:pPr>
              <w:spacing w:after="0"/>
              <w:rPr>
                <w:sz w:val="1"/>
                <w:szCs w:val="1"/>
                <w:color w:val="auto"/>
              </w:rPr>
            </w:pPr>
          </w:p>
        </w:tc>
      </w:tr>
      <w:tr>
        <w:trPr>
          <w:trHeight w:val="194"/>
        </w:trPr>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Tianxia III</w:t>
            </w:r>
          </w:p>
        </w:tc>
        <w:tc>
          <w:tcPr>
            <w:tcW w:w="3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PC-client Game</w:t>
            </w:r>
          </w:p>
        </w:tc>
        <w:tc>
          <w:tcPr>
            <w:tcW w:w="3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3D MMORPG, classical</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Item-based</w:t>
            </w: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October 2011</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Chinese setting</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660" w:type="dxa"/>
            <w:vAlign w:val="bottom"/>
          </w:tcPr>
          <w:p>
            <w:pPr>
              <w:spacing w:after="0" w:line="201" w:lineRule="exact"/>
              <w:rPr>
                <w:sz w:val="20"/>
                <w:szCs w:val="20"/>
                <w:color w:val="auto"/>
              </w:rPr>
            </w:pPr>
            <w:r>
              <w:rPr>
                <w:rFonts w:ascii="Arial" w:cs="Arial" w:eastAsia="Arial" w:hAnsi="Arial"/>
                <w:sz w:val="18"/>
                <w:szCs w:val="18"/>
                <w:color w:val="auto"/>
                <w:w w:val="99"/>
              </w:rPr>
              <w:t>Fantasy Westward Journey Online (previously</w:t>
            </w:r>
          </w:p>
        </w:tc>
        <w:tc>
          <w:tcPr>
            <w:tcW w:w="232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PC-client Game</w:t>
            </w:r>
          </w:p>
        </w:tc>
        <w:tc>
          <w:tcPr>
            <w:tcW w:w="1820" w:type="dxa"/>
            <w:vAlign w:val="bottom"/>
          </w:tcPr>
          <w:p>
            <w:pPr>
              <w:spacing w:after="0" w:line="201" w:lineRule="exact"/>
              <w:rPr>
                <w:sz w:val="20"/>
                <w:szCs w:val="20"/>
                <w:color w:val="auto"/>
              </w:rPr>
            </w:pPr>
            <w:r>
              <w:rPr>
                <w:rFonts w:ascii="Arial" w:cs="Arial" w:eastAsia="Arial" w:hAnsi="Arial"/>
                <w:sz w:val="18"/>
                <w:szCs w:val="18"/>
                <w:color w:val="auto"/>
                <w:w w:val="95"/>
              </w:rPr>
              <w:t>2D MMORPG, classical</w:t>
            </w:r>
          </w:p>
        </w:tc>
        <w:tc>
          <w:tcPr>
            <w:tcW w:w="192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Item-based Time-</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July 2013</w:t>
            </w:r>
          </w:p>
        </w:tc>
        <w:tc>
          <w:tcPr>
            <w:tcW w:w="0" w:type="dxa"/>
            <w:vAlign w:val="bottom"/>
          </w:tcPr>
          <w:p>
            <w:pPr>
              <w:spacing w:after="0"/>
              <w:rPr>
                <w:sz w:val="1"/>
                <w:szCs w:val="1"/>
                <w:color w:val="auto"/>
              </w:rPr>
            </w:pPr>
          </w:p>
        </w:tc>
      </w:tr>
      <w:tr>
        <w:trPr>
          <w:trHeight w:val="225"/>
        </w:trPr>
        <w:tc>
          <w:tcPr>
            <w:tcW w:w="3660" w:type="dxa"/>
            <w:vAlign w:val="bottom"/>
          </w:tcPr>
          <w:p>
            <w:pPr>
              <w:spacing w:after="0"/>
              <w:rPr>
                <w:sz w:val="20"/>
                <w:szCs w:val="20"/>
                <w:color w:val="auto"/>
              </w:rPr>
            </w:pPr>
            <w:r>
              <w:rPr>
                <w:rFonts w:ascii="Arial" w:cs="Arial" w:eastAsia="Arial" w:hAnsi="Arial"/>
                <w:sz w:val="18"/>
                <w:szCs w:val="18"/>
                <w:color w:val="auto"/>
              </w:rPr>
              <w:t>known as Fantasy Westward Journey II)</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Chinese setting</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based</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New Westward Journey Online II (a</w:t>
            </w:r>
          </w:p>
        </w:tc>
        <w:tc>
          <w:tcPr>
            <w:tcW w:w="2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PC-client Game</w:t>
            </w: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2D MMORPG, classical</w:t>
            </w:r>
          </w:p>
        </w:tc>
        <w:tc>
          <w:tcPr>
            <w:tcW w:w="19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Item-based Time-</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September 2013</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9"/>
              </w:rPr>
              <w:t>comprehensive upgrade of Westward Journey</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Chinese setting</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August 2014</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Online II)</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Fantasy Westward Journey mobile game</w:t>
            </w:r>
          </w:p>
        </w:tc>
        <w:tc>
          <w:tcPr>
            <w:tcW w:w="2320" w:type="dxa"/>
            <w:vAlign w:val="bottom"/>
            <w:gridSpan w:val="3"/>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tcPr>
          <w:p>
            <w:pPr>
              <w:spacing w:after="0"/>
              <w:rPr>
                <w:sz w:val="20"/>
                <w:szCs w:val="20"/>
                <w:color w:val="auto"/>
              </w:rPr>
            </w:pPr>
            <w:r>
              <w:rPr>
                <w:rFonts w:ascii="Arial" w:cs="Arial" w:eastAsia="Arial" w:hAnsi="Arial"/>
                <w:sz w:val="18"/>
                <w:szCs w:val="18"/>
                <w:color w:val="auto"/>
                <w:w w:val="99"/>
              </w:rPr>
              <w:t>Turn-based MMORPG</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tcPr>
          <w:p>
            <w:pPr>
              <w:spacing w:after="0"/>
              <w:rPr>
                <w:sz w:val="20"/>
                <w:szCs w:val="20"/>
                <w:color w:val="auto"/>
              </w:rPr>
            </w:pPr>
            <w:r>
              <w:rPr>
                <w:rFonts w:ascii="Arial" w:cs="Arial" w:eastAsia="Arial" w:hAnsi="Arial"/>
                <w:sz w:val="18"/>
                <w:szCs w:val="18"/>
                <w:color w:val="auto"/>
              </w:rPr>
              <w:t>March 2015</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Westward Journey Online mobile game</w:t>
            </w:r>
          </w:p>
        </w:tc>
        <w:tc>
          <w:tcPr>
            <w:tcW w:w="2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9"/>
              </w:rPr>
              <w:t>Turn-based MMORPG</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01"/>
        </w:trPr>
        <w:tc>
          <w:tcPr>
            <w:tcW w:w="3660" w:type="dxa"/>
            <w:vAlign w:val="bottom"/>
          </w:tcPr>
          <w:p>
            <w:pPr>
              <w:spacing w:after="0" w:line="201" w:lineRule="exact"/>
              <w:rPr>
                <w:sz w:val="20"/>
                <w:szCs w:val="20"/>
                <w:color w:val="auto"/>
              </w:rPr>
            </w:pPr>
            <w:r>
              <w:rPr>
                <w:rFonts w:ascii="Arial" w:cs="Arial" w:eastAsia="Arial" w:hAnsi="Arial"/>
                <w:sz w:val="18"/>
                <w:szCs w:val="18"/>
                <w:color w:val="auto"/>
              </w:rPr>
              <w:t>New Ghost (a new version of Ghost II)</w:t>
            </w:r>
          </w:p>
        </w:tc>
        <w:tc>
          <w:tcPr>
            <w:tcW w:w="232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PC-client Game</w:t>
            </w: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2.5D MMORPG,</w:t>
            </w:r>
          </w:p>
        </w:tc>
        <w:tc>
          <w:tcPr>
            <w:tcW w:w="192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Item-based</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1"/>
              </w:rPr>
              <w:t>classical Chinese setting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Invincible</w:t>
            </w:r>
          </w:p>
        </w:tc>
        <w:tc>
          <w:tcPr>
            <w:tcW w:w="2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SLG</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October 2015</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The mobile version of New Ghost</w:t>
            </w:r>
          </w:p>
        </w:tc>
        <w:tc>
          <w:tcPr>
            <w:tcW w:w="2320" w:type="dxa"/>
            <w:vAlign w:val="bottom"/>
            <w:gridSpan w:val="3"/>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tcPr>
          <w:p>
            <w:pPr>
              <w:spacing w:after="0"/>
              <w:rPr>
                <w:sz w:val="20"/>
                <w:szCs w:val="20"/>
                <w:color w:val="auto"/>
              </w:rPr>
            </w:pPr>
            <w:r>
              <w:rPr>
                <w:rFonts w:ascii="Arial" w:cs="Arial" w:eastAsia="Arial" w:hAnsi="Arial"/>
                <w:sz w:val="18"/>
                <w:szCs w:val="18"/>
                <w:color w:val="auto"/>
              </w:rPr>
              <w:t>Real-time MMORPG</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tcPr>
          <w:p>
            <w:pPr>
              <w:spacing w:after="0"/>
              <w:rPr>
                <w:sz w:val="20"/>
                <w:szCs w:val="20"/>
                <w:color w:val="auto"/>
              </w:rPr>
            </w:pPr>
            <w:r>
              <w:rPr>
                <w:rFonts w:ascii="Arial" w:cs="Arial" w:eastAsia="Arial" w:hAnsi="Arial"/>
                <w:sz w:val="18"/>
                <w:szCs w:val="18"/>
                <w:color w:val="auto"/>
              </w:rPr>
              <w:t>May 2016</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Onmyoji</w:t>
            </w:r>
          </w:p>
        </w:tc>
        <w:tc>
          <w:tcPr>
            <w:tcW w:w="2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CCG &amp; RPG</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Demon Seals Mobile</w:t>
            </w:r>
          </w:p>
        </w:tc>
        <w:tc>
          <w:tcPr>
            <w:tcW w:w="2320" w:type="dxa"/>
            <w:vAlign w:val="bottom"/>
            <w:gridSpan w:val="3"/>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tcPr>
          <w:p>
            <w:pPr>
              <w:spacing w:after="0"/>
              <w:rPr>
                <w:sz w:val="20"/>
                <w:szCs w:val="20"/>
                <w:color w:val="auto"/>
              </w:rPr>
            </w:pPr>
            <w:r>
              <w:rPr>
                <w:rFonts w:ascii="Arial" w:cs="Arial" w:eastAsia="Arial" w:hAnsi="Arial"/>
                <w:sz w:val="18"/>
                <w:szCs w:val="18"/>
                <w:color w:val="auto"/>
              </w:rPr>
              <w:t>RPG</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tcPr>
          <w:p>
            <w:pPr>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Land of Glory</w:t>
            </w:r>
          </w:p>
        </w:tc>
        <w:tc>
          <w:tcPr>
            <w:tcW w:w="2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MMORPG</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March 2017</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Knives Out</w:t>
            </w:r>
          </w:p>
        </w:tc>
        <w:tc>
          <w:tcPr>
            <w:tcW w:w="2320" w:type="dxa"/>
            <w:vAlign w:val="bottom"/>
            <w:gridSpan w:val="3"/>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tcPr>
          <w:p>
            <w:pPr>
              <w:spacing w:after="0"/>
              <w:rPr>
                <w:sz w:val="20"/>
                <w:szCs w:val="20"/>
                <w:color w:val="auto"/>
              </w:rPr>
            </w:pPr>
            <w:r>
              <w:rPr>
                <w:rFonts w:ascii="Arial" w:cs="Arial" w:eastAsia="Arial" w:hAnsi="Arial"/>
                <w:sz w:val="18"/>
                <w:szCs w:val="18"/>
                <w:color w:val="auto"/>
              </w:rPr>
              <w:t>Battle Arena</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Rules of Survival</w:t>
            </w:r>
          </w:p>
        </w:tc>
        <w:tc>
          <w:tcPr>
            <w:tcW w:w="2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Battle Arena</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8"/>
                <w:szCs w:val="18"/>
                <w:color w:val="auto"/>
              </w:rPr>
              <w:t>Chu Liu Xiang</w:t>
            </w:r>
          </w:p>
        </w:tc>
        <w:tc>
          <w:tcPr>
            <w:tcW w:w="2320" w:type="dxa"/>
            <w:vAlign w:val="bottom"/>
            <w:gridSpan w:val="3"/>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tcPr>
          <w:p>
            <w:pPr>
              <w:spacing w:after="0"/>
              <w:rPr>
                <w:sz w:val="20"/>
                <w:szCs w:val="20"/>
                <w:color w:val="auto"/>
              </w:rPr>
            </w:pPr>
            <w:r>
              <w:rPr>
                <w:rFonts w:ascii="Arial" w:cs="Arial" w:eastAsia="Arial" w:hAnsi="Arial"/>
                <w:sz w:val="18"/>
                <w:szCs w:val="18"/>
                <w:color w:val="auto"/>
              </w:rPr>
              <w:t>Real-time MMORPG</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tcPr>
          <w:p>
            <w:pPr>
              <w:spacing w:after="0"/>
              <w:rPr>
                <w:sz w:val="20"/>
                <w:szCs w:val="20"/>
                <w:color w:val="auto"/>
              </w:rPr>
            </w:pPr>
            <w:r>
              <w:rPr>
                <w:rFonts w:ascii="Arial" w:cs="Arial" w:eastAsia="Arial" w:hAnsi="Arial"/>
                <w:sz w:val="18"/>
                <w:szCs w:val="18"/>
                <w:color w:val="auto"/>
              </w:rPr>
              <w:t>January 2018</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Identity V</w:t>
            </w:r>
          </w:p>
        </w:tc>
        <w:tc>
          <w:tcPr>
            <w:tcW w:w="232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Asymmetrical Battle</w:t>
            </w:r>
          </w:p>
        </w:tc>
        <w:tc>
          <w:tcPr>
            <w:tcW w:w="192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2018</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Arena</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660" w:type="dxa"/>
            <w:vAlign w:val="bottom"/>
          </w:tcPr>
          <w:p>
            <w:pPr>
              <w:spacing w:after="0" w:line="201" w:lineRule="exact"/>
              <w:rPr>
                <w:sz w:val="20"/>
                <w:szCs w:val="20"/>
                <w:color w:val="auto"/>
              </w:rPr>
            </w:pPr>
            <w:r>
              <w:rPr>
                <w:rFonts w:ascii="Arial" w:cs="Arial" w:eastAsia="Arial" w:hAnsi="Arial"/>
                <w:sz w:val="18"/>
                <w:szCs w:val="18"/>
                <w:color w:val="auto"/>
              </w:rPr>
              <w:t>Justice</w:t>
            </w:r>
          </w:p>
        </w:tc>
        <w:tc>
          <w:tcPr>
            <w:tcW w:w="232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PC-client Game</w:t>
            </w:r>
          </w:p>
        </w:tc>
        <w:tc>
          <w:tcPr>
            <w:tcW w:w="1820" w:type="dxa"/>
            <w:vAlign w:val="bottom"/>
          </w:tcPr>
          <w:p>
            <w:pPr>
              <w:spacing w:after="0" w:line="201" w:lineRule="exact"/>
              <w:rPr>
                <w:sz w:val="20"/>
                <w:szCs w:val="20"/>
                <w:color w:val="auto"/>
              </w:rPr>
            </w:pPr>
            <w:r>
              <w:rPr>
                <w:rFonts w:ascii="Arial" w:cs="Arial" w:eastAsia="Arial" w:hAnsi="Arial"/>
                <w:sz w:val="18"/>
                <w:szCs w:val="18"/>
                <w:color w:val="auto"/>
                <w:w w:val="95"/>
              </w:rPr>
              <w:t>3D MMORPG, classical</w:t>
            </w:r>
          </w:p>
        </w:tc>
        <w:tc>
          <w:tcPr>
            <w:tcW w:w="192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Time-based Item-</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June 2018</w:t>
            </w: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Chinese setting</w:t>
            </w:r>
          </w:p>
        </w:tc>
        <w:tc>
          <w:tcPr>
            <w:tcW w:w="1920" w:type="dxa"/>
            <w:vAlign w:val="bottom"/>
            <w:gridSpan w:val="3"/>
          </w:tcPr>
          <w:p>
            <w:pPr>
              <w:ind w:left="280"/>
              <w:spacing w:after="0"/>
              <w:rPr>
                <w:sz w:val="20"/>
                <w:szCs w:val="20"/>
                <w:color w:val="auto"/>
              </w:rPr>
            </w:pPr>
            <w:r>
              <w:rPr>
                <w:rFonts w:ascii="Arial" w:cs="Arial" w:eastAsia="Arial" w:hAnsi="Arial"/>
                <w:sz w:val="18"/>
                <w:szCs w:val="18"/>
                <w:color w:val="auto"/>
              </w:rPr>
              <w:t>based</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Ancient Nocturne</w:t>
            </w:r>
          </w:p>
        </w:tc>
        <w:tc>
          <w:tcPr>
            <w:tcW w:w="23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Mobile Game</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CCG &amp; RPG</w:t>
            </w:r>
          </w:p>
        </w:tc>
        <w:tc>
          <w:tcPr>
            <w:tcW w:w="1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Item-based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0" w:type="dxa"/>
            <w:vAlign w:val="bottom"/>
          </w:tcPr>
          <w:p>
            <w:pPr>
              <w:spacing w:after="0"/>
              <w:rPr>
                <w:sz w:val="1"/>
                <w:szCs w:val="1"/>
                <w:color w:val="auto"/>
              </w:rPr>
            </w:pPr>
          </w:p>
        </w:tc>
      </w:tr>
      <w:tr>
        <w:trPr>
          <w:trHeight w:val="201"/>
        </w:trPr>
        <w:tc>
          <w:tcPr>
            <w:tcW w:w="3660" w:type="dxa"/>
            <w:vAlign w:val="bottom"/>
          </w:tcPr>
          <w:p>
            <w:pPr>
              <w:spacing w:after="0" w:line="201" w:lineRule="exact"/>
              <w:rPr>
                <w:sz w:val="20"/>
                <w:szCs w:val="20"/>
                <w:color w:val="auto"/>
              </w:rPr>
            </w:pPr>
            <w:r>
              <w:rPr>
                <w:rFonts w:ascii="Arial" w:cs="Arial" w:eastAsia="Arial" w:hAnsi="Arial"/>
                <w:sz w:val="18"/>
                <w:szCs w:val="18"/>
                <w:color w:val="auto"/>
              </w:rPr>
              <w:t>Night Falls: Survival</w:t>
            </w:r>
          </w:p>
        </w:tc>
        <w:tc>
          <w:tcPr>
            <w:tcW w:w="232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Mobile Game</w:t>
            </w: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Cooperative Survival</w:t>
            </w:r>
          </w:p>
        </w:tc>
        <w:tc>
          <w:tcPr>
            <w:tcW w:w="192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Item-based</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November 2018</w:t>
            </w: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RPG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39"/>
        <w:spacing w:after="0" w:line="268" w:lineRule="auto"/>
        <w:rPr>
          <w:sz w:val="20"/>
          <w:szCs w:val="20"/>
          <w:color w:val="auto"/>
        </w:rPr>
      </w:pPr>
      <w:r>
        <w:rPr>
          <w:rFonts w:ascii="Arial" w:cs="Arial" w:eastAsia="Arial" w:hAnsi="Arial"/>
          <w:sz w:val="17"/>
          <w:szCs w:val="17"/>
          <w:color w:val="auto"/>
        </w:rPr>
        <w:t>In connection with the introduction of our online games, we developed a prepaid point card system to facilitate payment of fees for our online games services and, to a lesser extent, our other fee-based value-added services. Users can buy prepaid point cards at a variety of locations in China, including Internet cafés, convenience stores, software stores, bookstores and newspaper stands. Electronic point cards can also be purchased through credit cards or online payment platforms through which players can directly credit their accounts. Each prepaid card contains an account number and a password. The points represented by these cards can then be transferred into users’ individual accounts on the NetEase websites and used to pay for our online services, including playing time for online games, and virtual items purchased in the games.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Game Masters and Customer Service</w:t>
      </w:r>
    </w:p>
    <w:p>
      <w:pPr>
        <w:spacing w:after="0" w:line="219" w:lineRule="exact"/>
        <w:rPr>
          <w:sz w:val="20"/>
          <w:szCs w:val="20"/>
          <w:color w:val="auto"/>
        </w:rPr>
      </w:pPr>
    </w:p>
    <w:p>
      <w:pPr>
        <w:ind w:right="40" w:firstLine="639"/>
        <w:spacing w:after="0" w:line="330" w:lineRule="auto"/>
        <w:rPr>
          <w:sz w:val="20"/>
          <w:szCs w:val="20"/>
          <w:color w:val="auto"/>
        </w:rPr>
      </w:pPr>
      <w:r>
        <w:rPr>
          <w:rFonts w:ascii="Arial" w:cs="Arial" w:eastAsia="Arial" w:hAnsi="Arial"/>
          <w:sz w:val="16"/>
          <w:szCs w:val="16"/>
          <w:color w:val="auto"/>
        </w:rPr>
        <w:t>Gameplay for our mobile games and PC-client MMORPGs are monitored by game masters, who appear as game characters within the game world and provide assistance and guidance to players, as well as policing behavior of players in the game world to maintain an atmosphere of fun and fair play.</w:t>
      </w:r>
    </w:p>
    <w:p>
      <w:pPr>
        <w:spacing w:after="0" w:line="133"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In addition, we believe that providing strong, dependable customer support is a key component to success in the online games business. Our customer service center provides 24 hour-a-day, 7 day-a-week customer service and technical support and can be contacted via telephone or e-mail. As of December 31, 2018, our company employed approximately 1,700 personnel in our call center as customer service specialists for our online games as well as for our other services.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Licensed Games</w:t>
      </w:r>
    </w:p>
    <w:p>
      <w:pPr>
        <w:spacing w:after="0" w:line="219" w:lineRule="exact"/>
        <w:rPr>
          <w:sz w:val="20"/>
          <w:szCs w:val="20"/>
          <w:color w:val="auto"/>
        </w:rPr>
      </w:pPr>
    </w:p>
    <w:p>
      <w:pPr>
        <w:ind w:right="720" w:firstLine="639"/>
        <w:spacing w:after="0" w:line="267" w:lineRule="auto"/>
        <w:rPr>
          <w:sz w:val="20"/>
          <w:szCs w:val="20"/>
          <w:color w:val="auto"/>
        </w:rPr>
      </w:pPr>
      <w:r>
        <w:rPr>
          <w:rFonts w:ascii="Arial" w:cs="Arial" w:eastAsia="Arial" w:hAnsi="Arial"/>
          <w:sz w:val="18"/>
          <w:szCs w:val="18"/>
          <w:color w:val="auto"/>
        </w:rPr>
        <w:t>In addition to our self-developed mobile and PC-client games, we also offer mobile and PC-client games in China licensed from international developers, including the games licensed to us by Blizzard and Microsoft.</w:t>
      </w:r>
    </w:p>
    <w:p>
      <w:pPr>
        <w:spacing w:after="0" w:line="179" w:lineRule="exact"/>
        <w:rPr>
          <w:sz w:val="20"/>
          <w:szCs w:val="20"/>
          <w:color w:val="auto"/>
        </w:rPr>
      </w:pPr>
    </w:p>
    <w:p>
      <w:pPr>
        <w:ind w:right="120" w:firstLine="639"/>
        <w:spacing w:after="0"/>
        <w:rPr>
          <w:sz w:val="20"/>
          <w:szCs w:val="20"/>
          <w:color w:val="auto"/>
        </w:rPr>
      </w:pPr>
      <w:r>
        <w:rPr>
          <w:rFonts w:ascii="Arial" w:cs="Arial" w:eastAsia="Arial" w:hAnsi="Arial"/>
          <w:sz w:val="18"/>
          <w:szCs w:val="18"/>
          <w:color w:val="auto"/>
        </w:rPr>
        <w:t>Commencing in August 2008, Blizzard has entered into various license agreements to license games to Shanghai EaseNet on an exclusive basis in China, including World of Warcraft, StarCraft II series, Diablo III, Hearthstone, Heroes of the Storm and Overwatch. In January 2019, Blizzard and Shanghai EaseNet agreed to extend the licenses to operate all of the foregoing games to January 2023. Blizzard has also licensed to Shanghai EaseNet on an exclusive basis in China its Battle.net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 which enables multi-player interaction within these games and other online services. Blizzard has the right to terminate the license of the foregoing games and platform under certain circumstances. Concurrently with the licensing of games from Blizzard in August 2008, we entered into arrangements to establish a joint venture with Blizzard. The joint venture provides technical services to Shanghai EaseNet in return for a fee. Net profits of the joint venture are shared equally between Blizzard and us, after the deduction of, among others, various fees and expenses payable to Blizzard and us.</w:t>
      </w:r>
    </w:p>
    <w:p>
      <w:pPr>
        <w:spacing w:after="0" w:line="205" w:lineRule="exact"/>
        <w:rPr>
          <w:sz w:val="20"/>
          <w:szCs w:val="20"/>
          <w:color w:val="auto"/>
        </w:rPr>
      </w:pPr>
    </w:p>
    <w:p>
      <w:pPr>
        <w:ind w:right="280" w:firstLine="639"/>
        <w:spacing w:after="0" w:line="257" w:lineRule="auto"/>
        <w:rPr>
          <w:sz w:val="20"/>
          <w:szCs w:val="20"/>
          <w:color w:val="auto"/>
        </w:rPr>
      </w:pPr>
      <w:r>
        <w:rPr>
          <w:rFonts w:ascii="Arial" w:cs="Arial" w:eastAsia="Arial" w:hAnsi="Arial"/>
          <w:sz w:val="18"/>
          <w:szCs w:val="18"/>
          <w:color w:val="auto"/>
        </w:rPr>
        <w:t>In addition, in May 2016, we entered into a five-year exclusive agreement with Mojang AB, a subsidiary of Microsoft, pursuant to which Microsoft and Mojang agreed to license both the mobile and PC versions of Minecraft to us. We successfully introduced both versions of Minecraft in China across various platforms in 2017. We also license various other online games from a number of other developers.</w:t>
      </w:r>
    </w:p>
    <w:p>
      <w:pPr>
        <w:spacing w:after="0" w:line="188" w:lineRule="exact"/>
        <w:rPr>
          <w:sz w:val="20"/>
          <w:szCs w:val="20"/>
          <w:color w:val="auto"/>
        </w:rPr>
      </w:pPr>
    </w:p>
    <w:p>
      <w:pPr>
        <w:ind w:right="340" w:firstLine="639"/>
        <w:spacing w:after="0" w:line="296" w:lineRule="auto"/>
        <w:rPr>
          <w:sz w:val="20"/>
          <w:szCs w:val="20"/>
          <w:color w:val="auto"/>
        </w:rPr>
      </w:pPr>
      <w:r>
        <w:rPr>
          <w:rFonts w:ascii="Arial" w:cs="Arial" w:eastAsia="Arial" w:hAnsi="Arial"/>
          <w:sz w:val="17"/>
          <w:szCs w:val="17"/>
          <w:color w:val="auto"/>
        </w:rPr>
        <w:t>Revenues from our online games accounted for 73.3%, 67.0% and 59.9% of our total net revenues in 2016, 2017 and 2018, respectively. Revenues from licensed games accounted for 12.5%, 7.2% and 5.7% of our total revenues in 2016, 2017 and 2018,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 Business</w:t>
      </w:r>
    </w:p>
    <w:p>
      <w:pPr>
        <w:spacing w:after="0" w:line="225" w:lineRule="exact"/>
        <w:rPr>
          <w:sz w:val="20"/>
          <w:szCs w:val="20"/>
          <w:color w:val="auto"/>
        </w:rPr>
      </w:pPr>
    </w:p>
    <w:p>
      <w:pPr>
        <w:ind w:right="60" w:firstLine="639"/>
        <w:spacing w:after="0" w:line="266" w:lineRule="auto"/>
        <w:rPr>
          <w:sz w:val="20"/>
          <w:szCs w:val="20"/>
          <w:color w:val="auto"/>
        </w:rPr>
      </w:pPr>
      <w:r>
        <w:rPr>
          <w:rFonts w:ascii="Arial" w:cs="Arial" w:eastAsia="Arial" w:hAnsi="Arial"/>
          <w:sz w:val="17"/>
          <w:szCs w:val="17"/>
          <w:color w:val="auto"/>
        </w:rPr>
        <w:t>We operate two major e-commerce platforms for consumers in China. The first e-commerce platform, Kaola sources goods from mainly overseas suppliers, maintains its own inventory and sells such imported goods, including maternity and baby products, skincare and cosmetics and other general merchandise, to Chinese consumers. We also allow pre-screened third-party vendors to use Kaola as a marketplace to sell their products. As the Chinese government further encourages cross-border e-commerce through including raising both the cross-border duty-free cap per transaction and the duty-free annual cap per individual, we expect the volume of cross-border e-commerce sales on Kaola to continue to grow in the coming years. See “Government Regulations— E-commerce” for details. The second e-commerce platform, Yanxuan sells our private label goods, including apparel, homeware, kitchenware and other general merchandise, which we primarily source directly from original design manufacturers, to Chinese consumers. We generate revenues from both these platforms primarily through merchandise sales and recognize revenue on a gross basis (excluding sales made by third-party vendors using Kaola as a platform), as we carry our own inventory and have discretion in setting prices.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Pricing and Products</w:t>
      </w:r>
    </w:p>
    <w:p>
      <w:pPr>
        <w:spacing w:after="0" w:line="219" w:lineRule="exact"/>
        <w:rPr>
          <w:sz w:val="20"/>
          <w:szCs w:val="20"/>
          <w:color w:val="auto"/>
        </w:rPr>
      </w:pPr>
    </w:p>
    <w:p>
      <w:pPr>
        <w:ind w:right="180" w:firstLine="639"/>
        <w:spacing w:after="0" w:line="295" w:lineRule="auto"/>
        <w:rPr>
          <w:sz w:val="20"/>
          <w:szCs w:val="20"/>
          <w:color w:val="auto"/>
        </w:rPr>
      </w:pPr>
      <w:r>
        <w:rPr>
          <w:rFonts w:ascii="Arial" w:cs="Arial" w:eastAsia="Arial" w:hAnsi="Arial"/>
          <w:sz w:val="16"/>
          <w:szCs w:val="16"/>
          <w:color w:val="auto"/>
        </w:rPr>
        <w:t>Through both our online and mobile e-commerce platforms, we provide a broad spectrum of apparel, fashion goods, cosmetics, home goods and lifestyle products. We offer competitive pricing to attract and retain customers and a selection of discounted products on special occasions, such as the online shopping promotion events on June 18, November 11, and on important holidays such as Christmas and Chinese New Year. Our customers are able to pay for their orders through third-party online payment platforms, our own online payment platform, NetEase Pay, and other online payment channels.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Inventory management, quality control and delivery service</w:t>
      </w:r>
    </w:p>
    <w:p>
      <w:pPr>
        <w:spacing w:after="0" w:line="219" w:lineRule="exact"/>
        <w:rPr>
          <w:sz w:val="20"/>
          <w:szCs w:val="20"/>
          <w:color w:val="auto"/>
        </w:rPr>
      </w:pPr>
    </w:p>
    <w:p>
      <w:pPr>
        <w:ind w:firstLine="639"/>
        <w:spacing w:after="0" w:line="364" w:lineRule="auto"/>
        <w:rPr>
          <w:sz w:val="20"/>
          <w:szCs w:val="20"/>
          <w:color w:val="auto"/>
        </w:rPr>
      </w:pPr>
      <w:r>
        <w:rPr>
          <w:rFonts w:ascii="Arial" w:cs="Arial" w:eastAsia="Arial" w:hAnsi="Arial"/>
          <w:sz w:val="14"/>
          <w:szCs w:val="14"/>
          <w:color w:val="auto"/>
        </w:rPr>
        <w:t>To ensure we have an adequate supply of products to meet our customers’ needs, we typically make estimates of market demand for our products based on historical sales data and market research reports. We focus on continuously improving our inventory management system by conducting market demand studies in-house and analyzing various sales trends such as the seasonality of sales of particular categories of products when making demand estimates.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39"/>
        <w:spacing w:after="0" w:line="267" w:lineRule="auto"/>
        <w:rPr>
          <w:sz w:val="20"/>
          <w:szCs w:val="20"/>
          <w:color w:val="auto"/>
        </w:rPr>
      </w:pPr>
      <w:r>
        <w:rPr>
          <w:rFonts w:ascii="Arial" w:cs="Arial" w:eastAsia="Arial" w:hAnsi="Arial"/>
          <w:sz w:val="17"/>
          <w:szCs w:val="17"/>
          <w:color w:val="auto"/>
        </w:rPr>
        <w:t>With respect to sourcing products, we have implemented a strict and systematic selection process to identify high quality suppliers and third-party vendors globally based on our selection guidelines. We generally choose to cooperate with reputable suppliers and third-party vendors with good track records and high quality products. In addition, we have adopted stringent quality assurance and control procedures for products delivered from our own fulfillment centers or warehouses to ensure we provide our customers with high-quality products on a timely basis. Kaola seeks to build relationships with distributors, other retailers and brand owners to continuously expand the variety of products it offers. These relationships are generally non-exclusive and we invest significant resources to establish and maintain these relationships. For Yanxuan, we select manufacturers after careful evaluation and enter into supply arrangements to produce goods according to our specifications.</w:t>
      </w:r>
    </w:p>
    <w:p>
      <w:pPr>
        <w:spacing w:after="0" w:line="183" w:lineRule="exact"/>
        <w:rPr>
          <w:sz w:val="20"/>
          <w:szCs w:val="20"/>
          <w:color w:val="auto"/>
        </w:rPr>
      </w:pPr>
    </w:p>
    <w:p>
      <w:pPr>
        <w:ind w:right="80" w:firstLine="639"/>
        <w:spacing w:after="0" w:line="291" w:lineRule="auto"/>
        <w:rPr>
          <w:sz w:val="20"/>
          <w:szCs w:val="20"/>
          <w:color w:val="auto"/>
        </w:rPr>
      </w:pPr>
      <w:r>
        <w:rPr>
          <w:rFonts w:ascii="Arial" w:cs="Arial" w:eastAsia="Arial" w:hAnsi="Arial"/>
          <w:sz w:val="16"/>
          <w:szCs w:val="16"/>
          <w:color w:val="auto"/>
        </w:rPr>
        <w:t>To ensure timely delivery of products sold on our e-commerce platforms, we partner with a number of reputable delivery service providers. We have also entered into arrangements with certain of these providers to use their warehouse space for temporary products storage. In addition, we have expanded our own storage and logistical capacity by building and leasing warehouses across China, particularly in cities where our major customer base is located, including Hangzhou, Ningbo, Tianjin, Zhengzhou, Chongqing, Suzhou and Shenzhen. We are in the process of constructing additional warehouses in Hangzhou and Ningbo. If our e-commerce business continues to expand, we expect that we will need additional warehouses in the future.</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Customer Service</w:t>
      </w:r>
    </w:p>
    <w:p>
      <w:pPr>
        <w:spacing w:after="0" w:line="219"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We have a dedicated customer service team responsible for handling general customer enquiries and requests, assisting customers with their ordering process, investigating the status of orders, shipments and payments, resolving customer complaints, and providing other after-sales services. Our customers can contact customer service representatives through our online platforms, real-time online chat, and our customer service hotline. We also offer our customers a competitive return policy compared with market standards for products sold through Kaola and Yanxuan.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Revenues from our e-commerce business accounted for 11.9%, 21.6% and 28.6% of our total net revenues in 2016, 2017 and 2018,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Media Business</w:t>
      </w:r>
    </w:p>
    <w:p>
      <w:pPr>
        <w:spacing w:after="0" w:line="225" w:lineRule="exact"/>
        <w:rPr>
          <w:sz w:val="20"/>
          <w:szCs w:val="20"/>
          <w:color w:val="auto"/>
        </w:rPr>
      </w:pPr>
    </w:p>
    <w:p>
      <w:pPr>
        <w:jc w:val="both"/>
        <w:ind w:right="40" w:firstLine="639"/>
        <w:spacing w:after="0" w:line="257" w:lineRule="auto"/>
        <w:rPr>
          <w:sz w:val="20"/>
          <w:szCs w:val="20"/>
          <w:color w:val="auto"/>
        </w:rPr>
      </w:pPr>
      <w:r>
        <w:rPr>
          <w:rFonts w:ascii="Arial" w:cs="Arial" w:eastAsia="Arial" w:hAnsi="Arial"/>
          <w:sz w:val="18"/>
          <w:szCs w:val="18"/>
          <w:color w:val="auto"/>
        </w:rPr>
        <w:t>Our Internet media business, which is conducted mainly through the NetEase News App and the NetEase websites, offers the Chinese Internet users a network of Chinese language-based online content channels and an interactive community to share news and opinions, which in turn creates an attractive venue for our online advertising clients.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Content</w:t>
      </w:r>
    </w:p>
    <w:p>
      <w:pPr>
        <w:spacing w:after="0" w:line="219" w:lineRule="exact"/>
        <w:rPr>
          <w:sz w:val="20"/>
          <w:szCs w:val="20"/>
          <w:color w:val="auto"/>
        </w:rPr>
      </w:pPr>
    </w:p>
    <w:p>
      <w:pPr>
        <w:ind w:right="80" w:firstLine="639"/>
        <w:spacing w:after="0" w:line="268" w:lineRule="auto"/>
        <w:rPr>
          <w:sz w:val="20"/>
          <w:szCs w:val="20"/>
          <w:color w:val="auto"/>
        </w:rPr>
      </w:pPr>
      <w:r>
        <w:rPr>
          <w:rFonts w:ascii="Arial" w:cs="Arial" w:eastAsia="Arial" w:hAnsi="Arial"/>
          <w:sz w:val="17"/>
          <w:szCs w:val="17"/>
          <w:color w:val="auto"/>
        </w:rPr>
        <w:t>NetEase News App is a leading mobile news application, offering simple and useful tools to enable our users to access a wide range of content including news, information, popular sports events, industry forums, celebrity close-ups, technology and fashion trends, and online entertainment. We source our content from traditional professional media organizations, independent media professionals and content creation studios, as well as from our in-house team of editors who focus on creating specific content that appeals to different demographic groups. In addition, both the NetEase News App and NetEase websites also allow users to generate and share their own content. We believe that this user-generated content is highly effective in maintaining user interest and ensuring repeat visits to the NetEase News App and websites.</w:t>
      </w:r>
    </w:p>
    <w:p>
      <w:pPr>
        <w:spacing w:after="0" w:line="182"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The NetEase News App’s content display interface is organized by interest-based, location-based, and media format-based columns in an effort to make navigation convenient for users. Content is then grouped by channel for easy access, including channels focusing on news, entertainment, sports, finance, information technology, automobiles, education and real estate. The membership profile function offered on both the NetEase New App and websites, which allows users to monitor their past activities and viewing preferences, is also highly popular among our users.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color w:val="auto"/>
        </w:rPr>
        <w:t>In order to stay abreast of the developments in mobile and wearable devices, we have cooperated with leading global telecommunications equipment manufacturing companies to make our NetEase News App available on their latest products. Content displays on the NetEase News App is generally optimized for the screen-size of the mobile devices, with font size easily adjustable by the users.</w:t>
      </w:r>
    </w:p>
    <w:p>
      <w:pPr>
        <w:spacing w:after="0" w:line="188" w:lineRule="exact"/>
        <w:rPr>
          <w:sz w:val="20"/>
          <w:szCs w:val="20"/>
          <w:color w:val="auto"/>
        </w:rPr>
      </w:pPr>
    </w:p>
    <w:p>
      <w:pPr>
        <w:ind w:right="20" w:firstLine="639"/>
        <w:spacing w:after="0" w:line="270" w:lineRule="auto"/>
        <w:rPr>
          <w:sz w:val="20"/>
          <w:szCs w:val="20"/>
          <w:color w:val="auto"/>
        </w:rPr>
      </w:pPr>
      <w:r>
        <w:rPr>
          <w:rFonts w:ascii="Arial" w:cs="Arial" w:eastAsia="Arial" w:hAnsi="Arial"/>
          <w:sz w:val="17"/>
          <w:szCs w:val="17"/>
          <w:color w:val="auto"/>
        </w:rPr>
        <w:t>In addition, the main homepage of the NetEase websites, www.163.com, provides a destination for our users to identify and access various resources, services, content and information, aiming to provide our users with an efficient and easy way to explore and utilize a wealth of information and content organized around a variety of topics. Similar to the NetEase News App, the NetEase websites currently include various channels focusing on different topics of interest. Moreover, www.163.com serves as a one-stop gateway for users to conveniently access our other online services, such as online games, e-mail, e-commerce, video and music streaming, e-reading and a set of other websites and mobile applications.</w:t>
      </w:r>
    </w:p>
    <w:p>
      <w:pPr>
        <w:spacing w:after="0" w:line="179" w:lineRule="exact"/>
        <w:rPr>
          <w:sz w:val="20"/>
          <w:szCs w:val="20"/>
          <w:color w:val="auto"/>
        </w:rPr>
      </w:pPr>
    </w:p>
    <w:p>
      <w:pPr>
        <w:ind w:right="40" w:firstLine="639"/>
        <w:spacing w:after="0" w:line="267" w:lineRule="auto"/>
        <w:rPr>
          <w:sz w:val="20"/>
          <w:szCs w:val="20"/>
          <w:color w:val="auto"/>
        </w:rPr>
      </w:pPr>
      <w:r>
        <w:rPr>
          <w:rFonts w:ascii="Arial" w:cs="Arial" w:eastAsia="Arial" w:hAnsi="Arial"/>
          <w:sz w:val="18"/>
          <w:szCs w:val="18"/>
          <w:color w:val="auto"/>
        </w:rPr>
        <w:t>We believe that the breadth and relevance of our content offerings increase both the number of visits to and the time spent by our users on the NetEase News App and websites.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Interactive Community</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value user interaction as a core attribute of our brand value, and we have embedded user interaction tools in the NetEase News App and websites.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Our users can interact through a variety of tools, including:</w:t>
      </w:r>
    </w:p>
    <w:p>
      <w:pPr>
        <w:spacing w:after="0" w:line="208" w:lineRule="exact"/>
        <w:rPr>
          <w:sz w:val="20"/>
          <w:szCs w:val="20"/>
          <w:color w:val="auto"/>
        </w:rPr>
      </w:pPr>
    </w:p>
    <w:p>
      <w:pPr>
        <w:ind w:left="640" w:right="20" w:hanging="314"/>
        <w:spacing w:after="0" w:line="273" w:lineRule="auto"/>
        <w:tabs>
          <w:tab w:leader="none" w:pos="60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Comment. </w:t>
      </w:r>
      <w:r>
        <w:rPr>
          <w:rFonts w:ascii="Arial" w:cs="Arial" w:eastAsia="Arial" w:hAnsi="Arial"/>
          <w:sz w:val="17"/>
          <w:szCs w:val="17"/>
          <w:color w:val="auto"/>
        </w:rPr>
        <w:t>Our comment posting feature allows users to post their reactions to and thoughts on substantially all of our content items, be it text, image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video-based content. We provide users a suite of tools to interact with the comments of other users. In addition to browsing, archiving and replying to comments left by others, the NetEase News App enables users to click on the </w:t>
      </w:r>
      <w:r>
        <w:rPr>
          <w:rFonts w:ascii="Arial" w:cs="Arial" w:eastAsia="Arial" w:hAnsi="Arial"/>
          <w:sz w:val="17"/>
          <w:szCs w:val="17"/>
          <w:i w:val="1"/>
          <w:iCs w:val="1"/>
          <w:color w:val="auto"/>
        </w:rPr>
        <w:t>Like</w:t>
      </w:r>
      <w:r>
        <w:rPr>
          <w:rFonts w:ascii="Arial" w:cs="Arial" w:eastAsia="Arial" w:hAnsi="Arial"/>
          <w:sz w:val="17"/>
          <w:szCs w:val="17"/>
          <w:color w:val="auto"/>
        </w:rPr>
        <w:t xml:space="preserve"> button to express their support for comments posted by others. Comments receiving the most support are placed more prominently in the commentary sections.</w:t>
      </w:r>
    </w:p>
    <w:p>
      <w:pPr>
        <w:spacing w:after="0" w:line="176" w:lineRule="exact"/>
        <w:rPr>
          <w:rFonts w:ascii="Arial" w:cs="Arial" w:eastAsia="Arial" w:hAnsi="Arial"/>
          <w:sz w:val="17"/>
          <w:szCs w:val="17"/>
          <w:color w:val="auto"/>
        </w:rPr>
      </w:pPr>
    </w:p>
    <w:p>
      <w:pPr>
        <w:ind w:left="640" w:hanging="314"/>
        <w:spacing w:after="0" w:line="253" w:lineRule="auto"/>
        <w:tabs>
          <w:tab w:leader="none" w:pos="6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Sharing. </w:t>
      </w:r>
      <w:r>
        <w:rPr>
          <w:rFonts w:ascii="Arial" w:cs="Arial" w:eastAsia="Arial" w:hAnsi="Arial"/>
          <w:sz w:val="18"/>
          <w:szCs w:val="18"/>
          <w:color w:val="auto"/>
        </w:rPr>
        <w:t>Our users can conveniently share nearly every piece of content displayed on the NetEase News App, such as articles, images, videos and user</w:t>
      </w:r>
      <w:r>
        <w:rPr>
          <w:rFonts w:ascii="Arial" w:cs="Arial" w:eastAsia="Arial" w:hAnsi="Arial"/>
          <w:sz w:val="18"/>
          <w:szCs w:val="18"/>
          <w:i w:val="1"/>
          <w:iCs w:val="1"/>
          <w:color w:val="auto"/>
        </w:rPr>
        <w:t xml:space="preserve"> </w:t>
      </w:r>
      <w:r>
        <w:rPr>
          <w:rFonts w:ascii="Arial" w:cs="Arial" w:eastAsia="Arial" w:hAnsi="Arial"/>
          <w:sz w:val="18"/>
          <w:szCs w:val="18"/>
          <w:color w:val="auto"/>
        </w:rPr>
        <w:t>comments and reactions, on various social media networks through links set out on the same interface. In addition to direct sharing, the NetEase News App enables users to take screenshots of our content and edit them with our stylish and trendy emoticons before sharing such modified content with a personal touch with their friends across various social media platforms.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 Revenues</w:t>
      </w:r>
    </w:p>
    <w:p>
      <w:pPr>
        <w:spacing w:after="0" w:line="219" w:lineRule="exact"/>
        <w:rPr>
          <w:sz w:val="20"/>
          <w:szCs w:val="20"/>
          <w:color w:val="auto"/>
        </w:rPr>
      </w:pPr>
    </w:p>
    <w:p>
      <w:pPr>
        <w:ind w:right="20" w:firstLine="639"/>
        <w:spacing w:after="0" w:line="291" w:lineRule="auto"/>
        <w:rPr>
          <w:sz w:val="20"/>
          <w:szCs w:val="20"/>
          <w:color w:val="auto"/>
        </w:rPr>
      </w:pPr>
      <w:r>
        <w:rPr>
          <w:rFonts w:ascii="Arial" w:cs="Arial" w:eastAsia="Arial" w:hAnsi="Arial"/>
          <w:sz w:val="16"/>
          <w:szCs w:val="16"/>
          <w:color w:val="auto"/>
        </w:rPr>
        <w:t>Revenue generated by our Internet media business consists mainly of fees we receive from the sale of advertising space on the NetEase News App and websites. Our free content and services attract a large number of visitors who generate page views, which form the audience for us to provide advertising services for advertisers on our mobile applications and websites. Our advertising services utilize many advertising formats and techniques. These include sponsorships of our channels, advertisements such as animated and interactive banners, floating buttons, text-links, in-stream video and other formats, advertising through interactive media-rich sites and sponsored special events that integrate live events with online promotion and other media.</w:t>
      </w:r>
    </w:p>
    <w:p>
      <w:pPr>
        <w:spacing w:after="0" w:line="163" w:lineRule="exact"/>
        <w:rPr>
          <w:sz w:val="20"/>
          <w:szCs w:val="20"/>
          <w:color w:val="auto"/>
        </w:rPr>
      </w:pPr>
    </w:p>
    <w:p>
      <w:pPr>
        <w:ind w:right="240" w:firstLine="639"/>
        <w:spacing w:after="0" w:line="296" w:lineRule="auto"/>
        <w:rPr>
          <w:sz w:val="20"/>
          <w:szCs w:val="20"/>
          <w:color w:val="auto"/>
        </w:rPr>
      </w:pPr>
      <w:r>
        <w:rPr>
          <w:rFonts w:ascii="Arial" w:cs="Arial" w:eastAsia="Arial" w:hAnsi="Arial"/>
          <w:sz w:val="17"/>
          <w:szCs w:val="17"/>
          <w:color w:val="auto"/>
        </w:rPr>
        <w:t>To strengthen our overall brand and increase traffic on the NetEase News App and websites and enhance their appeal to advertisers, we periodically sponsor high profile events, such as the NetEase Annual Economist Conference and the China Women’s Media Award.</w:t>
      </w:r>
    </w:p>
    <w:p>
      <w:pPr>
        <w:spacing w:after="0" w:line="157"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Furthermore, in compliance with applicable laws and ensuring the confidentiality of the information of our users, we transmit and store over our systems information regarding our users, such as age, geographic location and interest, and integrate such information to generate demographic profiles which enable us to better tailor our advertising services.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 xml:space="preserve">We generate a majority of our advertising revenues from brand advertising. We focus our brand advertising service on delivering value-based integrated advertising solutions to mainstream brand advertisers. For our brand advertising services, we typically charge our advertisers based on the time of their advertising exposure on a </w:t>
      </w:r>
      <w:r>
        <w:rPr>
          <w:rFonts w:ascii="Arial" w:cs="Arial" w:eastAsia="Arial" w:hAnsi="Arial"/>
          <w:sz w:val="18"/>
          <w:szCs w:val="18"/>
          <w:i w:val="1"/>
          <w:iCs w:val="1"/>
          <w:color w:val="auto"/>
        </w:rPr>
        <w:t>per diem</w:t>
      </w:r>
      <w:r>
        <w:rPr>
          <w:rFonts w:ascii="Arial" w:cs="Arial" w:eastAsia="Arial" w:hAnsi="Arial"/>
          <w:sz w:val="18"/>
          <w:szCs w:val="18"/>
          <w:color w:val="auto"/>
        </w:rPr>
        <w:t xml:space="preserve"> fixed fees basis. We also offer advertising services based on performance-based pricing models, such as based on cost per thousand impressions or cost per action by the consumers after viewing our advertisements, including but not limited to clicking on links to our customers’ products.</w:t>
      </w:r>
    </w:p>
    <w:p>
      <w:pPr>
        <w:spacing w:after="0" w:line="192" w:lineRule="exact"/>
        <w:rPr>
          <w:sz w:val="20"/>
          <w:szCs w:val="20"/>
          <w:color w:val="auto"/>
        </w:rPr>
      </w:pPr>
    </w:p>
    <w:p>
      <w:pPr>
        <w:ind w:right="520" w:firstLine="639"/>
        <w:spacing w:after="0" w:line="267" w:lineRule="auto"/>
        <w:rPr>
          <w:sz w:val="20"/>
          <w:szCs w:val="20"/>
          <w:color w:val="auto"/>
        </w:rPr>
      </w:pPr>
      <w:r>
        <w:rPr>
          <w:rFonts w:ascii="Arial" w:cs="Arial" w:eastAsia="Arial" w:hAnsi="Arial"/>
          <w:sz w:val="18"/>
          <w:szCs w:val="18"/>
          <w:color w:val="auto"/>
        </w:rPr>
        <w:t>Youdao Computer also enters into other advertising business contracts which provide priority placements in a search directory and other online marketing services.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Revenues from our Internet media accounted for 5.6%, 4.5% and 3.7% of our total net revenues in 2016, 2017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Innovative Businesses and Others</w:t>
      </w:r>
    </w:p>
    <w:p>
      <w:pPr>
        <w:spacing w:after="0" w:line="225" w:lineRule="exact"/>
        <w:rPr>
          <w:sz w:val="20"/>
          <w:szCs w:val="20"/>
          <w:color w:val="auto"/>
        </w:rPr>
      </w:pPr>
    </w:p>
    <w:p>
      <w:pPr>
        <w:ind w:right="400" w:firstLine="639"/>
        <w:spacing w:after="0" w:line="296" w:lineRule="auto"/>
        <w:rPr>
          <w:sz w:val="20"/>
          <w:szCs w:val="20"/>
          <w:color w:val="auto"/>
        </w:rPr>
      </w:pPr>
      <w:r>
        <w:rPr>
          <w:rFonts w:ascii="Arial" w:cs="Arial" w:eastAsia="Arial" w:hAnsi="Arial"/>
          <w:sz w:val="17"/>
          <w:szCs w:val="17"/>
          <w:color w:val="auto"/>
        </w:rPr>
        <w:t>Our wide range of other online services include offering live video streaming through our most popular streaming platform CC, music streaming through Cloud Music, online education services through Youdao Education and online reading services through NetEase EaseRead.</w:t>
      </w:r>
    </w:p>
    <w:p>
      <w:pPr>
        <w:spacing w:after="0" w:line="157" w:lineRule="exact"/>
        <w:rPr>
          <w:sz w:val="20"/>
          <w:szCs w:val="20"/>
          <w:color w:val="auto"/>
        </w:rPr>
      </w:pPr>
    </w:p>
    <w:p>
      <w:pPr>
        <w:jc w:val="both"/>
        <w:ind w:left="640" w:right="20" w:hanging="314"/>
        <w:spacing w:after="0" w:line="257" w:lineRule="auto"/>
        <w:tabs>
          <w:tab w:leader="none" w:pos="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CC platform streams gameplay shows (where viewers watch people compete in online games) and game-related shows. Viewers can watch these shows for free and can also purchase virtual items from us (such as a “thumbs-up” image) to show support for their favorite broadcasters who provide commentary for the shows.</w:t>
      </w:r>
    </w:p>
    <w:p>
      <w:pPr>
        <w:spacing w:after="0" w:line="187" w:lineRule="exact"/>
        <w:rPr>
          <w:rFonts w:ascii="Arial" w:cs="Arial" w:eastAsia="Arial" w:hAnsi="Arial"/>
          <w:sz w:val="18"/>
          <w:szCs w:val="18"/>
          <w:color w:val="auto"/>
        </w:rPr>
      </w:pPr>
    </w:p>
    <w:p>
      <w:pPr>
        <w:ind w:left="640" w:right="40" w:hanging="314"/>
        <w:spacing w:after="0" w:line="267" w:lineRule="auto"/>
        <w:tabs>
          <w:tab w:leader="none" w:pos="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Cloud Music offers certain music content for free and other premium content for fees. Users may choose to purchase subscriptions to access a variety of premium contents offered by Cloud Music or make item-based purchases for specific music.</w:t>
      </w:r>
    </w:p>
    <w:p>
      <w:pPr>
        <w:spacing w:after="0" w:line="178" w:lineRule="exact"/>
        <w:rPr>
          <w:rFonts w:ascii="Arial" w:cs="Arial" w:eastAsia="Arial" w:hAnsi="Arial"/>
          <w:sz w:val="18"/>
          <w:szCs w:val="18"/>
          <w:color w:val="auto"/>
        </w:rPr>
      </w:pPr>
    </w:p>
    <w:p>
      <w:pPr>
        <w:ind w:left="640" w:hanging="314"/>
        <w:spacing w:after="0" w:line="304" w:lineRule="auto"/>
        <w:tabs>
          <w:tab w:leader="none" w:pos="6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Youdao Education platform provides a variety of content and services through its websites and mobile applications, including primarily courses relating to test preparations, language learning and tutoring courses to supplement K-12 students’ school education. In addition, the Youdao Education platform also provides a variety of educational solutions, including Youdao Dictionary, Youdao Translator and Youdao Cloud Note.</w:t>
      </w:r>
    </w:p>
    <w:p>
      <w:pPr>
        <w:spacing w:after="0" w:line="153" w:lineRule="exact"/>
        <w:rPr>
          <w:rFonts w:ascii="Arial" w:cs="Arial" w:eastAsia="Arial" w:hAnsi="Arial"/>
          <w:sz w:val="16"/>
          <w:szCs w:val="16"/>
          <w:color w:val="auto"/>
        </w:rPr>
      </w:pPr>
    </w:p>
    <w:p>
      <w:pPr>
        <w:ind w:left="620" w:hanging="294"/>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NetEase EaseRead platform provides its users with access to our online content library, covering classic literature to our original content.</w:t>
      </w:r>
    </w:p>
    <w:p>
      <w:pPr>
        <w:spacing w:after="0" w:line="230" w:lineRule="exact"/>
        <w:rPr>
          <w:rFonts w:ascii="Arial" w:cs="Arial" w:eastAsia="Arial" w:hAnsi="Arial"/>
          <w:sz w:val="17"/>
          <w:szCs w:val="17"/>
          <w:color w:val="auto"/>
        </w:rPr>
      </w:pPr>
    </w:p>
    <w:p>
      <w:pPr>
        <w:ind w:left="640" w:right="20" w:hanging="314"/>
        <w:spacing w:after="0" w:line="253" w:lineRule="auto"/>
        <w:tabs>
          <w:tab w:leader="none" w:pos="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also provide registered users with free and fee-based premium e-mail services which support both the Chinese and English languages. As of December 31, 2018, we had approximately 1,030 million registered free e-mail users. In addition, we also offer fee-based premium e-mail services to corporate users, who can use their corporate name as the e-mail address and enjoy our custom-made functions, such as group instant message, push mail services and Internet disk services.</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Revenues from innovative businesses and others accounted for 9.2%, 6.9% and 7.8% of total net revenues in 2016, 2017 and 2018, respectively.</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w:t>
      </w:r>
    </w:p>
    <w:p>
      <w:pPr>
        <w:spacing w:after="0" w:line="219" w:lineRule="exact"/>
        <w:rPr>
          <w:sz w:val="20"/>
          <w:szCs w:val="20"/>
          <w:color w:val="auto"/>
        </w:rPr>
      </w:pPr>
    </w:p>
    <w:p>
      <w:pPr>
        <w:ind w:right="40" w:firstLine="639"/>
        <w:spacing w:after="0" w:line="252" w:lineRule="auto"/>
        <w:rPr>
          <w:sz w:val="20"/>
          <w:szCs w:val="20"/>
          <w:color w:val="auto"/>
        </w:rPr>
      </w:pPr>
      <w:r>
        <w:rPr>
          <w:rFonts w:ascii="Arial" w:cs="Arial" w:eastAsia="Arial" w:hAnsi="Arial"/>
          <w:sz w:val="18"/>
          <w:szCs w:val="18"/>
          <w:color w:val="auto"/>
        </w:rPr>
        <w:t>For our mobile games, the Apple app store for iOS and third-party Android app stores such as Qihoo 360 Mobile, Xiaomi, UCWeb and Baidu are the dominant distribution channels in China. In addition, to leverage our existing user bases, we also publish our mobile games through our websites and other Internet and mobile platforms. Mobile users in China have a variety of payment options for our mobile games, including prepaid cards, online payments through app stores and other online payment channels. App stores collect a portion of our revenues for mobile games downloaded through the app store, which is generally 30% for the iOS app store and generally 50% for Android app stores.</w:t>
      </w:r>
    </w:p>
    <w:p>
      <w:pPr>
        <w:spacing w:after="0" w:line="192" w:lineRule="exact"/>
        <w:rPr>
          <w:sz w:val="20"/>
          <w:szCs w:val="20"/>
          <w:color w:val="auto"/>
        </w:rPr>
      </w:pPr>
    </w:p>
    <w:p>
      <w:pPr>
        <w:ind w:right="300" w:firstLine="639"/>
        <w:spacing w:after="0" w:line="273" w:lineRule="auto"/>
        <w:rPr>
          <w:sz w:val="20"/>
          <w:szCs w:val="20"/>
          <w:color w:val="auto"/>
        </w:rPr>
      </w:pPr>
      <w:r>
        <w:rPr>
          <w:rFonts w:ascii="Arial" w:cs="Arial" w:eastAsia="Arial" w:hAnsi="Arial"/>
          <w:sz w:val="17"/>
          <w:szCs w:val="17"/>
          <w:color w:val="auto"/>
        </w:rPr>
        <w:t>We sell game playing time and virtual items to users of the PC-client games that we operate largely in the form of prepaid point cards. Users can purchase virtual prepaid cards online and receive the prepaid point information instantly. We also sell prepaid point cards to users through a wide range of distributors who arrange for our cards to be offered at various retail points in China. We sell prepaid point cards to distributors at a discount off of their face value. The discount for each distributor varies based on that distributor’s volume of point cards purchased.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We believe that the continued enhancement of our customer online shopping experience will promote word-of-mouth referrals and attract repeat customers’ visits and purchases. We direct customers to our online and mobile e-commerce platforms primarily through a number of traditional online and offline channels, such as our sponsored searches, social and online advertising, television advertising and other advertising channels. In December 2018 and January 2019, we opened our first brick-and-mortar Yanxuan store and our flagship Kaola store, respectively, both of which are located in Hangzhou’s popular commercial and business centers. These two stores have, since their respective openings, generated strong interests and attracted tourists and local residents of Hangzhou, proving to be an effective marketing tool as we seek to further scale our e-commerce offerings. We also offer our customers special pricing discounts in connection with promotion activities and strive to expand our products selection to attract more visitors. We aim to continue to attract customers by delivering a satisfying customer experience and increasing our marketing and brand promotion efforts.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firstLine="639"/>
        <w:spacing w:after="0" w:line="257" w:lineRule="auto"/>
        <w:rPr>
          <w:sz w:val="20"/>
          <w:szCs w:val="20"/>
          <w:color w:val="auto"/>
        </w:rPr>
      </w:pPr>
      <w:r>
        <w:rPr>
          <w:rFonts w:ascii="Arial" w:cs="Arial" w:eastAsia="Arial" w:hAnsi="Arial"/>
          <w:sz w:val="18"/>
          <w:szCs w:val="18"/>
          <w:color w:val="auto"/>
        </w:rPr>
        <w:t>We believe the growing number of Internet users in China represents an attractive demographic target for advertisers because it represents an affluent, educated and technically sophisticated market. To capitalize on this advertising opportunity, we maintain a dedicated advertising services sales force, which had 659 sales professionals located in Beijing, Shanghai and Guangzhou as of December 31, 2018.</w:t>
      </w:r>
    </w:p>
    <w:p>
      <w:pPr>
        <w:spacing w:after="0" w:line="188"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In addition, online advertising on our mobile applications and the NetEase websites is also sold through online advertising sales networks and advertising agencies. We believe that our focus on providing widely used services that are designed to appeal to a broad base of Internet users attracts a variety of blue chip advertisers, ranging from technology products to consumer brands.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websites that feature movies or television series, athletic events, conferences, music awards, charity concerts and industry exhibitions.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right="300" w:firstLine="639"/>
        <w:spacing w:after="0" w:line="257" w:lineRule="auto"/>
        <w:rPr>
          <w:sz w:val="20"/>
          <w:szCs w:val="20"/>
          <w:color w:val="auto"/>
        </w:rPr>
      </w:pPr>
      <w:r>
        <w:rPr>
          <w:rFonts w:ascii="Arial" w:cs="Arial" w:eastAsia="Arial" w:hAnsi="Arial"/>
          <w:sz w:val="18"/>
          <w:szCs w:val="18"/>
          <w:color w:val="auto"/>
        </w:rPr>
        <w:t>For our innovative businesses and other online services, content and services are generally provided through mobile applications or their respective websites. Users purchase our services either at a pre-determined package rate or on an item-based basis, and payments are made using third-party online payment platforms or NetEase Pay.</w:t>
      </w:r>
    </w:p>
    <w:p>
      <w:pPr>
        <w:spacing w:after="0" w:line="188"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For a discussion of the seasonality of our revenue, see Item 5 “Operating and Financial Review and Prospects—Revenue—Seasonality of Revenues.”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5" w:lineRule="exact"/>
        <w:rPr>
          <w:sz w:val="20"/>
          <w:szCs w:val="20"/>
          <w:color w:val="auto"/>
        </w:rPr>
      </w:pPr>
    </w:p>
    <w:p>
      <w:pPr>
        <w:ind w:right="300" w:firstLine="639"/>
        <w:spacing w:after="0" w:line="270" w:lineRule="auto"/>
        <w:rPr>
          <w:sz w:val="20"/>
          <w:szCs w:val="20"/>
          <w:color w:val="auto"/>
        </w:rPr>
      </w:pPr>
      <w:r>
        <w:rPr>
          <w:rFonts w:ascii="Arial" w:cs="Arial" w:eastAsia="Arial" w:hAnsi="Arial"/>
          <w:sz w:val="17"/>
          <w:szCs w:val="17"/>
          <w:color w:val="auto"/>
        </w:rPr>
        <w:t>We employ a variety of traditional and online marketing programs and promotional activities to build our brand as part of our overall marketing strategy. We focus on building brand awareness through proactive public relations and traditional and online advertising. We invest in a series of marketing activities to further strengthen our brand image and continue to grow our user base, including partnering with TV, movie and stage production companies as well as book and comic publishers to extend our brand to a broader potential user group. Our marketing campaigns consist of corporate branding and announcements about our services through outdoor, print and online advertisements.</w:t>
      </w:r>
    </w:p>
    <w:p>
      <w:pPr>
        <w:spacing w:after="0" w:line="179" w:lineRule="exact"/>
        <w:rPr>
          <w:sz w:val="20"/>
          <w:szCs w:val="20"/>
          <w:color w:val="auto"/>
        </w:rPr>
      </w:pPr>
    </w:p>
    <w:p>
      <w:pPr>
        <w:ind w:right="100" w:firstLine="639"/>
        <w:spacing w:after="0" w:line="252" w:lineRule="auto"/>
        <w:rPr>
          <w:sz w:val="20"/>
          <w:szCs w:val="20"/>
          <w:color w:val="auto"/>
        </w:rPr>
      </w:pPr>
      <w:r>
        <w:rPr>
          <w:rFonts w:ascii="Arial" w:cs="Arial" w:eastAsia="Arial" w:hAnsi="Arial"/>
          <w:sz w:val="18"/>
          <w:szCs w:val="18"/>
          <w:color w:val="auto"/>
        </w:rPr>
        <w:t>We also conduct in-game marketing campaigns, visible to users playing our online games, in connection with holiday seasons or the commercial launches of new games or expansion packs throughout the year. We have also entered into a number of agreements with third-party promoters of our online game titles. For our e-commerce business, we have participated in various promotional activities throughout the year. For example, we offered discounts and bonus coupons to our customers during the online shopping festivals on June 18, 2018, November 11, 2018 and December 12, 2018, all of which are major online shopping events widely recognized by Chinese consumers.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plan to continue investing in various forms of marketing to further build awareness of our brand and game titles.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5"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We believe that the ability to develop and enhance our services is an integral part of our future success. Our product development efforts and strategies consist of incorporating new technologies from third parties as well as continuing to develop our own proprietary technology in order to produce user-friendly Internet and e-commerce applications, services and technologies for the Chinese market.</w:t>
      </w:r>
    </w:p>
    <w:p>
      <w:pPr>
        <w:spacing w:after="0" w:line="188"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We have utilized and will continue to utilize the products and services of third parties to enhance our platform of technologies and services to provide competitive and diverse Internet, e-commerce and other online services to our users. We also have utilized and will continue to utilize third-party advertisement serving technologies in conjunction with our own proprietary software. In addition, we plan to continue to expand our technologies, services and registered user base through diverse online services developed internally. We will seek to continually improve and enhance our existing services to respond to rapidly evolving competitive and technological conditions. As of December 31, 2018, we had approximately 10,000 programmers, network engineers and graphic designers dedicated to our research and development activities.</w:t>
      </w:r>
    </w:p>
    <w:p>
      <w:pPr>
        <w:spacing w:after="0" w:line="182" w:lineRule="exact"/>
        <w:rPr>
          <w:sz w:val="20"/>
          <w:szCs w:val="20"/>
          <w:color w:val="auto"/>
        </w:rPr>
      </w:pPr>
    </w:p>
    <w:p>
      <w:pPr>
        <w:ind w:right="20" w:firstLine="639"/>
        <w:spacing w:after="0" w:line="264" w:lineRule="auto"/>
        <w:rPr>
          <w:sz w:val="20"/>
          <w:szCs w:val="20"/>
          <w:color w:val="auto"/>
        </w:rPr>
      </w:pPr>
      <w:r>
        <w:rPr>
          <w:rFonts w:ascii="Arial" w:cs="Arial" w:eastAsia="Arial" w:hAnsi="Arial"/>
          <w:sz w:val="17"/>
          <w:szCs w:val="17"/>
          <w:color w:val="auto"/>
        </w:rPr>
        <w:t>Our major area of focus is the development of our proprietary online games (including introducing new types of games) and localizing licensed games, and we plan to continue this focus in the future. We have multiple studios of game developers established to research and develop new games and expansion packs. In developing a new game or expansion pack, game developers create proposals for the game theme and design, and then construct prototypes for management to review and approve. Subsequently, our quality control staff, as well as volunteer players, conduct limited beta testing for the new game designs and expansion packs. Based on analysis of the feedback provided by the quality control staff and volunteer players, our game developers refine the game designs and expansion packs and then initiate unlimited beta testing, by which time the game becomes available to the public. For games using the time-based revenue model, no revenue is collected from users during unlimited beta testing until commercial launch of the game. However, for games using the item-based revenue model, users in the unlimited beta testing can purchase in-game items, which allow those games to start generating revenue from the unlimited beta testing phase onwards. Accordingly, for item-based games, the beginning of unlimited beta testing is sometimes considered to be the commercial launch of the game. Our game developers further improve the new game designs and expansion packs as necessary based on user statistics and feedback gathered from unlimited beta testing. User statistics gathered from limited beta and unlimited beta testing results are compared with existing games, which enables us to assess the potential for success of the new games and expansion packs and to plan the network infrastructure and marketing efforts required to support each new game or expansion pack.</w:t>
      </w:r>
    </w:p>
    <w:p>
      <w:pPr>
        <w:spacing w:after="0" w:line="188" w:lineRule="exact"/>
        <w:rPr>
          <w:sz w:val="20"/>
          <w:szCs w:val="20"/>
          <w:color w:val="auto"/>
        </w:rPr>
      </w:pPr>
    </w:p>
    <w:p>
      <w:pPr>
        <w:ind w:right="440" w:firstLine="639"/>
        <w:spacing w:after="0" w:line="267" w:lineRule="auto"/>
        <w:rPr>
          <w:sz w:val="20"/>
          <w:szCs w:val="20"/>
          <w:color w:val="auto"/>
        </w:rPr>
      </w:pPr>
      <w:r>
        <w:rPr>
          <w:rFonts w:ascii="Arial" w:cs="Arial" w:eastAsia="Arial" w:hAnsi="Arial"/>
          <w:sz w:val="18"/>
          <w:szCs w:val="18"/>
          <w:color w:val="auto"/>
        </w:rPr>
        <w:t>In connection with our game development activities, we occasionally license specific game technologies which we incorporate into our internally developed games.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TECHNOLOGY</w:t>
      </w:r>
    </w:p>
    <w:p>
      <w:pPr>
        <w:spacing w:after="0" w:line="225" w:lineRule="exact"/>
        <w:rPr>
          <w:sz w:val="20"/>
          <w:szCs w:val="20"/>
          <w:color w:val="auto"/>
        </w:rPr>
      </w:pPr>
    </w:p>
    <w:p>
      <w:pPr>
        <w:ind w:right="260" w:firstLine="639"/>
        <w:spacing w:after="0" w:line="291" w:lineRule="auto"/>
        <w:rPr>
          <w:sz w:val="20"/>
          <w:szCs w:val="20"/>
          <w:color w:val="auto"/>
        </w:rPr>
      </w:pPr>
      <w:r>
        <w:rPr>
          <w:rFonts w:ascii="Arial" w:cs="Arial" w:eastAsia="Arial" w:hAnsi="Arial"/>
          <w:sz w:val="16"/>
          <w:szCs w:val="16"/>
          <w:color w:val="auto"/>
        </w:rPr>
        <w:t>Our infrastructure and technology have been designed for reliability, scalability and flexibility and are administered by our technical staff. The NetEase websites and other online and mobile platforms are made available primarily through network servers co-located in the facilities of China Unicom’s Beijing affiliate and China Telecom’s Beijing affiliates. As of December 31, 2018, there were approximately 106,000 of such co-located servers, including servers supporting the operation of the games licensed to Shanghai EaseNet by Blizzard, operating with Web server software from Apache and Netscape and using leased dedicated lines from China Net Center and various affiliates of China Unicom and China Telecom.</w:t>
      </w:r>
    </w:p>
    <w:p>
      <w:pPr>
        <w:spacing w:after="0" w:line="163" w:lineRule="exact"/>
        <w:rPr>
          <w:sz w:val="20"/>
          <w:szCs w:val="20"/>
          <w:color w:val="auto"/>
        </w:rPr>
      </w:pPr>
    </w:p>
    <w:p>
      <w:pPr>
        <w:ind w:right="180" w:firstLine="639"/>
        <w:spacing w:after="0" w:line="267" w:lineRule="auto"/>
        <w:rPr>
          <w:sz w:val="20"/>
          <w:szCs w:val="20"/>
          <w:color w:val="auto"/>
        </w:rPr>
      </w:pPr>
      <w:r>
        <w:rPr>
          <w:rFonts w:ascii="Arial" w:cs="Arial" w:eastAsia="Arial" w:hAnsi="Arial"/>
          <w:sz w:val="18"/>
          <w:szCs w:val="18"/>
          <w:color w:val="auto"/>
        </w:rPr>
        <w:t>In addition, we also develop our own systems to facilitate sales planning, targeting, trafficking, inventory management and reporting tools, as well as advertisement and search tracking systems for our advertising and search services.</w:t>
      </w:r>
    </w:p>
    <w:p>
      <w:pPr>
        <w:spacing w:after="0" w:line="179" w:lineRule="exact"/>
        <w:rPr>
          <w:sz w:val="20"/>
          <w:szCs w:val="20"/>
          <w:color w:val="auto"/>
        </w:rPr>
      </w:pPr>
    </w:p>
    <w:p>
      <w:pPr>
        <w:ind w:right="40" w:firstLine="639"/>
        <w:spacing w:after="0" w:line="253" w:lineRule="auto"/>
        <w:rPr>
          <w:sz w:val="20"/>
          <w:szCs w:val="20"/>
          <w:color w:val="auto"/>
        </w:rPr>
      </w:pPr>
      <w:r>
        <w:rPr>
          <w:rFonts w:ascii="Arial" w:cs="Arial" w:eastAsia="Arial" w:hAnsi="Arial"/>
          <w:sz w:val="18"/>
          <w:szCs w:val="18"/>
          <w:color w:val="auto"/>
        </w:rPr>
        <w:t>We use Oracle’s database systems to manage our registered user database. NetEase has established a comprehensive user profile system, and we analyze user information on a weekly basis. We also deploy a single sign-on system that allows users to easily access our services within the NetEase websites. We intend to continue to use a combination of internally developed software products as well as third-party products to enhance our Internet media services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ind w:right="140" w:firstLine="639"/>
        <w:spacing w:after="0" w:line="267" w:lineRule="auto"/>
        <w:rPr>
          <w:sz w:val="20"/>
          <w:szCs w:val="20"/>
          <w:color w:val="auto"/>
        </w:rPr>
      </w:pPr>
      <w:r>
        <w:rPr>
          <w:rFonts w:ascii="Arial" w:cs="Arial" w:eastAsia="Arial" w:hAnsi="Arial"/>
          <w:sz w:val="17"/>
          <w:szCs w:val="17"/>
          <w:color w:val="auto"/>
        </w:rPr>
        <w:t>A number of companies offer competitive products or services in China, our main operating market. Specifically, we are encountering competition from companies offering various online games that target the China market, such as Tencent, Changyou.com Limited, Giant Interactive Group Inc., Shanda Games Limited, and Perfect World Company Limited. We also face competition from other websites that offer online content and online community services, including Tencent, Baidu, Alibaba, Sina, Sohu, Qihoo, iFeng.com, and other vertical Internet media. In addition, we face competition for our e-commerce businesses from other companies such as Alibaba, JD.com, Mijia Youpin and Vipshop Holdings Limited. Some of our existing and potential competitors in these areas have significantly greater financial and marketing resources than we do. In addition, we believe that many of our competitors have become more active in both licensing foreign-developed games and developing games in-house.</w:t>
      </w:r>
    </w:p>
    <w:p>
      <w:pPr>
        <w:spacing w:after="0" w:line="183"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We also believe that competition in the online advertising industry in China is intense with numerous competitors such as Baidu, Sina, Sohu, Tencent, Alibaba, Qihoo, iFeng.com and ByteDance, as well as other vertical Internet media. In addition, we face competition from Internet media operated by multinational Internet companies such as Yahoo! Inc., Microsoft Corporation and Google Inc. which provide Chinese language service offerings.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We also compete with traditional forms of media for advertising-related revenue.</w:t>
      </w:r>
    </w:p>
    <w:p>
      <w:pPr>
        <w:spacing w:after="0" w:line="167" w:lineRule="exact"/>
        <w:rPr>
          <w:sz w:val="20"/>
          <w:szCs w:val="20"/>
          <w:color w:val="auto"/>
        </w:rPr>
      </w:pPr>
    </w:p>
    <w:p>
      <w:pPr>
        <w:ind w:right="300" w:firstLine="639"/>
        <w:spacing w:after="0" w:line="267" w:lineRule="auto"/>
        <w:rPr>
          <w:sz w:val="20"/>
          <w:szCs w:val="20"/>
          <w:color w:val="auto"/>
        </w:rPr>
      </w:pPr>
      <w:r>
        <w:rPr>
          <w:rFonts w:ascii="Arial" w:cs="Arial" w:eastAsia="Arial" w:hAnsi="Arial"/>
          <w:sz w:val="18"/>
          <w:szCs w:val="18"/>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320" w:firstLine="639"/>
        <w:spacing w:after="0" w:line="270" w:lineRule="auto"/>
        <w:rPr>
          <w:sz w:val="20"/>
          <w:szCs w:val="20"/>
          <w:color w:val="auto"/>
        </w:rPr>
      </w:pPr>
      <w:r>
        <w:rPr>
          <w:rFonts w:ascii="Arial" w:cs="Arial" w:eastAsia="Arial" w:hAnsi="Arial"/>
          <w:sz w:val="17"/>
          <w:szCs w:val="17"/>
          <w:color w:val="auto"/>
        </w:rPr>
        <w:t>The Chinese government has enacted an extensive regulatory scheme governing the operation of Internet-related businesses, such as telecommunications, Internet information services, and international connection to computer information networks, information security and censorship. In addition to MII, the various services of the PRC Internet industry are regulated by various governmental authorities, such as the SAIC, the State Council Information Office, or SCIO, the Ministry of Education, or MOE, the Ministry of Health, or MOH, the State Food and Drug Administration, or SFDA, the MOCT, the SART, the Ministry of Commerce, the Ministry of Public Security and the CAC.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540" w:firstLine="639"/>
        <w:spacing w:after="0" w:line="291" w:lineRule="auto"/>
        <w:rPr>
          <w:sz w:val="20"/>
          <w:szCs w:val="20"/>
          <w:color w:val="auto"/>
        </w:rPr>
      </w:pPr>
      <w:r>
        <w:rPr>
          <w:rFonts w:ascii="Arial" w:cs="Arial" w:eastAsia="Arial" w:hAnsi="Arial"/>
          <w:sz w:val="16"/>
          <w:szCs w:val="16"/>
          <w:color w:val="auto"/>
        </w:rPr>
        <w:t>In September 2000, China’s State Council promulgated the Telecommunications Regulations of the People’s Republic of China, or the Telecom Regulations, which was revised in February 2016. The Telecom Regulations categorized all telecommunications businesses in China as either basic telecommunications businesses or value-added telecommunications businesses, with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63" w:lineRule="exact"/>
        <w:rPr>
          <w:sz w:val="20"/>
          <w:szCs w:val="20"/>
          <w:color w:val="auto"/>
        </w:rPr>
      </w:pPr>
    </w:p>
    <w:p>
      <w:pPr>
        <w:ind w:firstLine="639"/>
        <w:spacing w:after="0" w:line="283" w:lineRule="auto"/>
        <w:rPr>
          <w:sz w:val="20"/>
          <w:szCs w:val="20"/>
          <w:color w:val="auto"/>
        </w:rPr>
      </w:pPr>
      <w:r>
        <w:rPr>
          <w:rFonts w:ascii="Arial" w:cs="Arial" w:eastAsia="Arial" w:hAnsi="Arial"/>
          <w:sz w:val="16"/>
          <w:szCs w:val="16"/>
          <w:color w:val="auto"/>
        </w:rPr>
        <w:t>In December 2001, in order to comply with China’s commitments with respect to its entry into the WTO, the State Council promulgated the Regulation for the Administration of Foreign-invested Telecommunications Enterprises, or the FITE Regulations, which was revised in February 2016. The FITE Regulations set forth detailed requirements with respect to capitalization, investor qualifications and application procedures in connection with the establishment of a foreign invested telecom enterprise. Pursuant to the FITE Regulations, foreign investors may hold an aggregate of no more than 50% of the total equity in any value-added telecommunications business in China, with the one exception set forth in the Notice of the Ministry of Industry and Information Technology on Removing the Restrictions on Foreign Equity Ratios in Online Data Processing and Transaction Processing (Operating E-commerce) Business issued by MII in June 2015, pursuant to which, foreign investors may hold up to 100% of the total equity in online data processing and transaction processing businesses. However, the FITE Regulations do not define the “online data processing and transaction processing business,” and its interpretation and enforcement involve significant uncertainties. Therefore, we cannot assure you whether our online retail business and distribution of online information falls into the “online data processing and transaction processing business” category and whether we are permitted to conduct such value-added telecommunications services in the PRC through our subsidiaries in which foreign investors own more than 50% of the equity interests.</w:t>
      </w:r>
    </w:p>
    <w:p>
      <w:pPr>
        <w:spacing w:after="0" w:line="171"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The Circular of the MII on Intensifying the Administration of Foreign Investment in Value-Added Telecommunication Services, or the 2006 MII Circular, was promulgated by MII on July 13, 2006. The 2006 MII Circular provides that (i) any domain name used by a valued—added telecom service provider must be legally owned by the service provider or its shareholder(s); (ii) any trademark used by a value-added telecom service provider must be legally owned by the service provider or its shareholder(s); (iii) the operation site and facilities of a value-added telecom service provider must be installed within the scope as prescribed by the operating licenses obtained by the service provider and must correspond to the value-added telecom services that the service provider has been approved to provide; and (iv) a value-added telecom service provider must establish or improve the measures of ensuring information security. Companies which have obtained operating licenses for value-added telecom services are required to conduct a self-examination and self-correction according to the foregoing requirements and report the results of such self-examination and self-correction to MII. To comply with these requirements, Guangzhou NetEase submitted its self-correction report to MII in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Regulations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Internet Information Services</w:t>
      </w:r>
    </w:p>
    <w:p>
      <w:pPr>
        <w:spacing w:after="0" w:line="219" w:lineRule="exact"/>
        <w:rPr>
          <w:sz w:val="20"/>
          <w:szCs w:val="20"/>
          <w:color w:val="auto"/>
        </w:rPr>
      </w:pPr>
    </w:p>
    <w:p>
      <w:pPr>
        <w:ind w:firstLine="639"/>
        <w:spacing w:after="0" w:line="283" w:lineRule="auto"/>
        <w:rPr>
          <w:sz w:val="20"/>
          <w:szCs w:val="20"/>
          <w:color w:val="auto"/>
        </w:rPr>
      </w:pPr>
      <w:r>
        <w:rPr>
          <w:rFonts w:ascii="Arial" w:cs="Arial" w:eastAsia="Arial" w:hAnsi="Arial"/>
          <w:sz w:val="16"/>
          <w:szCs w:val="16"/>
          <w:color w:val="auto"/>
        </w:rPr>
        <w:t>The Measures for the Administration of Internet Information Services, or the ICP Measures, issued by the State Council went into effect on September 25, 2000 and was revised on January 8, 2011. Under the ICP Measures, any entity that provides information to Internet users must obtain an operating license from MII or its local branch at the provincial level in accordance with the Telecom Regulations described above. To provide these services in compliance with all the relevant ICP-related Chinese regulations, Guangzhou NetEase successfully obtained an ICP license issued by the Guangdong Provincial Telecommunications Bureau. Subsequently, Guangzhou NetEase obtained a Value-Added Telecom Business Operating License from the Guangdong Provincial Telecommunications Bureau, which replaced its ICP license and authorizes Guangzhou NetEase to provide Internet information services. Guangzhou NetEase obtained an Inter-Provincial Value-Added Telecommunications Business Operating License from MII, which specifically authorizes it to provide value-added telecommunications services (excluding fixed line phone call information services and Internet information services). Also, Shanghai EaseNet, Youdao Computer, Hangzhou Leihuo, Zhejiang Yixin Science &amp; Technology Co., Ltd, Wangyibao, Ujia E-commerce Co., Ltd., or Ujia, Zhoushan Bole Technology Co., Ltd., or Zhoushan Bole, NetEase Advertising, Hangzhou Bobo Technology Co., Ltd., or Hangzhou Bobo and certain other affiliated entities have each obtained a Value-Added Telecommunications Business Operating License issued by a relevant Provincial Telecommunications Bureau.</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firstLine="639"/>
        <w:spacing w:after="0" w:line="251" w:lineRule="auto"/>
        <w:rPr>
          <w:sz w:val="20"/>
          <w:szCs w:val="20"/>
          <w:color w:val="auto"/>
        </w:rPr>
      </w:pPr>
      <w:r>
        <w:rPr>
          <w:rFonts w:ascii="Arial" w:cs="Arial" w:eastAsia="Arial" w:hAnsi="Arial"/>
          <w:sz w:val="18"/>
          <w:szCs w:val="18"/>
          <w:color w:val="auto"/>
        </w:rPr>
        <w:t>The Provisional Regulations for the Administration of Website Operation of News Publications, which were jointly issued by SCIO and MII on November 17, 2000, stipulate that websites of non-news organizations shall not publish news items produced by themselves and require the websites of non-news organizations to be approved by SCIO after securing permission from SCIO at the provincial level. On September 25, 2005, the Regulations for the Administration of Internet News Information Services were promulgated jointly by SCIO and MII. The regulations require that any ICP operator that is a non-news organization but engaged in Internet news information services must obtain approval for those services from SCIO. NetEase Advertising has obtained an Internet News Information Service License from SCIO.</w:t>
      </w:r>
    </w:p>
    <w:p>
      <w:pPr>
        <w:spacing w:after="0" w:line="193" w:lineRule="exact"/>
        <w:rPr>
          <w:sz w:val="20"/>
          <w:szCs w:val="20"/>
          <w:color w:val="auto"/>
        </w:rPr>
      </w:pPr>
    </w:p>
    <w:p>
      <w:pPr>
        <w:ind w:firstLine="639"/>
        <w:spacing w:after="0" w:line="281" w:lineRule="auto"/>
        <w:rPr>
          <w:sz w:val="20"/>
          <w:szCs w:val="20"/>
          <w:color w:val="auto"/>
        </w:rPr>
      </w:pPr>
      <w:r>
        <w:rPr>
          <w:rFonts w:ascii="Arial" w:cs="Arial" w:eastAsia="Arial" w:hAnsi="Arial"/>
          <w:sz w:val="16"/>
          <w:szCs w:val="16"/>
          <w:color w:val="auto"/>
        </w:rPr>
        <w:t>In December 2016, the MOC (later superseded by the MOCT) issued the Circular on the Administrative Measures for Business Activities Relating to Online Performance, pursuant to which an Internet platform operator who creates access for online performers shall (i) apply for a Network Culture Operation License with the relevant provincial-level authority; (ii) notify the MOC of any access or performance channels created for domestic performers within ten days; and (iii) submit an application to the MOC before creating any access or performance channels for foreign performers. As of the date of this annual report, Guangzhou NetEase and our certain other affiliated entities have each obtained the Network Culture Operation Licenses. In addition, the SART (formerly known as the State Administration of Radio, Film and Television, or the SARFT, and the SAPPRFT) issued a Notice on Strengthening the Management of Live-Streaming Service for the Network Audio-visual Programs in September 2016, pursuant to which an Internet live-streaming service provider shall (i) provide necessary censorship on the content of such live-stream; (ii) establish a mechanism to timely identify unlawful contents, prevent them from being distributed and replace them with backup programs; and (iii) record the live-streaming program and keep such records for at least 60 days. Shortly after this notice, the State Internet Information Office promulgated the Administrative Provisions on Internet Live-Streaming Services in November 2016, pursuant to which an Internet live-streaming service provider shall (i) establish a live-streaming content review platform; (ii) require authentication for the registration of live-streaming content providers; and (iii) enter into a service agreement with live-streaming content providers to specify each of the live-streaming service provider’s and the content provider’s rights and obligations. If an ICP who provides information services through mobile applications violates these regulations, mobile application stores through which the ICP distributes its applications may issue warnings, suspend the release of its applications, terminate the sale of its applications, and/or report the violations to governmental authorities.</w:t>
      </w:r>
    </w:p>
    <w:p>
      <w:pPr>
        <w:spacing w:after="0" w:line="179" w:lineRule="exact"/>
        <w:rPr>
          <w:sz w:val="20"/>
          <w:szCs w:val="20"/>
          <w:color w:val="auto"/>
        </w:rPr>
      </w:pPr>
    </w:p>
    <w:p>
      <w:pPr>
        <w:ind w:right="80" w:firstLine="639"/>
        <w:spacing w:after="0" w:line="266" w:lineRule="auto"/>
        <w:rPr>
          <w:sz w:val="20"/>
          <w:szCs w:val="20"/>
          <w:color w:val="auto"/>
        </w:rPr>
      </w:pPr>
      <w:r>
        <w:rPr>
          <w:rFonts w:ascii="Arial" w:cs="Arial" w:eastAsia="Arial" w:hAnsi="Arial"/>
          <w:sz w:val="17"/>
          <w:szCs w:val="17"/>
          <w:color w:val="auto"/>
        </w:rPr>
        <w:t>In 2017, the CAC promulgated the Provisions for Internet-based News Information Services 2017 and its implementing rules, both of which became effective on June 1, 2017. The Provisions for Internet-based News Information Services 2017 require any party that provides Internet-based news information services to the public through online live streaming to obtain a permit for such news information services and restricts any party from carrying out such activities without a permit or beyond the scope indicated on the permit. In addition, the Provisions for Internet-based News Information Services 2017 prohibit organizations from establishing foreign, partially or wholly, entities from investing or operating Internet-based news information services. The CAC and the local cyberspace administrative offices are responsible for the supervision, management and inspection of such Internet-based news information services. We believe we are in compliance with such provisions and implementing rules because our news information services are conducted by one of our VIE companies through contractual arrangements.</w:t>
      </w:r>
    </w:p>
    <w:p>
      <w:pPr>
        <w:spacing w:after="0" w:line="185" w:lineRule="exact"/>
        <w:rPr>
          <w:sz w:val="20"/>
          <w:szCs w:val="20"/>
          <w:color w:val="auto"/>
        </w:rPr>
      </w:pPr>
    </w:p>
    <w:p>
      <w:pPr>
        <w:ind w:right="20" w:firstLine="639"/>
        <w:spacing w:after="0" w:line="252" w:lineRule="auto"/>
        <w:rPr>
          <w:sz w:val="20"/>
          <w:szCs w:val="20"/>
          <w:color w:val="auto"/>
        </w:rPr>
      </w:pPr>
      <w:r>
        <w:rPr>
          <w:rFonts w:ascii="Arial" w:cs="Arial" w:eastAsia="Arial" w:hAnsi="Arial"/>
          <w:sz w:val="18"/>
          <w:szCs w:val="18"/>
          <w:color w:val="auto"/>
        </w:rPr>
        <w:t>In November 2018, the CAC published the Provisions on the Safety Assessment for Internet Information Services Capable of Creating Public Opinions or Social Mobilization. These provisions require certain Internet information service providers to conduct safety assessment in relation to the (i) the legal compliance status of their information services, new technologies and new applications, (ii) effectiveness of their implementation of safety measures as required by applicable laws and regulations, and (iii) effectiveness of their safety and risk control measures. We have submitted the assessment report accordingly as of the date of this annual report.</w:t>
      </w:r>
    </w:p>
    <w:p>
      <w:pPr>
        <w:spacing w:after="0" w:line="192" w:lineRule="exact"/>
        <w:rPr>
          <w:sz w:val="20"/>
          <w:szCs w:val="20"/>
          <w:color w:val="auto"/>
        </w:rPr>
      </w:pPr>
    </w:p>
    <w:p>
      <w:pPr>
        <w:ind w:right="80" w:firstLine="639"/>
        <w:spacing w:after="0" w:line="249" w:lineRule="auto"/>
        <w:rPr>
          <w:sz w:val="20"/>
          <w:szCs w:val="20"/>
          <w:color w:val="auto"/>
        </w:rPr>
      </w:pPr>
      <w:r>
        <w:rPr>
          <w:rFonts w:ascii="Arial" w:cs="Arial" w:eastAsia="Arial" w:hAnsi="Arial"/>
          <w:sz w:val="18"/>
          <w:szCs w:val="18"/>
          <w:color w:val="auto"/>
        </w:rPr>
        <w:t>On June 27, 2002, MII and GAPP (later superseded by the SART) jointly promulgated the Provisional Measures for the Administration of Internet Publishing, which was replaced by the Rules for the Administration of Online Publishing Service jointly issued by SAPPRFT (later superseded by the SART) and MII that became effective on March 10, 2016. These provisional measures require Internet publishers to secure approval from the SAPPRFT (later superseded by the SART) for their operations. The term “Internet publishing” is defined as an act of online dissemination whereby Internet information service providers select, edit and process contents created by themselves or others (including contents from books, newspapers, periodicals, audio and video products, electronic publications that have already been formally published or works that have been made public in other media format) and subsequently post the same on the Internet or transmit the same to users via the Internet. Guangzhou NetEase has obtained a license from the SAPPRFT (later superseded by the SART) to engage in Internet publishing.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On July 8, 2004, SFDA issued the Measures for the Administration of Internet Drug Information Services, which stipulate that websites publishing drug-related information must obtain a license from local food and drug administrations. Guangzhou NetEase has obtained a license for publishing drug-related information from the Guangdong Food and Drug Administration.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the Measures for the Administration of Internet E-mail Services, or the Internet E-mail Measures, which were issued by MII 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February 20, 2006, e-mail service providers must obtain value-added telecommunications business operating licenses or file for recordation as nonprofit Internet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service providers. In addition, each e-mail service provider must keep a record of the timing, sender’s or recipient’s e-mail address and IP address of each 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mail transmitted through its servers for 60 days. The Internet E-mail Measures also state that an Internet e-mail service provider is obligated to keep</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confidential the users’ personal registered information and Internet e-mail addresses. An Internet e-mail service provider and its employees may not illegally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use any user’s personal registered information or Internet e-mail address and may not, without consent of the user, divulge the user’s personal registered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Internet e-mail address, unless otherwise prescribed by another law or administrative regulation. Guangzhou NetEase has obtained an Inter-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Provincial Value-Added Telecommunications Business Operating License.</w:t>
      </w:r>
    </w:p>
    <w:p>
      <w:pPr>
        <w:spacing w:after="0" w:line="208" w:lineRule="exact"/>
        <w:rPr>
          <w:sz w:val="20"/>
          <w:szCs w:val="20"/>
          <w:color w:val="auto"/>
        </w:rPr>
      </w:pPr>
    </w:p>
    <w:p>
      <w:pPr>
        <w:ind w:right="120" w:firstLine="639"/>
        <w:spacing w:after="0" w:line="273" w:lineRule="auto"/>
        <w:rPr>
          <w:sz w:val="20"/>
          <w:szCs w:val="20"/>
          <w:color w:val="auto"/>
        </w:rPr>
      </w:pPr>
      <w:r>
        <w:rPr>
          <w:rFonts w:ascii="Arial" w:cs="Arial" w:eastAsia="Arial" w:hAnsi="Arial"/>
          <w:sz w:val="17"/>
          <w:szCs w:val="17"/>
          <w:color w:val="auto"/>
        </w:rPr>
        <w:t>The SARFT (later superseded by the SART) and MII jointly issued the Regulations for the Administration of Internet Audiovisual Program Services, or the Audiovisual Regulations, on December 20, 2007, which was revised on August 28, 2015, require that online audio and video service providers must obtain a permit from SAPPRFT (later superseded by the SART) in accordance with the Audiovisual Regulations. Guangzhou NetEase has obtained the Permit for the Network Transmission of Audiovisual Programs issued by the SAPPRFT (later superseded by the SART).</w:t>
      </w:r>
    </w:p>
    <w:p>
      <w:pPr>
        <w:spacing w:after="0" w:line="176"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On September 3, 2009, the MOC (later superseded by the MOCT) issued its Notice on Strengthening and Improving the Content Censorship of Online Music Content. According to this notice, only entities approved by the MOC (later superseded by the MOCT) for an Internet Culture Operating License may engage in the production, release, dissemination (including providing direct links to music products) and importation of online music products. In addition, the notice also requires all domestic music products to be filed with the MOC (later superseded by the MOCT) within 30 days after being publicly available online. Imported music products must be approved by the MOC (later superseded by the MOCT) before being made available online. On October 23, 2015, the MOC (later superseded by the MOCT) issued its Notice on Further Strengthening and Improving the Management of Online Music Content. According to this notice, the entities should examine and verify the content of online music by themselves, while the culture management administration should supervise in the act and afterwards. Guangzhou NetEase, Shanghai EaseNet, Hangzhou Leihuo, Zhoushan Bole, Ujia, Hangzhou Bobo and certain other affiliated entities have each obtained an Internet Culture Operating License.</w:t>
      </w:r>
    </w:p>
    <w:p>
      <w:pPr>
        <w:spacing w:after="0" w:line="181" w:lineRule="exact"/>
        <w:rPr>
          <w:sz w:val="20"/>
          <w:szCs w:val="20"/>
          <w:color w:val="auto"/>
        </w:rPr>
      </w:pPr>
    </w:p>
    <w:p>
      <w:pPr>
        <w:ind w:right="20" w:firstLine="639"/>
        <w:spacing w:after="0" w:line="284" w:lineRule="auto"/>
        <w:rPr>
          <w:sz w:val="20"/>
          <w:szCs w:val="20"/>
          <w:color w:val="auto"/>
        </w:rPr>
      </w:pPr>
      <w:r>
        <w:rPr>
          <w:rFonts w:ascii="Arial" w:cs="Arial" w:eastAsia="Arial" w:hAnsi="Arial"/>
          <w:sz w:val="16"/>
          <w:szCs w:val="16"/>
          <w:color w:val="auto"/>
        </w:rPr>
        <w:t>On May 4, 2008, the China Banking Regulatory Commission, or CBRC, and PBOC jointly issued the Guiding Opinions of China Banking Regulatory Commission and the People’s Bank of China on the Pilot Operation of Small Loan Companies, or the Guiding Opinions. According to the Guiding Opinions, to apply for setting up a small loan company, the applicant is required to file a formal official application with the competent department of the provincial government, and, upon approval, it shall apply to the local administrative department for industry and commerce for handling the registration formalities and to receive the business license. It is also required to file the relevant materials with the local public security organ, the dispatch office of the CBRC and the branch institution of the PBOC within five working days after approval. The major sources of funds of a small loan company shall be the capital paid by shareholders, donated capital and the capital borrowed from a maximum of two banking financial institutions. The balance of the capital borrowed from banking financial institutions shall not exceed 50% of the net capital within the scope as prescribed by laws and regulations. In addition, the balance of loans granted by a small loan company to a single borrower shall not exceed 5% of the net capital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63" w:lineRule="auto"/>
        <w:rPr>
          <w:sz w:val="20"/>
          <w:szCs w:val="20"/>
          <w:color w:val="auto"/>
        </w:rPr>
      </w:pPr>
      <w:r>
        <w:rPr>
          <w:rFonts w:ascii="Arial" w:cs="Arial" w:eastAsia="Arial" w:hAnsi="Arial"/>
          <w:sz w:val="17"/>
          <w:szCs w:val="17"/>
          <w:color w:val="auto"/>
        </w:rPr>
        <w:t>In addition, on June 14, 2010, the PBOC issued the Measures for the Administration of Non-financial Institutions Engaging in Payment and Settlement Services, or the PBOC Measures, which became effective as of September 1, 2010 and require that non-financial institutions engaging in the business of effecting payments and settlements before June 14, 2010 obtain a permit, Payment Service Permit, from the PBOC by August 31, 2011 to continue such business. On December 1, 2010, the PBOC issued the Implementation Rules for the Measures for the Administration of Non-financial Institutions Engaging in Payment and Settlement Services, or the Implementation Rules for the PBOC Measures, which contains further elaboration with respect to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We have obtained the Payment Service Permit from the PBOC. On December 28, 2015, the PBOC issued the Administrative Measures for Internet Payment Services of Non-banking Payment Institutions, which will take effect on July 1, 2016, which require that non-banking payment institutions shall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such accounts shall be owned by the same client. On January 13, 2017, the PBOC issued the Notice of the PBOC on Matters concerning Implementing the Centralized Deposit of the Funds of Pending Payments of Clients of Payment Institutions, which requires that, beginning on April 17, 2017, a payment institution to deposit a certain percentage of the funds from its clients, pending payment from such clients, in a special deposit account with a designated financial institution where no interest on such percentage of funds shall accrue. This means that beginning on April 17, 2017, we were not able to collect interest on a certain portion of funds that our users have with us through our NetEase Pay payment platform. For other details, see Item 3.D. “Risk Factors—Risks Related to the Telecommunications and Internet Industries in China—Regulatory restrictions on financial transactions may adversely affect the operation and profitability of our business.”</w:t>
      </w:r>
    </w:p>
    <w:p>
      <w:pPr>
        <w:spacing w:after="0" w:line="193"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On December 29, 2011, MII issued Several Provisions on Regulating the Market Order for Internet Information Services, or the Market Order Provisions. According to such provisions, Internet information service providers, or IISPs, are prohibited from a wide range of activities that would infringe upon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the users. Also, IISPs are prohibited from collecting information that is related to the users and can serve to identify the users’ identities solely or in conjunction with other information without the users’ consent or providing other people with such information, unless otherwise permitted or required under laws or administrative regulations. We believe our current operation is in compliance with the Market Order Provisions.</w:t>
      </w:r>
    </w:p>
    <w:p>
      <w:pPr>
        <w:spacing w:after="0" w:line="170" w:lineRule="exact"/>
        <w:rPr>
          <w:sz w:val="20"/>
          <w:szCs w:val="20"/>
          <w:color w:val="auto"/>
        </w:rPr>
      </w:pPr>
    </w:p>
    <w:p>
      <w:pPr>
        <w:ind w:right="220" w:firstLine="639"/>
        <w:spacing w:after="0" w:line="291" w:lineRule="auto"/>
        <w:rPr>
          <w:sz w:val="20"/>
          <w:szCs w:val="20"/>
          <w:color w:val="auto"/>
        </w:rPr>
      </w:pPr>
      <w:r>
        <w:rPr>
          <w:rFonts w:ascii="Arial" w:cs="Arial" w:eastAsia="Arial" w:hAnsi="Arial"/>
          <w:sz w:val="16"/>
          <w:szCs w:val="16"/>
          <w:color w:val="auto"/>
        </w:rPr>
        <w:t>On June 7, 2013, the PBOC issued the Measures for the Custody of Clients’ Reserves of Payment Institutions, or the Clients’ Reserves Measures, which defines Clients’ Reserves as funds actually received by payment institutions when processing payments for clients and payable upon clients order, and requires payment institutions to fully deposit the Clients’ Reserves into a dedicated deposit account held in the custody of banking institutions. On June 29, 2018, the PBOC issued a further notice that required payment institutions to cause up to 100% of the customer reserve funds to be transferred to the above-mentioned account. As of the date of the annual report, NetEase Pay has completed such transfer and is in compliance with the foregoing PBOC measures.</w:t>
      </w:r>
    </w:p>
    <w:p>
      <w:pPr>
        <w:spacing w:after="0" w:line="163" w:lineRule="exact"/>
        <w:rPr>
          <w:sz w:val="20"/>
          <w:szCs w:val="20"/>
          <w:color w:val="auto"/>
        </w:rPr>
      </w:pPr>
    </w:p>
    <w:p>
      <w:pPr>
        <w:ind w:right="280" w:firstLine="639"/>
        <w:spacing w:after="0" w:line="266" w:lineRule="auto"/>
        <w:rPr>
          <w:sz w:val="20"/>
          <w:szCs w:val="20"/>
          <w:color w:val="auto"/>
        </w:rPr>
      </w:pPr>
      <w:r>
        <w:rPr>
          <w:rFonts w:ascii="Arial" w:cs="Arial" w:eastAsia="Arial" w:hAnsi="Arial"/>
          <w:sz w:val="17"/>
          <w:szCs w:val="17"/>
          <w:color w:val="auto"/>
        </w:rPr>
        <w:t>On July 18, 2015, PBOC, MII, Ministry of Public Security, MOF, SAIC, Legislative Affairs Office of the State Council, CBRC, CSRC, China Insurance Regulatory Commission and China Internet Information Technology Office jointly issued the Guiding Opinions on Promoting the Healthy Development of Internet Finance, which was imperative to encourage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39"/>
        <w:spacing w:after="0" w:line="273" w:lineRule="auto"/>
        <w:rPr>
          <w:sz w:val="20"/>
          <w:szCs w:val="20"/>
          <w:color w:val="auto"/>
        </w:rPr>
      </w:pPr>
      <w:r>
        <w:rPr>
          <w:rFonts w:ascii="Arial" w:cs="Arial" w:eastAsia="Arial" w:hAnsi="Arial"/>
          <w:sz w:val="17"/>
          <w:szCs w:val="17"/>
          <w:color w:val="auto"/>
        </w:rPr>
        <w:t>On August 7, 2014, SCIO issued the Interim Provisions on Managing the Development of Public Information Services on Instant Messaging Tools, or the Instant Messaging Interim Provisions, which stipulate that instant messaging tool service providers must enter into an agreement with their users during account registration to require them to abide by “Seven Principals,” including, without limitation, laws and regulations, socialist system principals and social ethics. We believe we have taken the necessary measures to comply with the Instant Messaging Interim Provisions.</w:t>
      </w:r>
    </w:p>
    <w:p>
      <w:pPr>
        <w:spacing w:after="0" w:line="176" w:lineRule="exact"/>
        <w:rPr>
          <w:sz w:val="20"/>
          <w:szCs w:val="20"/>
          <w:color w:val="auto"/>
        </w:rPr>
      </w:pPr>
    </w:p>
    <w:p>
      <w:pPr>
        <w:ind w:firstLine="639"/>
        <w:spacing w:after="0" w:line="286" w:lineRule="auto"/>
        <w:rPr>
          <w:sz w:val="20"/>
          <w:szCs w:val="20"/>
          <w:color w:val="auto"/>
        </w:rPr>
      </w:pPr>
      <w:r>
        <w:rPr>
          <w:rFonts w:ascii="Arial" w:cs="Arial" w:eastAsia="Arial" w:hAnsi="Arial"/>
          <w:sz w:val="16"/>
          <w:szCs w:val="16"/>
          <w:color w:val="auto"/>
        </w:rPr>
        <w:t>On December 28, 2015, MIIT issued the Telecommunication Services Classification Catalogue (2015), replacing the old Telecommunication Services Classification Catalogue (2003), which took effect on March 1, 2016. The 2015 catalogue divides the information services business into five more detailed sub-categories and reclassifies the online data processing and transaction processing services business as a value-added telecom business from basic telecom business category in the 2003 Catalogue. In 2017, MIIT issued the new version of Measures for the Administration of Telecom Business Licensing, or MIIT Measures 2017, which became effective on September 1, 2017. Same as the previous 2009 version, the MIIT Measures 2017 require the companies who are engaged in the telecommunications businesses to have a Telecom Business License. However, the MIIT Measures 2017 removed the previous requirement of record-filing and the trans-regional value-added telecommunications business permit for the operation of such business.</w:t>
      </w:r>
    </w:p>
    <w:p>
      <w:pPr>
        <w:spacing w:after="0" w:line="170" w:lineRule="exact"/>
        <w:rPr>
          <w:sz w:val="20"/>
          <w:szCs w:val="20"/>
          <w:color w:val="auto"/>
        </w:rPr>
      </w:pPr>
    </w:p>
    <w:p>
      <w:pPr>
        <w:ind w:right="20" w:firstLine="639"/>
        <w:spacing w:after="0" w:line="270" w:lineRule="auto"/>
        <w:rPr>
          <w:sz w:val="20"/>
          <w:szCs w:val="20"/>
          <w:color w:val="auto"/>
        </w:rPr>
      </w:pPr>
      <w:r>
        <w:rPr>
          <w:rFonts w:ascii="Arial" w:cs="Arial" w:eastAsia="Arial" w:hAnsi="Arial"/>
          <w:sz w:val="17"/>
          <w:szCs w:val="17"/>
          <w:color w:val="auto"/>
        </w:rPr>
        <w:t>On April 17, 2015, the National Copyright Administration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works.</w:t>
      </w:r>
    </w:p>
    <w:p>
      <w:pPr>
        <w:spacing w:after="0" w:line="179"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On June 28, 2016, the CAC published the first regulation of mobile applications in the PRC, the Administrative Provisions on Information Services for Mobile Internet Applications, or the App Administrative Provisions. These provisions expressly require mobile application providers to obtain the relevant operation licenses and hold the mobile application providers strictly responsible for the implementation of information security management regarding the applications they distribute or operate. The App Administrative Provisions also require mobile application providers to (i) verify the identity and contact information of their registered users, (ii) establish an appropriate mechanism to protect its users’ personal data, (iii) develop an adequate censorship mechanism for any information published through their applications, (iv) protect their users’ rights to be informed if their applications need to gain access to the users’ personal details and refrain from accessing the functions unrelated to the relevant applications without the users’ consent, (v) protect their users’ intellectual property rights, and (vi) maintain internal records of users’ activities.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Information Security and Censorship</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Regulations governing information security and censorship include:</w:t>
      </w:r>
    </w:p>
    <w:p>
      <w:pPr>
        <w:spacing w:after="0" w:line="219" w:lineRule="exact"/>
        <w:rPr>
          <w:sz w:val="20"/>
          <w:szCs w:val="20"/>
          <w:color w:val="auto"/>
        </w:rPr>
      </w:pPr>
    </w:p>
    <w:p>
      <w:pPr>
        <w:ind w:left="620" w:hanging="29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Law of the People’s Republic of China on the Preservation of State Secrets (2010) and its Implementation Rules (2014);</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Counter-espionage Law of the People’s Republic of China (2014);</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of the People’s Republic of China for Protecting the Security of Computer Information Systems (1994, revised in 2011);</w:t>
      </w:r>
    </w:p>
    <w:p>
      <w:pPr>
        <w:spacing w:after="0" w:line="219" w:lineRule="exact"/>
        <w:rPr>
          <w:rFonts w:ascii="Arial" w:cs="Arial" w:eastAsia="Arial" w:hAnsi="Arial"/>
          <w:sz w:val="18"/>
          <w:szCs w:val="18"/>
          <w:color w:val="auto"/>
        </w:rPr>
      </w:pPr>
    </w:p>
    <w:p>
      <w:pPr>
        <w:ind w:left="640" w:right="80" w:hanging="314"/>
        <w:spacing w:after="0" w:line="267" w:lineRule="auto"/>
        <w:tabs>
          <w:tab w:leader="none" w:pos="6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Regulations for the Protection of Secrecy on Computer Information System Connected to International Networks (1997, revised in 2011);</w:t>
      </w:r>
    </w:p>
    <w:p>
      <w:pPr>
        <w:spacing w:after="0" w:line="178" w:lineRule="exact"/>
        <w:rPr>
          <w:rFonts w:ascii="Arial" w:cs="Arial" w:eastAsia="Arial" w:hAnsi="Arial"/>
          <w:sz w:val="18"/>
          <w:szCs w:val="18"/>
          <w:color w:val="auto"/>
        </w:rPr>
      </w:pPr>
    </w:p>
    <w:p>
      <w:pPr>
        <w:ind w:left="620" w:hanging="29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Regulations for the Protection of State Secrets for Computer Information Systems on the Internet (2000);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right="640" w:hanging="314"/>
        <w:spacing w:after="0" w:line="296" w:lineRule="auto"/>
        <w:tabs>
          <w:tab w:leader="none" w:pos="6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Notice issued by the Ministry of Public Security of the People’s Republic of China Regarding Issues Relating to the Implementation of the Administrative Measure for the Security Protection of International Connections to Computer Information Networks (2000);</w:t>
      </w:r>
    </w:p>
    <w:p>
      <w:pPr>
        <w:spacing w:after="0" w:line="157" w:lineRule="exact"/>
        <w:rPr>
          <w:rFonts w:ascii="Arial" w:cs="Arial" w:eastAsia="Arial" w:hAnsi="Arial"/>
          <w:sz w:val="17"/>
          <w:szCs w:val="17"/>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Administrative Measures of the Commercial Website Filings for the Record (2004);</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Decision of the Standing Committee of the National People’s Congress Regarding the Safeguarding of Internet Security (2002);</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on the Technical Measures for the Protection of the Security of the Internet (2006);</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Administrative Regulations for the Classified Protection of Information Security (2007);</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Decision of the Standing Committee of the National People’s Congress on Strengthening Network Information Protection (2012);</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on Protection of Personal Information of Telecommunication and Internet Users (2013);</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Internet User Account Name Management Regulations (2015);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 Security Law of the People’s Republic of China (2017).</w:t>
      </w:r>
    </w:p>
    <w:p>
      <w:pPr>
        <w:spacing w:after="0" w:line="219" w:lineRule="exact"/>
        <w:rPr>
          <w:sz w:val="20"/>
          <w:szCs w:val="20"/>
          <w:color w:val="auto"/>
        </w:rPr>
      </w:pPr>
    </w:p>
    <w:p>
      <w:pPr>
        <w:ind w:firstLine="639"/>
        <w:spacing w:after="0" w:line="296" w:lineRule="auto"/>
        <w:rPr>
          <w:sz w:val="20"/>
          <w:szCs w:val="20"/>
          <w:color w:val="auto"/>
        </w:rPr>
      </w:pPr>
      <w:r>
        <w:rPr>
          <w:rFonts w:ascii="Arial" w:cs="Arial" w:eastAsia="Arial" w:hAnsi="Arial"/>
          <w:sz w:val="17"/>
          <w:szCs w:val="17"/>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157" w:lineRule="exact"/>
        <w:rPr>
          <w:sz w:val="20"/>
          <w:szCs w:val="20"/>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opposes the fundamental principles set forth in China’s Constitution;</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compromises state security, divulges state secrets, subverts state power or damages national unity;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sabotages China’s religious policy or propagates heretical teachings or feudal superstitions;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propagates obscenity, pornography, gambling, violence, murder or fear or incites the commission of crimes;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other content prohibited by laws or administrative regulations.</w:t>
      </w:r>
    </w:p>
    <w:p>
      <w:pPr>
        <w:spacing w:after="0" w:line="219" w:lineRule="exact"/>
        <w:rPr>
          <w:sz w:val="20"/>
          <w:szCs w:val="20"/>
          <w:color w:val="auto"/>
        </w:rPr>
      </w:pPr>
    </w:p>
    <w:p>
      <w:pPr>
        <w:ind w:right="40" w:firstLine="639"/>
        <w:spacing w:after="0" w:line="268" w:lineRule="auto"/>
        <w:rPr>
          <w:sz w:val="20"/>
          <w:szCs w:val="20"/>
          <w:color w:val="auto"/>
        </w:rPr>
      </w:pPr>
      <w:r>
        <w:rPr>
          <w:rFonts w:ascii="Arial" w:cs="Arial" w:eastAsia="Arial" w:hAnsi="Arial"/>
          <w:sz w:val="17"/>
          <w:szCs w:val="17"/>
          <w:color w:val="auto"/>
        </w:rPr>
        <w:t>Failure to comply with these content censorship requirements may result in the revocation of licenses and the closing down of the concerned websites or other online and mobile platforms. To ensure compliance with these regulatory requirements, Guangzhou NetEase has taken all reasonable steps to avoid displaying any of the prohibited content on the NetEase websites and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 Guangzhou NetEase has obtained a Filing and Registration Certificate for Computer Information System Connected to International Networks issued by Guangzhou Public Security Bureau.</w:t>
      </w:r>
    </w:p>
    <w:p>
      <w:pPr>
        <w:spacing w:after="0" w:line="182" w:lineRule="exact"/>
        <w:rPr>
          <w:sz w:val="20"/>
          <w:szCs w:val="20"/>
          <w:color w:val="auto"/>
        </w:rPr>
      </w:pPr>
    </w:p>
    <w:p>
      <w:pPr>
        <w:ind w:right="100" w:firstLine="639"/>
        <w:spacing w:after="0" w:line="252" w:lineRule="auto"/>
        <w:rPr>
          <w:sz w:val="20"/>
          <w:szCs w:val="20"/>
          <w:color w:val="auto"/>
        </w:rPr>
      </w:pPr>
      <w:r>
        <w:rPr>
          <w:rFonts w:ascii="Arial" w:cs="Arial" w:eastAsia="Arial" w:hAnsi="Arial"/>
          <w:sz w:val="18"/>
          <w:szCs w:val="18"/>
          <w:color w:val="auto"/>
        </w:rPr>
        <w:t>On June 22,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 Public Security and its bureaus at provincial level. Guangzhou NetEase has followed the requirements and filed its classification with the Guangzhou Public Security Bureau.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firstLine="639"/>
        <w:spacing w:after="0" w:line="288" w:lineRule="auto"/>
        <w:rPr>
          <w:sz w:val="20"/>
          <w:szCs w:val="20"/>
          <w:color w:val="auto"/>
        </w:rPr>
      </w:pPr>
      <w:r>
        <w:rPr>
          <w:rFonts w:ascii="Arial" w:cs="Arial" w:eastAsia="Arial" w:hAnsi="Arial"/>
          <w:sz w:val="16"/>
          <w:szCs w:val="16"/>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or Personal Information, is protected and no person shall steal, illegally obtain, sell or illegally provide to others any Personal Information. Also, according to the Information Protection Decision, where the network service providers provide website access service, or handle network access formalities for fixed-line telephones or mobile phones, or provide information publication service for their users, they shall require the users to provide authentic identity information when concluding agreement or confirming provision of such service with the users.</w:t>
      </w:r>
    </w:p>
    <w:p>
      <w:pPr>
        <w:spacing w:after="0" w:line="167"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On July 16, 2013, MII issued the Provisions on Protection of Personal Information of Telecommunication and Internet Users, which defines “Personal Information” as information that can identify the user either on its own or in combination with other information that is collected in the course of provision of services by the telecommunication business operators and Internet information service providers, and sets out detailed provisions concerning the collection and utilization of such Personal Information.</w:t>
      </w:r>
    </w:p>
    <w:p>
      <w:pPr>
        <w:spacing w:after="0" w:line="193" w:lineRule="exact"/>
        <w:rPr>
          <w:sz w:val="20"/>
          <w:szCs w:val="20"/>
          <w:color w:val="auto"/>
        </w:rPr>
      </w:pPr>
    </w:p>
    <w:p>
      <w:pPr>
        <w:ind w:right="100" w:firstLine="639"/>
        <w:spacing w:after="0" w:line="270" w:lineRule="auto"/>
        <w:rPr>
          <w:sz w:val="20"/>
          <w:szCs w:val="20"/>
          <w:color w:val="auto"/>
        </w:rPr>
      </w:pPr>
      <w:r>
        <w:rPr>
          <w:rFonts w:ascii="Arial" w:cs="Arial" w:eastAsia="Arial" w:hAnsi="Arial"/>
          <w:sz w:val="17"/>
          <w:szCs w:val="17"/>
          <w:color w:val="auto"/>
        </w:rPr>
        <w:t>On February 4, 2015, the SCIO issued the Internet User Account Name Management Regulations, which defines “Internet User Account Name” as an account name registered or used in Internet information services, including, without limitation, blogs, micro-blogs, instant communication tools, forums and thread comments. Also, according to the Internet User Account Name Management Regulations, Internet information service providers must prohibit their users from using any illegal or harmful information in their account name, avatar, profile or other registration information. We believe we have taken the necessary measures to comply with the Internet User Account Name Management Regulations.</w:t>
      </w:r>
    </w:p>
    <w:p>
      <w:pPr>
        <w:spacing w:after="0" w:line="179" w:lineRule="exact"/>
        <w:rPr>
          <w:sz w:val="20"/>
          <w:szCs w:val="20"/>
          <w:color w:val="auto"/>
        </w:rPr>
      </w:pPr>
    </w:p>
    <w:p>
      <w:pPr>
        <w:ind w:firstLine="639"/>
        <w:spacing w:after="0" w:line="266" w:lineRule="auto"/>
        <w:rPr>
          <w:sz w:val="20"/>
          <w:szCs w:val="20"/>
          <w:color w:val="auto"/>
        </w:rPr>
      </w:pPr>
      <w:r>
        <w:rPr>
          <w:rFonts w:ascii="Arial" w:cs="Arial" w:eastAsia="Arial" w:hAnsi="Arial"/>
          <w:sz w:val="17"/>
          <w:szCs w:val="17"/>
          <w:color w:val="auto"/>
        </w:rPr>
        <w:t>On November 7, 2016, the Standing Committee of the National People’s Congress promulgated the Cyber Security Law, which became effective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the event of any unauthorized disclosure, damage or loss of collected personal information, network operators must take immediate remedial measures, notify the affected users and report the incidents to the relevant authorities in a timely manner. We collect and use our users’ personal information only if our users give their informed consent, and we believe we have taken appropriate measures to protect the security of our users’ personal information.</w:t>
      </w:r>
    </w:p>
    <w:p>
      <w:pPr>
        <w:spacing w:after="0" w:line="181" w:lineRule="exact"/>
        <w:rPr>
          <w:sz w:val="20"/>
          <w:szCs w:val="20"/>
          <w:color w:val="auto"/>
        </w:rPr>
      </w:pPr>
    </w:p>
    <w:p>
      <w:pPr>
        <w:ind w:right="20" w:firstLine="639"/>
        <w:spacing w:after="0" w:line="250" w:lineRule="auto"/>
        <w:rPr>
          <w:sz w:val="20"/>
          <w:szCs w:val="20"/>
          <w:color w:val="auto"/>
        </w:rPr>
      </w:pPr>
      <w:r>
        <w:rPr>
          <w:rFonts w:ascii="Arial" w:cs="Arial" w:eastAsia="Arial" w:hAnsi="Arial"/>
          <w:sz w:val="18"/>
          <w:szCs w:val="18"/>
          <w:color w:val="auto"/>
        </w:rPr>
        <w:t>On April 11, 2017, the CAC released the Draft Measures on Security Assessment of the Cross-Border Transfer of Personal Information and Important Data, or the Draft Cross-Border Transfer Measures, which require personal information and important data collected or produced by network operators during their operations in China to be stored within China. According to the Draft Cross-Border Transfer Measures, assessment by relevant regulatory authority or the national cyberspace authority under certain circumstances must be completed before transferring such data overseas. Furthermore, such data may not be transferred overseas without consent from the concerned individual(s), or if the transfer endangers the interests of individuals or public security. The CAC completed the solicitation of comments on the Draft Cross-Border Transfer Measures in May 2017, but there remains substantial uncertainties with respect to its final content and enactment timetable.</w:t>
      </w:r>
    </w:p>
    <w:p>
      <w:pPr>
        <w:spacing w:after="0" w:line="196" w:lineRule="exact"/>
        <w:rPr>
          <w:sz w:val="20"/>
          <w:szCs w:val="20"/>
          <w:color w:val="auto"/>
        </w:rPr>
      </w:pPr>
    </w:p>
    <w:p>
      <w:pPr>
        <w:ind w:right="40" w:firstLine="639"/>
        <w:spacing w:after="0" w:line="288" w:lineRule="auto"/>
        <w:rPr>
          <w:sz w:val="20"/>
          <w:szCs w:val="20"/>
          <w:color w:val="auto"/>
        </w:rPr>
      </w:pPr>
      <w:r>
        <w:rPr>
          <w:rFonts w:ascii="Arial" w:cs="Arial" w:eastAsia="Arial" w:hAnsi="Arial"/>
          <w:sz w:val="16"/>
          <w:szCs w:val="16"/>
          <w:color w:val="auto"/>
        </w:rPr>
        <w:t>The Administrative Provisions on the Information Services Provided through Official Accounts of Internet Users, the Administrative Provisions on the Administration of Information Services Provided through Chat Groups on the Internet, the Administrative Provisions on Internet Follow-up Comment Services, and the Administrative Provisions on Internet Forum and Community Services each requires that providers of the aforesaid services shall, under the principle of requiring “mandatory registration of legal name of users and encouraged voluntary use of real name as screen name,” authenticate the identity of each of their registered users and take necessary measures to protect their users’ personal identity. To comply with such requirement, we require our users to register with legal names and have implemented certain data security measures to ensure that our users’ personal identities are protected.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w:t>
      </w:r>
    </w:p>
    <w:p>
      <w:pPr>
        <w:spacing w:after="0" w:line="219" w:lineRule="exact"/>
        <w:rPr>
          <w:sz w:val="20"/>
          <w:szCs w:val="20"/>
          <w:color w:val="auto"/>
        </w:rPr>
      </w:pPr>
    </w:p>
    <w:p>
      <w:pPr>
        <w:ind w:right="20" w:firstLine="639"/>
        <w:spacing w:after="0" w:line="251" w:lineRule="auto"/>
        <w:rPr>
          <w:sz w:val="20"/>
          <w:szCs w:val="20"/>
          <w:color w:val="auto"/>
        </w:rPr>
      </w:pPr>
      <w:r>
        <w:rPr>
          <w:rFonts w:ascii="Arial" w:cs="Arial" w:eastAsia="Arial" w:hAnsi="Arial"/>
          <w:sz w:val="18"/>
          <w:szCs w:val="18"/>
          <w:color w:val="auto"/>
        </w:rPr>
        <w:t>Effective as of April 10, 2009, the Measures for the Administration of Software Products, originally issued by MII on October 27, 2000, were amended and replaced by a new version issued by the MII in April 2009. According to these regulations, software products developed in the PRC could be registered with the local provincial government authorities in charge of the information industry and filed with the MII. Subsequently, on February 24, 2015, the Decision of the State Council on a Group of Administrative Approval Items Cancelled or Adjusted and Other Matters was issued which eliminated such registration procedures. Prior to February 24, 2015, all of our online games were registered with MII and its offices at the provincial level in accordance with the prior regulation.</w:t>
      </w:r>
    </w:p>
    <w:p>
      <w:pPr>
        <w:spacing w:after="0" w:line="193" w:lineRule="exact"/>
        <w:rPr>
          <w:sz w:val="20"/>
          <w:szCs w:val="20"/>
          <w:color w:val="auto"/>
        </w:rPr>
      </w:pPr>
    </w:p>
    <w:p>
      <w:pPr>
        <w:ind w:firstLine="639"/>
        <w:spacing w:after="0" w:line="267" w:lineRule="auto"/>
        <w:rPr>
          <w:sz w:val="20"/>
          <w:szCs w:val="20"/>
          <w:color w:val="auto"/>
        </w:rPr>
      </w:pPr>
      <w:r>
        <w:rPr>
          <w:rFonts w:ascii="Arial" w:cs="Arial" w:eastAsia="Arial" w:hAnsi="Arial"/>
          <w:sz w:val="16"/>
          <w:szCs w:val="16"/>
          <w:color w:val="auto"/>
        </w:rPr>
        <w:t>Pursuant to the Provisional Regulations for the Administration of Online Culture promulgated by the MOC (later superseded by the MOCT) in May 2003, which were revised in July 2004, February 2011 and December 2017, online game operators are required to obtain an Internet Culture Operating License from the MOC (later superseded by the MOCT), which Guangzhou NetEase, Shanghai EaseNet and Hangzhou Leihuo and Shanghai NetEase MineWorld Network Technology Co., Ltd., or Shanghai MineWorld, have received. In 2004, the MOC (later superseded by the MOCT) promulgated the Notice Regarding the Strengthening of Online Games Censorship, which provides that imported online games must be reviewed and approved by the MOC (later superseded by the MOCT) before they can be put into public testing or operation. Shanghai EaseNet has obtained MOC (later superseded by the MOCT) approval for Blizzard’s World of Warcraft, including its expansion packs, The Burning Crusade</w:t>
      </w:r>
      <w:r>
        <w:rPr>
          <w:rFonts w:ascii="Arial" w:cs="Arial" w:eastAsia="Arial" w:hAnsi="Arial"/>
          <w:sz w:val="21"/>
          <w:szCs w:val="21"/>
          <w:color w:val="auto"/>
          <w:vertAlign w:val="superscript"/>
        </w:rPr>
        <w:t>®</w:t>
      </w:r>
      <w:r>
        <w:rPr>
          <w:rFonts w:ascii="Arial" w:cs="Arial" w:eastAsia="Arial" w:hAnsi="Arial"/>
          <w:sz w:val="16"/>
          <w:szCs w:val="16"/>
          <w:color w:val="auto"/>
        </w:rPr>
        <w:t>, Wrath of the Lich King</w:t>
      </w:r>
      <w:r>
        <w:rPr>
          <w:rFonts w:ascii="Arial" w:cs="Arial" w:eastAsia="Arial" w:hAnsi="Arial"/>
          <w:sz w:val="21"/>
          <w:szCs w:val="21"/>
          <w:color w:val="auto"/>
          <w:vertAlign w:val="superscript"/>
        </w:rPr>
        <w:t>®</w:t>
      </w:r>
      <w:r>
        <w:rPr>
          <w:rFonts w:ascii="Arial" w:cs="Arial" w:eastAsia="Arial" w:hAnsi="Arial"/>
          <w:sz w:val="16"/>
          <w:szCs w:val="16"/>
          <w:color w:val="auto"/>
        </w:rPr>
        <w:t>, Cataclysm</w:t>
      </w:r>
      <w:r>
        <w:rPr>
          <w:rFonts w:ascii="Arial" w:cs="Arial" w:eastAsia="Arial" w:hAnsi="Arial"/>
          <w:sz w:val="21"/>
          <w:szCs w:val="21"/>
          <w:color w:val="auto"/>
          <w:vertAlign w:val="superscript"/>
        </w:rPr>
        <w:t>®</w:t>
      </w:r>
      <w:r>
        <w:rPr>
          <w:rFonts w:ascii="Arial" w:cs="Arial" w:eastAsia="Arial" w:hAnsi="Arial"/>
          <w:sz w:val="16"/>
          <w:szCs w:val="16"/>
          <w:color w:val="auto"/>
        </w:rPr>
        <w:t>, Mists of Pandaria</w:t>
      </w:r>
      <w:r>
        <w:rPr>
          <w:rFonts w:ascii="Arial" w:cs="Arial" w:eastAsia="Arial" w:hAnsi="Arial"/>
          <w:sz w:val="21"/>
          <w:szCs w:val="21"/>
          <w:color w:val="auto"/>
          <w:vertAlign w:val="superscript"/>
        </w:rPr>
        <w:t>®</w:t>
      </w:r>
      <w:r>
        <w:rPr>
          <w:rFonts w:ascii="Arial" w:cs="Arial" w:eastAsia="Arial" w:hAnsi="Arial"/>
          <w:sz w:val="16"/>
          <w:szCs w:val="16"/>
          <w:color w:val="auto"/>
        </w:rPr>
        <w:t>, Warlords of Draenor</w:t>
      </w:r>
      <w:r>
        <w:rPr>
          <w:rFonts w:ascii="Arial" w:cs="Arial" w:eastAsia="Arial" w:hAnsi="Arial"/>
          <w:sz w:val="21"/>
          <w:szCs w:val="21"/>
          <w:color w:val="auto"/>
          <w:vertAlign w:val="superscript"/>
        </w:rPr>
        <w:t>®</w:t>
      </w:r>
      <w:r>
        <w:rPr>
          <w:rFonts w:ascii="Arial" w:cs="Arial" w:eastAsia="Arial" w:hAnsi="Arial"/>
          <w:sz w:val="16"/>
          <w:szCs w:val="16"/>
          <w:color w:val="auto"/>
        </w:rPr>
        <w:t>, Legion</w:t>
      </w:r>
      <w:r>
        <w:rPr>
          <w:rFonts w:ascii="Arial" w:cs="Arial" w:eastAsia="Arial" w:hAnsi="Arial"/>
          <w:sz w:val="21"/>
          <w:szCs w:val="21"/>
          <w:color w:val="auto"/>
          <w:vertAlign w:val="superscript"/>
        </w:rPr>
        <w:t>®</w:t>
      </w:r>
      <w:r>
        <w:rPr>
          <w:rFonts w:ascii="Arial" w:cs="Arial" w:eastAsia="Arial" w:hAnsi="Arial"/>
          <w:sz w:val="16"/>
          <w:szCs w:val="16"/>
          <w:color w:val="auto"/>
        </w:rPr>
        <w:t>, Battle for Azeroth</w:t>
      </w:r>
      <w:r>
        <w:rPr>
          <w:rFonts w:ascii="Arial" w:cs="Arial" w:eastAsia="Arial" w:hAnsi="Arial"/>
          <w:sz w:val="21"/>
          <w:szCs w:val="21"/>
          <w:color w:val="auto"/>
          <w:vertAlign w:val="superscript"/>
        </w:rPr>
        <w:t>TM</w:t>
      </w:r>
      <w:r>
        <w:rPr>
          <w:rFonts w:ascii="Arial" w:cs="Arial" w:eastAsia="Arial" w:hAnsi="Arial"/>
          <w:sz w:val="16"/>
          <w:szCs w:val="16"/>
          <w:color w:val="auto"/>
        </w:rPr>
        <w:t>, and the StarCraft II series, including Wings of Liberty</w:t>
      </w:r>
      <w:r>
        <w:rPr>
          <w:rFonts w:ascii="Arial" w:cs="Arial" w:eastAsia="Arial" w:hAnsi="Arial"/>
          <w:sz w:val="21"/>
          <w:szCs w:val="21"/>
          <w:color w:val="auto"/>
          <w:vertAlign w:val="superscript"/>
        </w:rPr>
        <w:t>®</w:t>
      </w:r>
      <w:r>
        <w:rPr>
          <w:rFonts w:ascii="Arial" w:cs="Arial" w:eastAsia="Arial" w:hAnsi="Arial"/>
          <w:sz w:val="16"/>
          <w:szCs w:val="16"/>
          <w:color w:val="auto"/>
        </w:rPr>
        <w:t>, Heart of the Swarm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Legacy of the Void</w:t>
      </w:r>
      <w:r>
        <w:rPr>
          <w:rFonts w:ascii="Arial" w:cs="Arial" w:eastAsia="Arial" w:hAnsi="Arial"/>
          <w:sz w:val="21"/>
          <w:szCs w:val="21"/>
          <w:color w:val="auto"/>
          <w:vertAlign w:val="superscript"/>
        </w:rPr>
        <w:t>®</w:t>
      </w:r>
      <w:r>
        <w:rPr>
          <w:rFonts w:ascii="Arial" w:cs="Arial" w:eastAsia="Arial" w:hAnsi="Arial"/>
          <w:sz w:val="16"/>
          <w:szCs w:val="16"/>
          <w:color w:val="auto"/>
        </w:rPr>
        <w:t>, as well as Hearthstone, Heroes of the Storm, Diablo III, Overwatch and StarCraft: Remastered. Shanghai MineWorld has obtained MOC (later superseded by the MOCT) approval for Minecraft. In accordance with such regulation, we are also required to register domestic online games with the MOC (later superseded by the MOCT) after their release. We have accordingly made such registrations with the MOC (later superseded by the MOCT) for our domestic online games, including, for example, Fairy Tales, the New Westward Journey Online II mobile game and the Fantasy Westward Journey mobile game.</w:t>
      </w:r>
    </w:p>
    <w:p>
      <w:pPr>
        <w:spacing w:after="0" w:line="186" w:lineRule="exact"/>
        <w:rPr>
          <w:sz w:val="20"/>
          <w:szCs w:val="20"/>
          <w:color w:val="auto"/>
        </w:rPr>
      </w:pPr>
    </w:p>
    <w:p>
      <w:pPr>
        <w:ind w:right="320" w:firstLine="639"/>
        <w:spacing w:after="0" w:line="304" w:lineRule="auto"/>
        <w:rPr>
          <w:sz w:val="20"/>
          <w:szCs w:val="20"/>
          <w:color w:val="auto"/>
        </w:rPr>
      </w:pPr>
      <w:r>
        <w:rPr>
          <w:rFonts w:ascii="Arial" w:cs="Arial" w:eastAsia="Arial" w:hAnsi="Arial"/>
          <w:sz w:val="16"/>
          <w:szCs w:val="16"/>
          <w:color w:val="auto"/>
        </w:rPr>
        <w:t>On April 24, 2009, the MOC (later superseded by the MOCT) issued a Circular Concerning the Examination and Declaration of Imported Online Game Products. According to this circular, in the event of a change of the operator of an imported online game, the game’s existing import approval will be automatically revoked and the new operator must apply to the MOC (later superseded by the MOCT) for a new approval for the same game.</w:t>
      </w:r>
    </w:p>
    <w:p>
      <w:pPr>
        <w:spacing w:after="0" w:line="153" w:lineRule="exact"/>
        <w:rPr>
          <w:sz w:val="20"/>
          <w:szCs w:val="20"/>
          <w:color w:val="auto"/>
        </w:rPr>
      </w:pPr>
    </w:p>
    <w:p>
      <w:pPr>
        <w:ind w:right="100" w:firstLine="639"/>
        <w:spacing w:after="0" w:line="250" w:lineRule="auto"/>
        <w:rPr>
          <w:sz w:val="20"/>
          <w:szCs w:val="20"/>
          <w:color w:val="auto"/>
        </w:rPr>
      </w:pPr>
      <w:r>
        <w:rPr>
          <w:rFonts w:ascii="Arial" w:cs="Arial" w:eastAsia="Arial" w:hAnsi="Arial"/>
          <w:sz w:val="18"/>
          <w:szCs w:val="18"/>
          <w:color w:val="auto"/>
        </w:rPr>
        <w:t>On June 4, 2009, the MOC (later superseded by the MOCT) and the Ministry of Commerce jointly issued the Notice on Strengthening Administration on Online Game Virtual Currency, or the Online Game Virtual Currency Notice. According to the Online Game Virtual Currency Notice, online game virtual currency should only be used to exchange virtual services provided by the issuing enterprise for a designated extent and time, and is strictly prohibited from being used to pay for or purchase tangible products or any service or product of another enterprise. Also, the Online Game Virtual Currency Notice obligates the issuing enterprise to give users 60 days prior notice and refund in the form of legal tender or other forms acceptable to users in case it plans to terminate the provision of its products or services. We have implemented measures which we believe are necessary to ensure our compliance of the Online Game Virtual Currency Notice.</w:t>
      </w:r>
    </w:p>
    <w:p>
      <w:pPr>
        <w:spacing w:after="0" w:line="196" w:lineRule="exact"/>
        <w:rPr>
          <w:sz w:val="20"/>
          <w:szCs w:val="20"/>
          <w:color w:val="auto"/>
        </w:rPr>
      </w:pPr>
    </w:p>
    <w:p>
      <w:pPr>
        <w:jc w:val="both"/>
        <w:ind w:right="180" w:firstLine="639"/>
        <w:spacing w:after="0" w:line="257" w:lineRule="auto"/>
        <w:rPr>
          <w:sz w:val="20"/>
          <w:szCs w:val="20"/>
          <w:color w:val="auto"/>
        </w:rPr>
      </w:pPr>
      <w:r>
        <w:rPr>
          <w:rFonts w:ascii="Arial" w:cs="Arial" w:eastAsia="Arial" w:hAnsi="Arial"/>
          <w:sz w:val="18"/>
          <w:szCs w:val="18"/>
          <w:color w:val="auto"/>
        </w:rPr>
        <w:t>In addition, for imported online games, the relevant license agreements for such games are required to be registered with the State Copyright Bureau. Shanghai EaseNet has registered the license agreement for World of Warcraft, the StarCraft II series, Hearthstone, Heroes of the Storm, Diablo III, Overwatch and StarCraft: Remastered with the State Copyright Bureau.</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50" w:lineRule="auto"/>
        <w:rPr>
          <w:sz w:val="20"/>
          <w:szCs w:val="20"/>
          <w:color w:val="auto"/>
        </w:rPr>
      </w:pPr>
      <w:r>
        <w:rPr>
          <w:rFonts w:ascii="Arial" w:cs="Arial" w:eastAsia="Arial" w:hAnsi="Arial"/>
          <w:sz w:val="18"/>
          <w:szCs w:val="18"/>
          <w:color w:val="auto"/>
        </w:rPr>
        <w:t>The publication of online games also requires approval from SAPPRFT (later superseded by the SART) in accordance with the Rules for the Administration of Online Publishing Service jointly issued by SAPPRFT (later superseded by the SART) and MII, effective on March 10, 2016, replacing Provisional Rules for the Administration of Internet Publishing jointly promulgated by GAPP (later superseded by the SART) and MII on June 27, 2002. Starting from March 2018, the SART at the national level temporarily suspended its approval of online games, which was later resumed in December 2018. In the first quarter of 2019, the SART published on its website the Online Games Approval Lists. As of the date of this annual report, no government authority has issued or promulgated any further explanation in respect of the game approval procedures at the national SART level or any guidelines relating to the filing with the MOC before commercially launching an online game.</w:t>
      </w:r>
    </w:p>
    <w:p>
      <w:pPr>
        <w:spacing w:after="0" w:line="196" w:lineRule="exact"/>
        <w:rPr>
          <w:sz w:val="20"/>
          <w:szCs w:val="20"/>
          <w:color w:val="auto"/>
        </w:rPr>
      </w:pPr>
    </w:p>
    <w:p>
      <w:pPr>
        <w:ind w:firstLine="639"/>
        <w:spacing w:after="0" w:line="264" w:lineRule="auto"/>
        <w:rPr>
          <w:sz w:val="20"/>
          <w:szCs w:val="20"/>
          <w:color w:val="auto"/>
        </w:rPr>
      </w:pPr>
      <w:r>
        <w:rPr>
          <w:rFonts w:ascii="Arial" w:cs="Arial" w:eastAsia="Arial" w:hAnsi="Arial"/>
          <w:sz w:val="17"/>
          <w:szCs w:val="17"/>
          <w:color w:val="auto"/>
        </w:rPr>
        <w:t>The Online Publishing Service Rules also forbids foreign investments in the online publishing sector. In addition, in April 2007, GAPP (later superseded by the SART) and several other government authorities jointly promulgated the Notice Concerning the Protection of Minors’ Physical and Mental Well-being and Implementation of Anti-addiction System on Online Games (the “Anti-Addiction Notice”), which confirms the real-name verification scheme and anti-addiction system standard made by GAPP (later superseded by the SART) in previous years and requires online game operators to develop and test their anti-addiction systems from April 2007 to July 2007, after which no online games can be registered or operated without an anti-addiction system in accordance with the Anti-Addiction Notice. On July 1, 2011, GAPP (later superseded by the SART) and several other government authorities jointly issued the Notice Regarding the Initiation of Work on the Online Games Real-Name Verification System to Prevent Online Gaming Addiction, which requires that online game operators be responsible for the data registration and identification of online game users, and that online game operators shall duly file unverified user identification information with the Ministry of Public Security’s National Citizen Identity Information Center, or NCIIC, which will be in charge of real-name verification for the national anti-addiction system. In addition, online game operators shall ensure that via the NCIIC real-name verification, users with fraudulent identification data shall be enrolled in the operators’ anti-addiction systems. On July 25, 2014, the SARFT (later superseded by the SART) issued the Notice Regarding the Implementation of the Anti-Addiction and Real-Name Verification System in Online Games, which requires online game operators to submit their real-name verification procedure for online games when applying for publication of online games. We have implemented our anti-addiction system and taken necessary measures to comply with these measures. Since their implementation, we have not experienced a significant negative impact from these measures on our business.</w:t>
      </w:r>
    </w:p>
    <w:p>
      <w:pPr>
        <w:spacing w:after="0" w:line="185"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the MOC, the SARFT and GAPP (the SARFT and GAPP were later superseded by the SART and the MOC was superseded by the MOCT). According to this notice, SAPPRFT (later superseded by the SART) shall be responsible for the examination and approval of those online games made available on the Internet, and once an online game is available on the Internet, it shall be solely and completely administrated by the MOC (later superseded by the MOCT). The notice further clarifies that the SAPPRFT (later superseded by the SART) shall be responsible for the examination and approval of the game publications which are authorized by overseas copyright owners to be made available on the Internet, and all other imported online games shall be examined and approved by the MOC (later superseded by the MOCT).</w:t>
      </w:r>
    </w:p>
    <w:p>
      <w:pPr>
        <w:spacing w:after="0" w:line="185" w:lineRule="exact"/>
        <w:rPr>
          <w:sz w:val="20"/>
          <w:szCs w:val="20"/>
          <w:color w:val="auto"/>
        </w:rPr>
      </w:pPr>
    </w:p>
    <w:p>
      <w:pPr>
        <w:ind w:right="60" w:firstLine="639"/>
        <w:spacing w:after="0" w:line="264" w:lineRule="auto"/>
        <w:rPr>
          <w:sz w:val="20"/>
          <w:szCs w:val="20"/>
          <w:color w:val="auto"/>
        </w:rPr>
      </w:pPr>
      <w:r>
        <w:rPr>
          <w:rFonts w:ascii="Arial" w:cs="Arial" w:eastAsia="Arial" w:hAnsi="Arial"/>
          <w:sz w:val="17"/>
          <w:szCs w:val="17"/>
          <w:color w:val="auto"/>
        </w:rPr>
        <w:t>On September 28, 2009, GAPP (later superseded by the SART), the National Copyright Administration and the National Office of Combating Pornography and Illegal Publications jointly published the Notice on Further Strengthening Pre-examination and Pre-approval of Online Games and Administration of Imported Online Games Approval, or Circular 13. According to Circular 13, no entity should engage in the operation of online games without receiving an Internet Publishing License and the pre-approval from SAPPRFT (later superseded by the SART). Circular 13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Moreover, for online games which have been approved by SAPPRFT (later superseded by the SART), when the operational entity changes, or when new versions, expansion packs or new content is implemented, the operation entity shall once again undertake the same procedures for the examination and approval by SAPPRFT (later superseded by the SART) of such changed operation entity, new versions, expansion packs or new content. Shanghai EaseNet has obtained SAPPRFT (later superseded by the SART) approval for Blizzard’s World of Warcraft, including its expansion packs, The Burning Crusade, Wrath of the Lich King, Cataclysm, Mists of Pandaria, Warlords of Draenor and Legion, and StarCraft II series, including Wings of Liberty, Heart of the Swarm and Legacy of the Void, as well as Hearthstone, Heroes of the Storm, Diablo III and Overwatch. On May 24, 2016, SAPPRFT (later superseded by the SART) issued the Circular on the Administration over Mobile Game Publishing Services, or Circular 44, which came into effect on July 1, 2016 and provides that no mobile game shall be published and operated online without the approval of the SAPPRFT (later superseded by the SART). We have taken necessary measures to comply with Circular 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82" w:lineRule="auto"/>
        <w:rPr>
          <w:sz w:val="20"/>
          <w:szCs w:val="20"/>
          <w:color w:val="auto"/>
        </w:rPr>
      </w:pPr>
      <w:r>
        <w:rPr>
          <w:rFonts w:ascii="Arial" w:cs="Arial" w:eastAsia="Arial" w:hAnsi="Arial"/>
          <w:sz w:val="16"/>
          <w:szCs w:val="16"/>
          <w:color w:val="auto"/>
        </w:rPr>
        <w:t>On June 3, 2010, the MOC (later superseded by the MOCT) issued a decree on Interim Measures for the Administration of Online Games, or the Online Games Measures, which became effective as of August 1, 2010 and were revised as of December 15, 2017.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Although many of these requirements reflect previously issued government regulations with which we already comply, certain new requirements may cause us to change the way we launch and operate our online games. For other details, see Item 3.D. “Risk Factors—Risks Related to the Telecommunications and Internet Industries in China—The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On July 30, 2010, the MOC (later superseded by the MOCT) promulgated the Notice on the Implementation of the Interim Measures for the Administration of Online Games, which provides details concerning the scope of online games, the review of online games content by the MOC (later superseded by the MOCT), the administration of material changes in the content of online games and the implementation of real-name registration of online game users. In addition, the notice brings in the definition of joint operation of domestic online games and lays out the specific regulations for such joint operation.</w:t>
      </w:r>
    </w:p>
    <w:p>
      <w:pPr>
        <w:spacing w:after="0" w:line="173" w:lineRule="exact"/>
        <w:rPr>
          <w:sz w:val="20"/>
          <w:szCs w:val="20"/>
          <w:color w:val="auto"/>
        </w:rPr>
      </w:pPr>
    </w:p>
    <w:p>
      <w:pPr>
        <w:ind w:right="40" w:firstLine="639"/>
        <w:spacing w:after="0" w:line="252" w:lineRule="auto"/>
        <w:rPr>
          <w:sz w:val="20"/>
          <w:szCs w:val="20"/>
          <w:color w:val="auto"/>
        </w:rPr>
      </w:pPr>
      <w:r>
        <w:rPr>
          <w:rFonts w:ascii="Arial" w:cs="Arial" w:eastAsia="Arial" w:hAnsi="Arial"/>
          <w:sz w:val="18"/>
          <w:szCs w:val="18"/>
          <w:color w:val="auto"/>
        </w:rPr>
        <w:t>On January 15, 2011, the MOC (later superseded by the MOCT) and several other government authorities jointly issued the Notice on Implementation Program of Online Game Monitoring System of the Guardians of Minors, or the Monitoring System Notice, which requires online game operators to adopt various measures to maintain an interactive system for the protection of minors, through communication with the online game operators, to monitor and restrict online game activities by minors, including restriction of playtime or total suspension of the relevant gaming account. We have taken necessary measures in compliance of the Monitoring System Notice.</w:t>
      </w:r>
    </w:p>
    <w:p>
      <w:pPr>
        <w:spacing w:after="0" w:line="192" w:lineRule="exact"/>
        <w:rPr>
          <w:sz w:val="20"/>
          <w:szCs w:val="20"/>
          <w:color w:val="auto"/>
        </w:rPr>
      </w:pPr>
    </w:p>
    <w:p>
      <w:pPr>
        <w:ind w:right="40" w:firstLine="639"/>
        <w:spacing w:after="0" w:line="273" w:lineRule="auto"/>
        <w:rPr>
          <w:sz w:val="20"/>
          <w:szCs w:val="20"/>
          <w:color w:val="auto"/>
        </w:rPr>
      </w:pPr>
      <w:r>
        <w:rPr>
          <w:rFonts w:ascii="Arial" w:cs="Arial" w:eastAsia="Arial" w:hAnsi="Arial"/>
          <w:sz w:val="17"/>
          <w:szCs w:val="17"/>
          <w:color w:val="auto"/>
        </w:rPr>
        <w:t>On August 12, 2013, the MOC (later superseded by the MOCT) issued the Administrative Measures for Content Self-review of Internet Culture Operators, which requires Internet culture operators to carry out prior self-review upon the products and services to be provided. In particular, such self-review should be conducted by staff who has obtained the Certificate for Content Review Personnel issued by the local branch of the MOC (later superseded by the MOCT) at the provincial level. Our content review personnel have already obtained such certification.</w:t>
      </w:r>
    </w:p>
    <w:p>
      <w:pPr>
        <w:spacing w:after="0" w:line="176" w:lineRule="exact"/>
        <w:rPr>
          <w:sz w:val="20"/>
          <w:szCs w:val="20"/>
          <w:color w:val="auto"/>
        </w:rPr>
      </w:pPr>
    </w:p>
    <w:p>
      <w:pPr>
        <w:ind w:firstLine="639"/>
        <w:spacing w:after="0" w:line="249" w:lineRule="auto"/>
        <w:rPr>
          <w:sz w:val="20"/>
          <w:szCs w:val="20"/>
          <w:color w:val="auto"/>
        </w:rPr>
      </w:pPr>
      <w:r>
        <w:rPr>
          <w:rFonts w:ascii="Arial" w:cs="Arial" w:eastAsia="Arial" w:hAnsi="Arial"/>
          <w:sz w:val="18"/>
          <w:szCs w:val="18"/>
          <w:color w:val="auto"/>
        </w:rPr>
        <w:t>On February 18, 1994, the State Council promulgated the Rules of the People’s Republic of China for Protecting the Security of Computer Information Systems,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June 28, 1997 confirming that a license for the sale of security products for computer information systems must be obtained as a precondition for sales of such products. Guangzhou NetEase has developed a technology which is designed to protect the passwords of online game players and falls into the scope of security products for computer information systems which is subject to this license requirement. Guangzhou NetEase has obtained the above-mentioned license from the Ministry of Public Security.</w:t>
      </w:r>
    </w:p>
    <w:p>
      <w:pPr>
        <w:spacing w:after="0" w:line="200" w:lineRule="exact"/>
        <w:rPr>
          <w:sz w:val="20"/>
          <w:szCs w:val="20"/>
          <w:color w:val="auto"/>
        </w:rPr>
      </w:pPr>
    </w:p>
    <w:p>
      <w:pPr>
        <w:ind w:right="200" w:firstLine="639"/>
        <w:spacing w:after="0" w:line="251" w:lineRule="auto"/>
        <w:rPr>
          <w:sz w:val="20"/>
          <w:szCs w:val="20"/>
          <w:color w:val="auto"/>
        </w:rPr>
      </w:pPr>
      <w:r>
        <w:rPr>
          <w:rFonts w:ascii="Arial" w:cs="Arial" w:eastAsia="Arial" w:hAnsi="Arial"/>
          <w:sz w:val="18"/>
          <w:szCs w:val="18"/>
          <w:color w:val="auto"/>
        </w:rPr>
        <w:t>According to the Guidelines for the Filing for Recordation of Domestic Online Games issued by the MOC (later superseded by the MOCT) in 2005, domestic online games operating in China must be filed for recordation with the MOC (later superseded by the MOCT) within 30 days after they are put into operation. Our internally developed online games, including New Westward Journey Online II, Fantasy Westward Journey II, New Legend of Westward Journey, New Westward Journey Online III, Tianxia III, Heroes of Tang Dynasty II, New Fly For Fun, Legend of Fairy, New Ghost, DREAM, Soul of the Fighter, Kung Fu Master II, Heroes of the Three Kingdoms, Dragon Sword, Onmyoji and other causal games, have successfully finished the recordation process.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360" w:firstLine="639"/>
        <w:spacing w:after="0" w:line="253" w:lineRule="auto"/>
        <w:rPr>
          <w:sz w:val="20"/>
          <w:szCs w:val="20"/>
          <w:color w:val="auto"/>
        </w:rPr>
      </w:pPr>
      <w:r>
        <w:rPr>
          <w:rFonts w:ascii="Arial" w:cs="Arial" w:eastAsia="Arial" w:hAnsi="Arial"/>
          <w:sz w:val="18"/>
          <w:szCs w:val="18"/>
          <w:color w:val="auto"/>
        </w:rPr>
        <w:t>The Regulations for the Administration of Audio and Video Products, which was released by the State Council on December 25, 2001 and further amended in March 2011, require that the publication, production, duplication, importation, wholesale, retail and renting of the audio and video products are subject to a license issued by competent authorities. Guangzhou NetEase has obtained such license from Guangzhou Municipal Administration of Culture, Radio, Film, TV, Press and Publication.</w:t>
      </w:r>
    </w:p>
    <w:p>
      <w:pPr>
        <w:spacing w:after="0" w:line="193" w:lineRule="exact"/>
        <w:rPr>
          <w:sz w:val="20"/>
          <w:szCs w:val="20"/>
          <w:color w:val="auto"/>
        </w:rPr>
      </w:pPr>
    </w:p>
    <w:p>
      <w:pPr>
        <w:ind w:right="40" w:firstLine="639"/>
        <w:spacing w:after="0" w:line="279" w:lineRule="auto"/>
        <w:rPr>
          <w:sz w:val="20"/>
          <w:szCs w:val="20"/>
          <w:color w:val="auto"/>
        </w:rPr>
      </w:pPr>
      <w:r>
        <w:rPr>
          <w:rFonts w:ascii="Arial" w:cs="Arial" w:eastAsia="Arial" w:hAnsi="Arial"/>
          <w:sz w:val="17"/>
          <w:szCs w:val="17"/>
          <w:color w:val="auto"/>
        </w:rPr>
        <w:t>On January 6, 2016, the MOC (later superseded by the MOCT) issued the Tentative Rules for the Management of Cultural Market Blacklist, according to which those cultural products and entities in serious violation of relevant laws and regulations will be put on the blacklist and thus subject to more strict regulations. We have taken necessary measures to ensure that none of our products or entities will be placed on such blacklist.</w:t>
      </w:r>
    </w:p>
    <w:p>
      <w:pPr>
        <w:spacing w:after="0" w:line="171" w:lineRule="exact"/>
        <w:rPr>
          <w:sz w:val="20"/>
          <w:szCs w:val="20"/>
          <w:color w:val="auto"/>
        </w:rPr>
      </w:pPr>
    </w:p>
    <w:p>
      <w:pPr>
        <w:ind w:right="40" w:firstLine="639"/>
        <w:spacing w:after="0" w:line="266" w:lineRule="auto"/>
        <w:rPr>
          <w:sz w:val="20"/>
          <w:szCs w:val="20"/>
          <w:color w:val="auto"/>
        </w:rPr>
      </w:pPr>
      <w:r>
        <w:rPr>
          <w:rFonts w:ascii="Arial" w:cs="Arial" w:eastAsia="Arial" w:hAnsi="Arial"/>
          <w:sz w:val="17"/>
          <w:szCs w:val="17"/>
          <w:color w:val="auto"/>
        </w:rPr>
        <w:t>On December 1, 2016, the MOC (later superseded by the MOCT) issued the Notice 32, which became effective on May 1, 2017. The Notice 32 sets forth several requirements regarding the operation of online games, among which, it provides that virtual items distributed by online game operators shall be regulated as virtual currency, so long as such items are purchased by users directly with currencies or virtual currencies, or exchanged in proportion with virtual currencies, and such items enable users to directly exchange for other virtual items or value-added services in relation to online games. In addition, Notice 32 prohibits online game operators from distributing for free virtual items and value-added services by randomly selecting potential gamers as recipients to attract gamers to play, and requires such game operators to disclose to their potential gamers the details of its random selection process for the distribution of non-free items such that the gamers may make informed decisions on whether to participate or not. We have taken all necessary measures to ensure that our online games comply with Notice 32.</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firstLine="639"/>
        <w:spacing w:after="0" w:line="264" w:lineRule="auto"/>
        <w:rPr>
          <w:sz w:val="20"/>
          <w:szCs w:val="20"/>
          <w:color w:val="auto"/>
        </w:rPr>
      </w:pPr>
      <w:r>
        <w:rPr>
          <w:rFonts w:ascii="Arial" w:cs="Arial" w:eastAsia="Arial" w:hAnsi="Arial"/>
          <w:sz w:val="17"/>
          <w:szCs w:val="17"/>
          <w:color w:val="auto"/>
        </w:rPr>
        <w:t>The E-Commerce Law, which was promulgated on August 31, 2018 and took effect on January 1, 2019, set forth detailed obligations of operators of e-commerce business and e-commerce platforms and guidelines in terms of contract performance and dispute resolutions in relation to e-commerce. Pursuant to this law, e-commerce operators shall, for example, (i) present unbiased search results and general product recommendations that are not based on a potential customer’s particular purchase history and personal profile in addition to tailored product recommendations and services; and (ii) not cite any provision of a form contract or boiler plate provision to invalidate an agreement with a customer after it has received payment from such customer. In addition, an e-commerce platform operators shall (i) report information such as identity and tax information of third-party vendors to relevant authorities; (ii) make platform service agreement or web-links thereto prominently displayed and accessible on its homepage; (iii) be jointly liable in the event that such platform operator fails to take necessary measures when it has or should have the knowledge that any vendor using its platform infringes consumers’ rights; and (iv) be jointly liable for any damage or threat to a customer’s personal health and wellbeing caused by the products sold on its platform if a platform operator fails to examine the qualifications of its vendor using its Platform or fails to protect its consumers’ safety in respect of goods or services that may affect a consumers’ health. We are subject to this new law as both e-commerce business operator and e-commerce platform operator. Failure to comply with the E-Commerce Law could subject us to civil liabilities or administrative penalties.</w:t>
      </w:r>
    </w:p>
    <w:p>
      <w:pPr>
        <w:spacing w:after="0" w:line="190" w:lineRule="exact"/>
        <w:rPr>
          <w:sz w:val="20"/>
          <w:szCs w:val="20"/>
          <w:color w:val="auto"/>
        </w:rPr>
      </w:pPr>
    </w:p>
    <w:p>
      <w:pPr>
        <w:ind w:right="60" w:firstLine="639"/>
        <w:spacing w:after="0" w:line="264" w:lineRule="auto"/>
        <w:rPr>
          <w:sz w:val="20"/>
          <w:szCs w:val="20"/>
          <w:color w:val="auto"/>
        </w:rPr>
      </w:pPr>
      <w:r>
        <w:rPr>
          <w:rFonts w:ascii="Arial" w:cs="Arial" w:eastAsia="Arial" w:hAnsi="Arial"/>
          <w:sz w:val="17"/>
          <w:szCs w:val="17"/>
          <w:color w:val="auto"/>
        </w:rPr>
        <w:t>The Consumer Protection Law of the People’s Republic of China, as amended on October 25, 2013, sets out the obligations of business operators and the rights and interests of the consumers.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 or 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the Consumer Protection Law may subject business operators to civil liabilities such as refunding purchase prices, replacement of commodities, repairing or ceasing damages, compensation, and restoring reputation, and could subject the business operators or the responsible individuals to criminal penalties when personal damages are involved or if the circumstances are severe.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81" w:lineRule="auto"/>
        <w:rPr>
          <w:sz w:val="20"/>
          <w:szCs w:val="20"/>
          <w:color w:val="auto"/>
        </w:rPr>
      </w:pPr>
      <w:r>
        <w:rPr>
          <w:rFonts w:ascii="Arial" w:cs="Arial" w:eastAsia="Arial" w:hAnsi="Arial"/>
          <w:sz w:val="16"/>
          <w:szCs w:val="16"/>
          <w:color w:val="auto"/>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On January 5, 2015, SAIC issued the Measures for the Punishment of Conduct Infringing the Rights and Interests of Consumers, or the Consumer Conduct Measures, which became effective on March 15, 2015.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such information in any form, or sending promotional message to consumers despite their express refusal. We believe we have taken the necessary measures to comply with the Consumer Conduct Measures. On September 2, 2015, SAIC issued the Interim Provisions on the Administration of Centralized Online Promotional Activities for Goods and Services, which require the organizer of centralized online promotion activities to publish the methods, terms and rules of the activities in advance in an obvious position on its website. On January 6, 2017, SAIC issued the Interim Measures for Return of Online Purchases within seven Days without Reason, or the Online Return Measures, which became effective on March 15, 2017.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exception of Online Return Measures by the consumers at the time of purchase.</w:t>
      </w:r>
    </w:p>
    <w:p>
      <w:pPr>
        <w:spacing w:after="0" w:line="392" w:lineRule="exact"/>
        <w:rPr>
          <w:sz w:val="20"/>
          <w:szCs w:val="20"/>
          <w:color w:val="auto"/>
        </w:rPr>
      </w:pPr>
    </w:p>
    <w:p>
      <w:pPr>
        <w:ind w:firstLine="639"/>
        <w:spacing w:after="0" w:line="284" w:lineRule="auto"/>
        <w:rPr>
          <w:sz w:val="20"/>
          <w:szCs w:val="20"/>
          <w:color w:val="auto"/>
        </w:rPr>
      </w:pPr>
      <w:r>
        <w:rPr>
          <w:rFonts w:ascii="Arial" w:cs="Arial" w:eastAsia="Arial" w:hAnsi="Arial"/>
          <w:sz w:val="16"/>
          <w:szCs w:val="16"/>
          <w:color w:val="auto"/>
        </w:rPr>
        <w:t>The General Administration of Customs has promulgated the Announcement on the Regulatory Issues concerning the Inbound and Outbound Retail Commodities under E-Commerce, or Customs Circular No. 26, which took effect on April 8, 2016. Under the Customs Circular No. 26, e-commerce enterprises, e-commerce trade platform enterprises, payment enterprises and logistics enterprises shall, before the declaration of import retail commodities through cross border e-commerce, respectively submit to the customs bureau the information on trade, payment and logistics, among others. E-commerce enterprises shall verify the identity information of purchaser (subscriber) of cross-border e-commerce retail imports and provide the customs bureau with the effective identity information authenticated by respective competent authorities. In December 2018, the General Administration of Customs further promulgated the Announcement on Regulatory Matters concerning Cross-Border E-Commerce Retail Imports and Exports, which became effective on January 1, 2019, providing detailed rules and guidance on the administration of cross-border products, customs clearance, tax collection and administration, sites, quarantine, inspection procedures and logistics, and the process relating to the return of imported goods.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Food Safety Law of the People’s Republic of China, promulgated on February 28, 2009 and effective on June 1, 2009, as amended 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2018 with effect from the same date. This amendment set out a new and stricter regulation framework for the production and circulation of food.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However, it currently remains unclear if food distributed through the recently established cross-border e-commerce industry is required to comply with all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requirements set forth in the new Food Safety Law. For more details, see Item 3.D. “Risk Factors—Risks Related to Our Company—Our e-commerce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may expose us to new challenges and risks and may lower our profit margin.”</w:t>
      </w:r>
    </w:p>
    <w:p>
      <w:pPr>
        <w:spacing w:after="0" w:line="208" w:lineRule="exact"/>
        <w:rPr>
          <w:sz w:val="20"/>
          <w:szCs w:val="20"/>
          <w:color w:val="auto"/>
        </w:rPr>
      </w:pPr>
    </w:p>
    <w:p>
      <w:pPr>
        <w:ind w:right="80" w:firstLine="639"/>
        <w:spacing w:after="0" w:line="264" w:lineRule="auto"/>
        <w:rPr>
          <w:sz w:val="20"/>
          <w:szCs w:val="20"/>
          <w:color w:val="auto"/>
        </w:rPr>
      </w:pPr>
      <w:r>
        <w:rPr>
          <w:rFonts w:ascii="Arial" w:cs="Arial" w:eastAsia="Arial" w:hAnsi="Arial"/>
          <w:sz w:val="17"/>
          <w:szCs w:val="17"/>
          <w:color w:val="auto"/>
        </w:rPr>
        <w:t>On March 24, 2016, the MOF, General Administration of Customs and the State Administration of Taxation issued the Notice on Import Tax Policies for E-Commerce Retailers (Cai Guan Shui (2016) No. 18), with effect on April 8, 2016. On November 29, 2018, the foregoing authorities issued the new Circular on Improving Tax Policies for Cross-border E-Commerce Retail Imports, which took effect on January 1, 2019. According to such notice, which are applicable to the imported goods listed in the E-Commerce Retail Import Commodities List that was issued by the MOF and twelve other relevant PRC regulatory authorities on November 20, 2018, customs duties, import VAT and consumption tax will be charged on cross-border e-commerce retail imports calculated based on the goods imported, with individual purchasers of cross-border e-commerce retail imports defined as the taxpayers, the actual transaction price (including retail price, freight and insurance premium) regarded as the dutiable value, and e-commerce companies and trading platforms or logistics companies bearing the obligations of tax collection and withholding. The value of single transactions of retail products imported through cross-border e-commerce is capped at RMB5,000, and the total value of transactions carried out by an individual is capped at RMB26,000 per year. For cross-border e-commerce retail imports with a value within the above-mentioned limits, a zero tariff rate is applicable but, at the same time, import VAT and consumption tax exemptions will be abolished and import VAT and consumption tax will be charged temporarily at 70% of the statutory taxable amount. The relevant taxes will be charged in full on any transactions exceeding the single-transaction limit or the cumulative annual limit, and single indivisible goods whose dutiable value exceeds RMB5,000.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200" w:firstLine="639"/>
        <w:spacing w:after="0" w:line="282" w:lineRule="auto"/>
        <w:rPr>
          <w:sz w:val="20"/>
          <w:szCs w:val="20"/>
          <w:color w:val="auto"/>
        </w:rPr>
      </w:pPr>
      <w:r>
        <w:rPr>
          <w:rFonts w:ascii="Arial" w:cs="Arial" w:eastAsia="Arial" w:hAnsi="Arial"/>
          <w:sz w:val="16"/>
          <w:szCs w:val="16"/>
          <w:color w:val="auto"/>
        </w:rPr>
        <w:t>On November 28, 2018, the Ministry of Commerce, National Development and Reform Commission, MOF, General Administration of Customs and State Administration for Market Regulation promulgated the Circular on Improving the Regulation of Cross-border E-Commerce Retail Imports, which took effect on January 1, 2019. Pursuant to this circular, cross-border e-commerce operator shall (i) engage a PRC-incorporated company as its domestic agent,</w:t>
      </w:r>
    </w:p>
    <w:p>
      <w:pPr>
        <w:spacing w:after="0" w:line="2" w:lineRule="exact"/>
        <w:rPr>
          <w:sz w:val="20"/>
          <w:szCs w:val="20"/>
          <w:color w:val="auto"/>
        </w:rPr>
      </w:pPr>
    </w:p>
    <w:p>
      <w:pPr>
        <w:ind w:right="60" w:firstLine="7"/>
        <w:spacing w:after="0" w:line="284" w:lineRule="auto"/>
        <w:tabs>
          <w:tab w:leader="none" w:pos="2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 responsible for product quality and safety and its consumers’ rights and interests, (iii) provide adequate disclosures to consumers, (iv) establish a risk prevention and control system and a quality assurance system for products that are subject to bonded import procedure, and (v) transmit real-time electronic transaction data to the customs. Cross-border e-commerce platforms are also subject to this circular and they shall, for example, be incorporated in PRC, transmit real-time electronic transaction data to the customs, establish disputes resolution and consumer rights protection system as well as adequate procedures in terms of quality control and risk management relating to the products sold on their platform. The domestic agents engaged by the cross-border e-commerce operator are required to make accurate and adequate disclosure to the relevant authorities. For our cross-border e-commerce platform Kaola, we have certain affiliated entities within our group to act as its domestic agent for purposes of complying with this circular.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Advertising</w:t>
      </w:r>
    </w:p>
    <w:p>
      <w:pPr>
        <w:spacing w:after="0" w:line="219"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The Regulations for the Administration of Advertising and its Detailed Implementation Rules were both promulgated by the State Council and SAIC, which took effect on December 1, 1987 and January 1, 2005, respectively. According to these regulations, websites engaged in advertising must apply for a business license to conduct such business. In compliance with such regulations, NetEase Advertising, which operates our online advertising business through a series of agreements with Guangzhou NetEase, and Guangzhou NetEase have obtained a business license to carry out the design, production, agency and release of advertisements.</w:t>
      </w:r>
    </w:p>
    <w:p>
      <w:pPr>
        <w:spacing w:after="0" w:line="192" w:lineRule="exact"/>
        <w:rPr>
          <w:sz w:val="20"/>
          <w:szCs w:val="20"/>
          <w:color w:val="auto"/>
        </w:rPr>
      </w:pPr>
    </w:p>
    <w:p>
      <w:pPr>
        <w:ind w:right="20" w:firstLine="639"/>
        <w:spacing w:after="0" w:line="270" w:lineRule="auto"/>
        <w:rPr>
          <w:sz w:val="20"/>
          <w:szCs w:val="20"/>
          <w:color w:val="auto"/>
        </w:rPr>
      </w:pPr>
      <w:r>
        <w:rPr>
          <w:rFonts w:ascii="Arial" w:cs="Arial" w:eastAsia="Arial" w:hAnsi="Arial"/>
          <w:sz w:val="17"/>
          <w:szCs w:val="17"/>
          <w:color w:val="auto"/>
        </w:rPr>
        <w:t>On February 9, 2012, SAIC and several other government authorities jointly issued the Rules on Review of Advertisement Release by Public Media, or the Advertisement Review Rule, which, among other things, states that public media (including Internet information service providers) shall have advertisement reviewers, who shall participate in trainings in relation to advertisement laws, regulations and business, and after passing the training should perform works including reviewing of advertisements to be released and management of advertisement review archives. In compliance with the Advertisement Review Rule, several employees of Guangzhou NetEase have obtained the Certificate for Advertisement Reviewer.</w:t>
      </w:r>
    </w:p>
    <w:p>
      <w:pPr>
        <w:spacing w:after="0" w:line="179" w:lineRule="exact"/>
        <w:rPr>
          <w:sz w:val="20"/>
          <w:szCs w:val="20"/>
          <w:color w:val="auto"/>
        </w:rPr>
      </w:pPr>
    </w:p>
    <w:p>
      <w:pPr>
        <w:ind w:right="100" w:firstLine="639"/>
        <w:spacing w:after="0" w:line="249" w:lineRule="auto"/>
        <w:rPr>
          <w:sz w:val="20"/>
          <w:szCs w:val="20"/>
          <w:color w:val="auto"/>
        </w:rPr>
      </w:pPr>
      <w:r>
        <w:rPr>
          <w:rFonts w:ascii="Arial" w:cs="Arial" w:eastAsia="Arial" w:hAnsi="Arial"/>
          <w:sz w:val="18"/>
          <w:szCs w:val="18"/>
          <w:color w:val="auto"/>
        </w:rPr>
        <w:t>On April 24, 2015, the Standing Committee of the National People’s Congress enacted the Advertising Law of the People’s Republic of China, or the New Advertising Law. The New Advertising Law, which was a major overhaul of an advertising law enacted in 1994, increases the potential legal liability of providers of advertising services, and includes provisions intended to strengthen identification of false advertising and the power of regulatory authorities. The New Advertising Law forbids the usage of certain words or phrases in advertisement, such as “national,” “supreme” or “best” and provides a more detailed definition of “false advertisement”. The New Advertising Law also forbids sending advertisements to residences, vehicles, fixed or mobile telephones or personal email addresses if such advertisement is not invited or the receiver of the advertisement has rejected such advertising. We have taken necessary measures, including more stringent examination and monitoring of our advertisers and the content of their advertisements, in compliance with the New Advertising Law.</w:t>
      </w:r>
    </w:p>
    <w:p>
      <w:pPr>
        <w:spacing w:after="0" w:line="200" w:lineRule="exact"/>
        <w:rPr>
          <w:sz w:val="20"/>
          <w:szCs w:val="20"/>
          <w:color w:val="auto"/>
        </w:rPr>
      </w:pPr>
    </w:p>
    <w:p>
      <w:pPr>
        <w:jc w:val="both"/>
        <w:ind w:firstLine="639"/>
        <w:spacing w:after="0" w:line="285" w:lineRule="auto"/>
        <w:rPr>
          <w:sz w:val="20"/>
          <w:szCs w:val="20"/>
          <w:color w:val="auto"/>
        </w:rPr>
      </w:pPr>
      <w:r>
        <w:rPr>
          <w:rFonts w:ascii="Arial" w:cs="Arial" w:eastAsia="Arial" w:hAnsi="Arial"/>
          <w:sz w:val="16"/>
          <w:szCs w:val="16"/>
          <w:color w:val="auto"/>
        </w:rPr>
        <w:t>On July 4, 2016, SAIC promulgated the Provisional Measures of Internet Advertising Management, or the Internet Advertising Management Measures, which took effect on September 1, 2016. According to these measures, (i) an Internet advertisement shall be identifiable and clearly labeled as “advertisement”;</w:t>
      </w:r>
    </w:p>
    <w:p>
      <w:pPr>
        <w:ind w:right="20" w:firstLine="7"/>
        <w:spacing w:after="0" w:line="290" w:lineRule="auto"/>
        <w:tabs>
          <w:tab w:leader="none" w:pos="2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paid search advertisements shall be clearly distinguished from natural search results; (iii) advertisements published in the form of pop-up or other forms shall be clearly marked with a “Close” sign to ensure “Single Click to Close”; and (iv) no entity or individual may induce users to click on the contents of an advertisement through deception, or attach advertisements in any form to an e-mail without user’s permission. We have taken necessary measures to ensure that our current advertising publication and distribution process are in compliance with the Internet Advertising Management Measures.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25" w:lineRule="exact"/>
        <w:rPr>
          <w:sz w:val="20"/>
          <w:szCs w:val="20"/>
          <w:color w:val="auto"/>
        </w:rPr>
      </w:pPr>
    </w:p>
    <w:p>
      <w:pPr>
        <w:ind w:right="100" w:firstLine="639"/>
        <w:spacing w:after="0" w:line="251" w:lineRule="auto"/>
        <w:rPr>
          <w:sz w:val="20"/>
          <w:szCs w:val="20"/>
          <w:color w:val="auto"/>
        </w:rPr>
      </w:pPr>
      <w:r>
        <w:rPr>
          <w:rFonts w:ascii="Arial" w:cs="Arial" w:eastAsia="Arial" w:hAnsi="Arial"/>
          <w:sz w:val="18"/>
          <w:szCs w:val="18"/>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registered a number of domain names, including:</w:t>
      </w:r>
    </w:p>
    <w:p>
      <w:pPr>
        <w:spacing w:after="0" w:line="219" w:lineRule="exact"/>
        <w:rPr>
          <w:sz w:val="20"/>
          <w:szCs w:val="20"/>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www.netease.com;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www.163.com;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www.yeah.net;</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www.126.com;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www.lofter.com;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www.youdao.com;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www.nease.net;</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www.188.com;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www.126.net;</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www.kaola.com;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www.bobo.com;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www.neteasemedia.com;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www.miaode.com;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www.163yun.com;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www.tryfun.com;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www.onmyojigame.jp;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www.immortalconquest.eu.</w:t>
      </w:r>
    </w:p>
    <w:p>
      <w:pPr>
        <w:spacing w:after="0" w:line="219"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We have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dating and friends matching services, chat services, online gaming, interactive online video, e-commerce, our Internet finance services and certain other online services. We have also registered a number of trademarks in Hong Kong incorporating the words “NetEase” in English and the marks for “NetEase” as written in Chinese in traditional and simplified Chinese characters. In addition, we have also filed and registered the marks for “NetEase” in English and the marks for “NetEase” as written in Chinese in traditional and/or simplified Chinese characters in the United States, the European Union, the Republic of Korea, Japan, Macau, Taiwan, Thailand, and other jurisdictions. In addition, we have also registered the trademark “163” in China, Hong Kong, United States and European Union.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68" w:lineRule="auto"/>
        <w:rPr>
          <w:sz w:val="20"/>
          <w:szCs w:val="20"/>
          <w:color w:val="auto"/>
        </w:rPr>
      </w:pPr>
      <w:r>
        <w:rPr>
          <w:rFonts w:ascii="Arial" w:cs="Arial" w:eastAsia="Arial" w:hAnsi="Arial"/>
          <w:sz w:val="17"/>
          <w:szCs w:val="17"/>
          <w:color w:val="auto"/>
        </w:rPr>
        <w:t>In addition, we have registered our various self-developed games and other online products with the National Copyright Administration of the People’s Republic of China. Moreover, we have filed certain patent applications with the National Intellectual Property Administration, U.S. Patent and Trademark Office, European Patent Office and Japan Patent Office, and have obtained Certificates of Design Patent, Utility Model Patent and/or Invention Patent for technologies related to our games, live video, news, blog, educational products, reading products, YiChat, e-commerce and finance, Cloud Music, hardware products, agricultural products, cloud technology, augmented reality technology, computer technology and e-mail from the National Intellectual Property Administration, as well as Certificates of Utility Patent for games in the United States.</w:t>
      </w:r>
    </w:p>
    <w:p>
      <w:pPr>
        <w:spacing w:after="0" w:line="182" w:lineRule="exact"/>
        <w:rPr>
          <w:sz w:val="20"/>
          <w:szCs w:val="20"/>
          <w:color w:val="auto"/>
        </w:rPr>
      </w:pPr>
    </w:p>
    <w:p>
      <w:pPr>
        <w:ind w:right="40" w:firstLine="639"/>
        <w:spacing w:after="0" w:line="252" w:lineRule="auto"/>
        <w:rPr>
          <w:sz w:val="20"/>
          <w:szCs w:val="20"/>
          <w:color w:val="auto"/>
        </w:rPr>
      </w:pPr>
      <w:r>
        <w:rPr>
          <w:rFonts w:ascii="Arial" w:cs="Arial" w:eastAsia="Arial" w:hAnsi="Arial"/>
          <w:sz w:val="18"/>
          <w:szCs w:val="18"/>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websites and other online and mobile platforms, and the technology that enables online community, personalization, online games, e-commerce, news sharing, instant messaging, video streaming, Cloud Music, and other services on those platforms. We license content from various freelance providers and other content providers.</w:t>
      </w:r>
    </w:p>
    <w:p>
      <w:pPr>
        <w:spacing w:after="0" w:line="192"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color w:val="auto"/>
        </w:rPr>
        <w:t>Many parties are actively developing community, online game, e-commerce, search and web-related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online direct marketing, online game, instant message, music streaming and intelligent hardware. Disputes over rights to these technologies are likely to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190" w:lineRule="exact"/>
        <w:rPr>
          <w:sz w:val="20"/>
          <w:szCs w:val="20"/>
          <w:color w:val="auto"/>
        </w:rPr>
      </w:pPr>
    </w:p>
    <w:p>
      <w:pPr>
        <w:ind w:left="660" w:hanging="653"/>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Our organizational structure is set forth above under “— Our Organizational Structure.”</w:t>
      </w:r>
    </w:p>
    <w:p>
      <w:pPr>
        <w:spacing w:after="0" w:line="213" w:lineRule="exact"/>
        <w:rPr>
          <w:rFonts w:ascii="Arial" w:cs="Arial" w:eastAsia="Arial" w:hAnsi="Arial"/>
          <w:sz w:val="18"/>
          <w:szCs w:val="18"/>
          <w:b w:val="1"/>
          <w:bCs w:val="1"/>
          <w:color w:val="auto"/>
        </w:rPr>
      </w:pPr>
    </w:p>
    <w:p>
      <w:pPr>
        <w:ind w:left="660" w:hanging="653"/>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25"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Our principal executive offices are currently located at Building No. 7, West Zone, Zhongguancun Software Park (Phase II), No. 10 Xibeiwang East Road, Haidian District, Beijing, People’s Republic of China 100193. In addition, as of December 31, 2018, we leased office, warehouse and store facilities with a total effective annual rent of RMB471.3 million (US$68.5 million), including management fees, and an aggregate of approximately 1.5 million square meters of space at properties mainly in Beijing, Shanghai, Guangzhou, Hangzhou, Tianjin, Zhengzhou and Ningbo.</w:t>
      </w:r>
    </w:p>
    <w:p>
      <w:pPr>
        <w:spacing w:after="0" w:line="176" w:lineRule="exact"/>
        <w:rPr>
          <w:sz w:val="20"/>
          <w:szCs w:val="20"/>
          <w:color w:val="auto"/>
        </w:rPr>
      </w:pPr>
    </w:p>
    <w:p>
      <w:pPr>
        <w:ind w:right="20" w:firstLine="639"/>
        <w:spacing w:after="0" w:line="268" w:lineRule="auto"/>
        <w:rPr>
          <w:sz w:val="20"/>
          <w:szCs w:val="20"/>
          <w:color w:val="auto"/>
        </w:rPr>
      </w:pPr>
      <w:r>
        <w:rPr>
          <w:rFonts w:ascii="Arial" w:cs="Arial" w:eastAsia="Arial" w:hAnsi="Arial"/>
          <w:sz w:val="17"/>
          <w:szCs w:val="17"/>
          <w:color w:val="auto"/>
        </w:rPr>
        <w:t>We own and occupy a research and development center in Hangzhou, China with a total floor area of 110,500 square meters, where our e-commerce, innovative businesses and other services and their related sales, marketing, technology, management and administrative functions are located and an office building in Beijing with a total floor area of 95,000 square meters, where our advertising services are located. We also own and occupy a building in Guangzhou with a total floor area of 20,000 square meters, in which our online game developers, sales and marketing, technology and certain management as well as administrative support functions relating to game development are currently located. In addition, we also acquired a warehouse with a total floor area of 26,000 square meters in Ningbo for the operation of our e-commerce businesses.</w:t>
      </w:r>
    </w:p>
    <w:p>
      <w:pPr>
        <w:spacing w:after="0" w:line="182" w:lineRule="exact"/>
        <w:rPr>
          <w:sz w:val="20"/>
          <w:szCs w:val="20"/>
          <w:color w:val="auto"/>
        </w:rPr>
      </w:pPr>
    </w:p>
    <w:p>
      <w:pPr>
        <w:ind w:right="60" w:firstLine="639"/>
        <w:spacing w:after="0" w:line="257" w:lineRule="auto"/>
        <w:rPr>
          <w:sz w:val="20"/>
          <w:szCs w:val="20"/>
          <w:color w:val="auto"/>
        </w:rPr>
      </w:pPr>
      <w:r>
        <w:rPr>
          <w:rFonts w:ascii="Arial" w:cs="Arial" w:eastAsia="Arial" w:hAnsi="Arial"/>
          <w:sz w:val="18"/>
          <w:szCs w:val="18"/>
          <w:color w:val="auto"/>
        </w:rPr>
        <w:t>We are in the process of constructing several new office buildings and warehouses, primarily located in Hangzhou, Guangzhou, Ningbo and Shanghai. As of December 31, 2018, we had incurred construction in progress costs of RMB2,154.0 million (US$313.3 million) for these new office buildings and warehouses, which primarily comprise costs for building construction.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0" w:firstLine="639"/>
        <w:spacing w:after="0" w:line="267" w:lineRule="auto"/>
        <w:rPr>
          <w:sz w:val="20"/>
          <w:szCs w:val="20"/>
          <w:color w:val="auto"/>
        </w:rPr>
      </w:pPr>
      <w:r>
        <w:rPr>
          <w:rFonts w:ascii="Arial" w:cs="Arial" w:eastAsia="Arial" w:hAnsi="Arial"/>
          <w:sz w:val="18"/>
          <w:szCs w:val="18"/>
          <w:color w:val="auto"/>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spacing w:after="0" w:line="179" w:lineRule="exact"/>
        <w:rPr>
          <w:sz w:val="20"/>
          <w:szCs w:val="20"/>
          <w:color w:val="auto"/>
        </w:rPr>
      </w:pPr>
    </w:p>
    <w:p>
      <w:pPr>
        <w:ind w:right="40" w:firstLine="639"/>
        <w:spacing w:after="0" w:line="253" w:lineRule="auto"/>
        <w:rPr>
          <w:sz w:val="20"/>
          <w:szCs w:val="20"/>
          <w:color w:val="auto"/>
        </w:rPr>
      </w:pPr>
      <w:r>
        <w:rPr>
          <w:rFonts w:ascii="Arial" w:cs="Arial" w:eastAsia="Arial" w:hAnsi="Arial"/>
          <w:sz w:val="18"/>
          <w:szCs w:val="18"/>
          <w:color w:val="auto"/>
        </w:rPr>
        <w:t>As of December 31, 2018, we owned approximately 106,000 network servers co-located in the facilities of China Unicom’s Beijing affiliate and China Telecom’s Beijing affiliates for which we paid server custody fees, and we leased dedicated lines from affiliates of China Net Center and various affiliates of China Unicom and China Telecom pursuant to short term contracts. Our server custody and lease fees were approximately RMB1,556.6 million (US$226.4 million) for the year ended December 31, 2018.</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4"/>
          <w:szCs w:val="14"/>
          <w:b w:val="1"/>
          <w:bCs w:val="1"/>
          <w:color w:val="auto"/>
        </w:rPr>
        <w:t>Unresolved Staff Comments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5" w:lineRule="exact"/>
        <w:rPr>
          <w:sz w:val="20"/>
          <w:szCs w:val="20"/>
          <w:color w:val="auto"/>
        </w:rPr>
      </w:pPr>
    </w:p>
    <w:p>
      <w:pPr>
        <w:ind w:firstLine="639"/>
        <w:spacing w:after="0" w:line="26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79" w:lineRule="exact"/>
        <w:rPr>
          <w:sz w:val="20"/>
          <w:szCs w:val="20"/>
          <w:color w:val="auto"/>
        </w:rPr>
      </w:pPr>
    </w:p>
    <w:p>
      <w:pPr>
        <w:ind w:right="8840" w:firstLine="7"/>
        <w:spacing w:after="0" w:line="497" w:lineRule="auto"/>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jc w:val="both"/>
        <w:ind w:right="520" w:firstLine="639"/>
        <w:spacing w:after="0" w:line="257" w:lineRule="auto"/>
        <w:rPr>
          <w:sz w:val="20"/>
          <w:szCs w:val="20"/>
          <w:color w:val="auto"/>
        </w:rPr>
      </w:pPr>
      <w:r>
        <w:rPr>
          <w:rFonts w:ascii="Arial" w:cs="Arial" w:eastAsia="Arial" w:hAnsi="Arial"/>
          <w:sz w:val="18"/>
          <w:szCs w:val="18"/>
          <w:color w:val="auto"/>
        </w:rPr>
        <w:t>NetEase is a leading Internet technology company in China. Our innovative online games, e-commerce services, communities and personalized premium services, which allow registered users to interact with other community members, have established a large and stable user base for the NetEase websites and other online and mobile platforms.</w:t>
      </w:r>
    </w:p>
    <w:p>
      <w:pPr>
        <w:spacing w:after="0" w:line="188"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We achieved a net income attributable to our shareholders of RMB6,152.4 million (US$894.8 million) for 2018 and generated positive operating cash flows of RMB13,415.9 million (US$1,951.3 million) during the year. We recorded retained earnings of RMB35,328.8 million, RMB42,733.1 million and RMB43,997.4 million (US$6,399.2 million) as of December 31, 2016, 2017 and 2018,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company was incorporated in the Cayman Islands on July 6, 1999 as an Internet technology company in China.</w:t>
      </w:r>
    </w:p>
    <w:p>
      <w:pPr>
        <w:spacing w:after="0" w:line="219" w:lineRule="exact"/>
        <w:rPr>
          <w:sz w:val="20"/>
          <w:szCs w:val="20"/>
          <w:color w:val="auto"/>
        </w:rPr>
      </w:pPr>
    </w:p>
    <w:p>
      <w:pPr>
        <w:ind w:right="60" w:firstLine="639"/>
        <w:spacing w:after="0" w:line="265" w:lineRule="auto"/>
        <w:rPr>
          <w:sz w:val="20"/>
          <w:szCs w:val="20"/>
          <w:color w:val="auto"/>
        </w:rPr>
      </w:pPr>
      <w:r>
        <w:rPr>
          <w:rFonts w:ascii="Arial" w:cs="Arial" w:eastAsia="Arial" w:hAnsi="Arial"/>
          <w:sz w:val="17"/>
          <w:szCs w:val="17"/>
          <w:color w:val="auto"/>
        </w:rPr>
        <w:t>NetEase, Inc. conducts its business in China through its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e-commerce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Shanghai EaseNet, Youdao Computer and certain other affiliated companies. These affiliated companies are considered “variable interest entities” for accounting purposes, and are referred to collectively in this annual report as “VIEs.” The revenue earned by the VIEs largely flows through to NetEase, Inc. and its subsidiaries pursuant to such contractual arrangements. Based on these agreements, Media Beijing, NetEase Hangzhou, Boguan, Hangzhou Langhe and certain other affiliated companies provide technical consulting and related services to the VIEs. In addition, Guangzhou NetEase has a wholly-owned subsidiary, Wangyibao (the operator of our NetEase Pay online payment platform). Please also see Item 4.B. “Business Overview—Our Organizational Structure.”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66" w:lineRule="auto"/>
        <w:rPr>
          <w:sz w:val="20"/>
          <w:szCs w:val="20"/>
          <w:color w:val="auto"/>
        </w:rPr>
      </w:pPr>
      <w:r>
        <w:rPr>
          <w:rFonts w:ascii="Arial" w:cs="Arial" w:eastAsia="Arial" w:hAnsi="Arial"/>
          <w:sz w:val="17"/>
          <w:szCs w:val="17"/>
          <w:color w:val="auto"/>
        </w:rPr>
        <w:t>As of December 31, 2018, the total assets of all the consolidated VIEs of our company were RMB10.5 billion (US$1.5 billion), mainly comprising cash and cash equivalents, time deposits, accounts receivable, prepayments and other current assets and fixed assets. As of December 31, 2018, the total liabilities of the consolidated VIEs were RMB9.9 billion (US$1.4 billion), mainly comprising accounts payable, deferred revenue, accrued liabilities and other payables. As of December 31, 2018, the total assets of our company and all of our consolidated subsidiaries were RMB76.5 billion (US$11.1 billion), mainly comprising cash and cash equivalents, time deposits, restricted cash, accounts receivable, short-term investments, inventories, prepayments and other current assets, fixed assets, land use rights, long-term investments and other long-term assets. As of December 31, 2018, the total liabilities of our company and all of our consolidated subsidiaries were RMB25.7 billion (US$3.8 billion), mainly comprising accounts payable, salary and welfare payables, tax payable, short-term loan, deferred revenue, accrued liabilities and other payables.</w:t>
      </w:r>
    </w:p>
    <w:p>
      <w:pPr>
        <w:spacing w:after="0" w:line="185" w:lineRule="exact"/>
        <w:rPr>
          <w:sz w:val="20"/>
          <w:szCs w:val="20"/>
          <w:color w:val="auto"/>
        </w:rPr>
      </w:pPr>
    </w:p>
    <w:p>
      <w:pPr>
        <w:ind w:right="60" w:firstLine="639"/>
        <w:spacing w:after="0" w:line="257" w:lineRule="auto"/>
        <w:rPr>
          <w:sz w:val="20"/>
          <w:szCs w:val="20"/>
          <w:color w:val="auto"/>
        </w:rPr>
      </w:pPr>
      <w:r>
        <w:rPr>
          <w:rFonts w:ascii="Arial" w:cs="Arial" w:eastAsia="Arial" w:hAnsi="Arial"/>
          <w:sz w:val="18"/>
          <w:szCs w:val="18"/>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w:t>
      </w:r>
    </w:p>
    <w:p>
      <w:pPr>
        <w:spacing w:after="0" w:line="188"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Future changes in Chinese government policies affecting the provision of information services, including the provision of online services, Internet access, e-commerce services, online advertising and online payment services, may impose additional regulatory requirements on us or our service providers or otherwise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We generate our revenues from the provision of online games services, e-commerce, advertising services and innovative businesses and other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 customer individually accounted for greater than 10% of our total revenues for the years ended December 31, 2016, 2017 and 2018.</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in China as well as proprietary distribution channels, such as our website. Users have a variety of payment options for in-game virtual items, including our prepaid cards, online payments through app stores and other online payment channels. We derive our PC-client game revenues mainly from sales of our prepaid point cards.</w:t>
      </w:r>
    </w:p>
    <w:p>
      <w:pPr>
        <w:spacing w:after="0" w:line="192" w:lineRule="exact"/>
        <w:rPr>
          <w:sz w:val="20"/>
          <w:szCs w:val="20"/>
          <w:color w:val="auto"/>
        </w:rPr>
      </w:pPr>
    </w:p>
    <w:p>
      <w:pPr>
        <w:ind w:right="60" w:firstLine="639"/>
        <w:spacing w:after="0" w:line="273" w:lineRule="auto"/>
        <w:rPr>
          <w:sz w:val="20"/>
          <w:szCs w:val="20"/>
          <w:color w:val="auto"/>
        </w:rPr>
      </w:pPr>
      <w:r>
        <w:rPr>
          <w:rFonts w:ascii="Arial" w:cs="Arial" w:eastAsia="Arial" w:hAnsi="Arial"/>
          <w:sz w:val="17"/>
          <w:szCs w:val="17"/>
          <w:color w:val="auto"/>
        </w:rPr>
        <w:t>Customers can purchase virtual prepaid cards online by debit card, credit card or bank transfer, and receive the prepaid point card information as soon as payment is confirmed. Customers can also purchase physical prepaid point cards in different locations in China, including Internet cafés, software stores, convenience stores and bookstores, or from vendors who register the points in our system. Customers can use the points to play our online games, either to pay for playing time or to purchase virtual items within the games, and use our other fee-based services.</w:t>
      </w:r>
    </w:p>
    <w:p>
      <w:pPr>
        <w:spacing w:after="0" w:line="176"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We also generate revenues from certain games licensed to us by international game developers, including games licensed by Blizzard and Microsoft.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67" w:lineRule="auto"/>
        <w:rPr>
          <w:sz w:val="20"/>
          <w:szCs w:val="20"/>
          <w:color w:val="auto"/>
        </w:rPr>
      </w:pPr>
      <w:r>
        <w:rPr>
          <w:rFonts w:ascii="Arial" w:cs="Arial" w:eastAsia="Arial" w:hAnsi="Arial"/>
          <w:sz w:val="18"/>
          <w:szCs w:val="18"/>
          <w:color w:val="auto"/>
        </w:rPr>
        <w:t>We expect that we will face increasing competition as online game providers in China and abroad expand their presence in the Chinese market or enter it for the first time.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established our two e-commerce platforms, Kaola and Yanxuan, in January 2015 and April 2016, respectively.</w:t>
      </w:r>
    </w:p>
    <w:p>
      <w:pPr>
        <w:spacing w:after="0" w:line="219" w:lineRule="exact"/>
        <w:rPr>
          <w:sz w:val="20"/>
          <w:szCs w:val="20"/>
          <w:color w:val="auto"/>
        </w:rPr>
      </w:pPr>
    </w:p>
    <w:p>
      <w:pPr>
        <w:ind w:right="60" w:firstLine="639"/>
        <w:spacing w:after="0" w:line="250" w:lineRule="auto"/>
        <w:rPr>
          <w:sz w:val="20"/>
          <w:szCs w:val="20"/>
          <w:color w:val="auto"/>
        </w:rPr>
      </w:pPr>
      <w:r>
        <w:rPr>
          <w:rFonts w:ascii="Arial" w:cs="Arial" w:eastAsia="Arial" w:hAnsi="Arial"/>
          <w:sz w:val="18"/>
          <w:szCs w:val="18"/>
          <w:color w:val="auto"/>
        </w:rPr>
        <w:t>Kaola sells mainly imported goods that we source from overseas suppliers, including maternity and baby products, skincare and cosmetics and other general merchandise, and Yanxuan sells our private label products, including apparel, homeware, kitchenware and other general merchandise, which we primarily source directly from original design manufacturers in China. We generate revenues from both these platforms through merchandise sales and recognize revenue on a gross basis as we carry our own inventory and have discretion in setting prices. We also provide discount coupons to our customers for use in purchases on Kaola and Yanxuan, which are treated as a reduction of revenue when the relevant transactions are recognized. We also act as the marketplace service provider for third-party vendors to sell their products on the Kaola platform and recognize revenue when services are rendered based on a pre-determined service fee rate.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right="200" w:firstLine="639"/>
        <w:spacing w:after="0" w:line="267" w:lineRule="auto"/>
        <w:rPr>
          <w:sz w:val="20"/>
          <w:szCs w:val="20"/>
          <w:color w:val="auto"/>
        </w:rPr>
      </w:pPr>
      <w:r>
        <w:rPr>
          <w:rFonts w:ascii="Arial" w:cs="Arial" w:eastAsia="Arial" w:hAnsi="Arial"/>
          <w:sz w:val="18"/>
          <w:szCs w:val="18"/>
          <w:color w:val="auto"/>
        </w:rPr>
        <w:t>We derive most of our advertising services revenue from fees we earn from brand advertising offered on the mobile applications and websites of our Internet media business and our advertising revenue was primarily derived from brand advertising services.</w:t>
      </w:r>
    </w:p>
    <w:p>
      <w:pPr>
        <w:spacing w:after="0" w:line="179" w:lineRule="exact"/>
        <w:rPr>
          <w:sz w:val="20"/>
          <w:szCs w:val="20"/>
          <w:color w:val="auto"/>
        </w:rPr>
      </w:pPr>
    </w:p>
    <w:p>
      <w:pPr>
        <w:ind w:right="40" w:firstLine="639"/>
        <w:spacing w:after="0" w:line="270" w:lineRule="auto"/>
        <w:rPr>
          <w:sz w:val="20"/>
          <w:szCs w:val="20"/>
          <w:color w:val="auto"/>
        </w:rPr>
      </w:pPr>
      <w:r>
        <w:rPr>
          <w:rFonts w:ascii="Arial" w:cs="Arial" w:eastAsia="Arial" w:hAnsi="Arial"/>
          <w:sz w:val="17"/>
          <w:szCs w:val="17"/>
          <w:color w:val="auto"/>
        </w:rPr>
        <w:t>We expect that the online advertising market in China will continue to grow as Internet usage in China increases and as more companies, in particular China-based companies in a variety of industries, accept the Internet as an effective advertising medium. Moreover, we expect that as the e-commerce industry further develops in China, there will be more small- to medium-sized online businesses using our online advertising services to advertise or market their businesses and products. We also believe that the growth rate of mobile Internet advertising in China may increase at a faster rate than that of traditional PC-client advertising. Competition in this area is, and we expect it to remain, intense.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right="40" w:firstLine="639"/>
        <w:spacing w:after="0" w:line="267" w:lineRule="auto"/>
        <w:rPr>
          <w:sz w:val="20"/>
          <w:szCs w:val="20"/>
          <w:color w:val="auto"/>
        </w:rPr>
      </w:pPr>
      <w:r>
        <w:rPr>
          <w:rFonts w:ascii="Arial" w:cs="Arial" w:eastAsia="Arial" w:hAnsi="Arial"/>
          <w:sz w:val="18"/>
          <w:szCs w:val="18"/>
          <w:color w:val="auto"/>
        </w:rPr>
        <w:t>We derive our innovative businesses and others revenues primarily from video streaming, music streaming, online payment platform, online education and premium e-mail and other value-added services.</w:t>
      </w:r>
    </w:p>
    <w:p>
      <w:pPr>
        <w:spacing w:after="0" w:line="179" w:lineRule="exact"/>
        <w:rPr>
          <w:sz w:val="20"/>
          <w:szCs w:val="20"/>
          <w:color w:val="auto"/>
        </w:rPr>
      </w:pPr>
    </w:p>
    <w:p>
      <w:pPr>
        <w:ind w:right="180" w:firstLine="639"/>
        <w:spacing w:after="0" w:line="296" w:lineRule="auto"/>
        <w:rPr>
          <w:sz w:val="20"/>
          <w:szCs w:val="20"/>
          <w:color w:val="auto"/>
        </w:rPr>
      </w:pPr>
      <w:r>
        <w:rPr>
          <w:rFonts w:ascii="Arial" w:cs="Arial" w:eastAsia="Arial" w:hAnsi="Arial"/>
          <w:sz w:val="17"/>
          <w:szCs w:val="17"/>
          <w:color w:val="auto"/>
        </w:rPr>
        <w:t>Our video streaming platform CC streams gameplay shows (where viewers watch people compete in online games) and game-related shows, and we generate revenue from the sale of virtual items to viewers which we share with broadcasters who provide commentary for the shows.</w:t>
      </w:r>
    </w:p>
    <w:p>
      <w:pPr>
        <w:spacing w:after="0" w:line="157" w:lineRule="exact"/>
        <w:rPr>
          <w:sz w:val="20"/>
          <w:szCs w:val="20"/>
          <w:color w:val="auto"/>
        </w:rPr>
      </w:pPr>
    </w:p>
    <w:p>
      <w:pPr>
        <w:ind w:right="100" w:firstLine="639"/>
        <w:spacing w:after="0" w:line="267" w:lineRule="auto"/>
        <w:rPr>
          <w:sz w:val="20"/>
          <w:szCs w:val="20"/>
          <w:color w:val="auto"/>
        </w:rPr>
      </w:pPr>
      <w:r>
        <w:rPr>
          <w:rFonts w:ascii="Arial" w:cs="Arial" w:eastAsia="Arial" w:hAnsi="Arial"/>
          <w:sz w:val="18"/>
          <w:szCs w:val="18"/>
          <w:color w:val="auto"/>
        </w:rPr>
        <w:t>For our Cloud Music streaming business, users can choose time-based subscriptions to access a range of music content or make item-based purchases of particular music content. We recognize revenue from such subscription fees and item-based purchases.</w:t>
      </w:r>
    </w:p>
    <w:p>
      <w:pPr>
        <w:spacing w:after="0" w:line="179" w:lineRule="exact"/>
        <w:rPr>
          <w:sz w:val="20"/>
          <w:szCs w:val="20"/>
          <w:color w:val="auto"/>
        </w:rPr>
      </w:pPr>
    </w:p>
    <w:p>
      <w:pPr>
        <w:ind w:right="740" w:firstLine="639"/>
        <w:spacing w:after="0" w:line="267" w:lineRule="auto"/>
        <w:rPr>
          <w:sz w:val="20"/>
          <w:szCs w:val="20"/>
          <w:color w:val="auto"/>
        </w:rPr>
      </w:pPr>
      <w:r>
        <w:rPr>
          <w:rFonts w:ascii="Arial" w:cs="Arial" w:eastAsia="Arial" w:hAnsi="Arial"/>
          <w:sz w:val="18"/>
          <w:szCs w:val="18"/>
          <w:color w:val="auto"/>
        </w:rPr>
        <w:t>Our Youdao Education platforms provide their respective users with online courses, reading materials and premium educational solutions, as applicable, in exchange for pre-determined package fees.</w:t>
      </w:r>
    </w:p>
    <w:p>
      <w:pPr>
        <w:spacing w:after="0" w:line="179" w:lineRule="exact"/>
        <w:rPr>
          <w:sz w:val="20"/>
          <w:szCs w:val="20"/>
          <w:color w:val="auto"/>
        </w:rPr>
      </w:pPr>
    </w:p>
    <w:p>
      <w:pPr>
        <w:jc w:val="both"/>
        <w:ind w:firstLine="639"/>
        <w:spacing w:after="0" w:line="279" w:lineRule="auto"/>
        <w:rPr>
          <w:sz w:val="20"/>
          <w:szCs w:val="20"/>
          <w:color w:val="auto"/>
        </w:rPr>
      </w:pPr>
      <w:r>
        <w:rPr>
          <w:rFonts w:ascii="Arial" w:cs="Arial" w:eastAsia="Arial" w:hAnsi="Arial"/>
          <w:sz w:val="17"/>
          <w:szCs w:val="17"/>
          <w:color w:val="auto"/>
        </w:rPr>
        <w:t>Our NetEase Pay online payment platform enables registered users to deposit money in their accounts and use the accounts to pay for game point cards and other fee-based services and products offered by us and third-party vendors. The third-party vendors are charged a service fee when they receive a payment through NetEase Pay at fixed rates based on their service agreements with us. We recognize revenue upon services rendered.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Our other online fee-based premium services, supplied to registered users of the NetEase websites, also include premium e-mail and other value-added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Seasonality of Revenues</w:t>
      </w:r>
    </w:p>
    <w:p>
      <w:pPr>
        <w:spacing w:after="0" w:line="219" w:lineRule="exact"/>
        <w:rPr>
          <w:sz w:val="20"/>
          <w:szCs w:val="20"/>
          <w:color w:val="auto"/>
        </w:rPr>
      </w:pPr>
    </w:p>
    <w:p>
      <w:pPr>
        <w:ind w:right="140" w:firstLine="639"/>
        <w:spacing w:after="0" w:line="268" w:lineRule="auto"/>
        <w:rPr>
          <w:sz w:val="20"/>
          <w:szCs w:val="20"/>
          <w:color w:val="auto"/>
        </w:rPr>
      </w:pPr>
      <w:r>
        <w:rPr>
          <w:rFonts w:ascii="Arial" w:cs="Arial" w:eastAsia="Arial" w:hAnsi="Arial"/>
          <w:sz w:val="17"/>
          <w:szCs w:val="17"/>
          <w:color w:val="auto"/>
        </w:rPr>
        <w:t>Historically, revenues from advertising and innovative businesses and other online services have followed the same general seasonal trend throughout each year, with the first quarter of the year being the weakest quarter due to the Chinese New Year holiday and the traditional close of customers’ annual budgets, and the fourth quarter as the strongest. Usage of our online games has generally increased around the Chinese holidays, particularly the winter and summer school holidays. Generally, our e-commence revenues are relatively lower during the public holidays in China, particularly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Cost of revenues for our online games services consist primarily of staff costs (in particular remuneration to employees who maintain game software and employees known as the “Game Masters” who are responsible for the daily co-ordination and regulation of the activities inside our games’ virtual worlds), service fees paid to Internet data centers, or IDC, for the rental of servers, and printing costs for our prepaid point cards. For our mobile games, cost of revenues also includes fees paid to game developers, distribution channels (app stores) and payment channels.</w:t>
      </w:r>
    </w:p>
    <w:p>
      <w:pPr>
        <w:spacing w:after="0" w:line="176"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In addition, cost of revenues for our online games services include that portion of bandwidth and server custody fees (fees paid to telecommunications companies to host and maintain our servers) and depreciation and amortization of computers and software which are attributable to our online games business. Our subsidiaries and VIEs have network servers co-located in facilities owned by China Telecom’s and China Unicom’s affiliates, for which we pay server custody fees to China Telecom and China Unicom.</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cost of revenues for our licensed games also includes royalties, and in some cases license and consulting fees, paid to the licensors.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jc w:val="both"/>
        <w:ind w:right="360" w:firstLine="639"/>
        <w:spacing w:after="0" w:line="257" w:lineRule="auto"/>
        <w:rPr>
          <w:sz w:val="20"/>
          <w:szCs w:val="20"/>
          <w:color w:val="auto"/>
        </w:rPr>
      </w:pPr>
      <w:r>
        <w:rPr>
          <w:rFonts w:ascii="Arial" w:cs="Arial" w:eastAsia="Arial" w:hAnsi="Arial"/>
          <w:sz w:val="18"/>
          <w:szCs w:val="18"/>
          <w:color w:val="auto"/>
        </w:rPr>
        <w:t>Cost of revenues related to our e-commerce business consists primarily of costs of merchandise sold, inbound shipping costs and inventory write-downs relating to merchandise sold, service fees related to online payments, the relevant portion of bandwidth and server custody fees and depreciation and amortization of computers and software which are attributable to the provision of e-commerce services.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right="300" w:firstLine="639"/>
        <w:spacing w:after="0" w:line="257" w:lineRule="auto"/>
        <w:rPr>
          <w:sz w:val="20"/>
          <w:szCs w:val="20"/>
          <w:color w:val="auto"/>
        </w:rPr>
      </w:pPr>
      <w:r>
        <w:rPr>
          <w:rFonts w:ascii="Arial" w:cs="Arial" w:eastAsia="Arial" w:hAnsi="Arial"/>
          <w:sz w:val="18"/>
          <w:szCs w:val="18"/>
          <w:color w:val="auto"/>
        </w:rPr>
        <w:t>Cost of revenues related to our advertising services consists primarily of staff costs for editors of the various content channels of our Internet media business and content fees paid to such content providers as well as that portion of bandwidth and server custody fees, depreciation and amortization of computers and software which are attributable to the provision of advertising services.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jc w:val="both"/>
        <w:ind w:firstLine="639"/>
        <w:spacing w:after="0" w:line="295" w:lineRule="auto"/>
        <w:rPr>
          <w:sz w:val="20"/>
          <w:szCs w:val="20"/>
          <w:color w:val="auto"/>
        </w:rPr>
      </w:pPr>
      <w:r>
        <w:rPr>
          <w:rFonts w:ascii="Arial" w:cs="Arial" w:eastAsia="Arial" w:hAnsi="Arial"/>
          <w:sz w:val="16"/>
          <w:szCs w:val="16"/>
          <w:color w:val="auto"/>
        </w:rPr>
        <w:t>Cost of revenues related to our innovative businesses and others consists primarily of staff costs, service fees related to online payments, as well as that portion of bandwidth and server custody fees, depreciation and amortization of computers and software which are attributable to the provision of the services in this segment. We pay content fees to third-party partners for the right to use proprietary content developed by them, such as copyrights of books and music. We also pay content fees to newspaper and magazine publishers for the right to use their proprietary content, such as headline news and articles.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Operating expenses include selling and marketing expenses, general and administrative expenses and research and development expenses.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and Marketing Expenses</w:t>
      </w:r>
    </w:p>
    <w:p>
      <w:pPr>
        <w:spacing w:after="0" w:line="219" w:lineRule="exact"/>
        <w:rPr>
          <w:sz w:val="20"/>
          <w:szCs w:val="20"/>
          <w:color w:val="auto"/>
        </w:rPr>
      </w:pPr>
    </w:p>
    <w:p>
      <w:pPr>
        <w:ind w:right="300" w:firstLine="639"/>
        <w:spacing w:after="0" w:line="267" w:lineRule="auto"/>
        <w:rPr>
          <w:sz w:val="20"/>
          <w:szCs w:val="20"/>
          <w:color w:val="auto"/>
        </w:rPr>
      </w:pPr>
      <w:r>
        <w:rPr>
          <w:rFonts w:ascii="Arial" w:cs="Arial" w:eastAsia="Arial" w:hAnsi="Arial"/>
          <w:sz w:val="18"/>
          <w:szCs w:val="18"/>
          <w:color w:val="auto"/>
        </w:rPr>
        <w:t>Selling and marketing expenses consist primarily of salary and welfare expenses, shipping and handling costs, compensation costs for our sales and marketing staff, and marketing and advertising expenses payable to third-party vendors, Internet companies and agents.</w:t>
      </w:r>
    </w:p>
    <w:p>
      <w:pPr>
        <w:spacing w:after="0" w:line="179" w:lineRule="exact"/>
        <w:rPr>
          <w:sz w:val="20"/>
          <w:szCs w:val="20"/>
          <w:color w:val="auto"/>
        </w:rPr>
      </w:pPr>
    </w:p>
    <w:p>
      <w:pPr>
        <w:ind w:right="80" w:firstLine="639"/>
        <w:spacing w:after="0" w:line="295" w:lineRule="auto"/>
        <w:rPr>
          <w:sz w:val="20"/>
          <w:szCs w:val="20"/>
          <w:color w:val="auto"/>
        </w:rPr>
      </w:pPr>
      <w:r>
        <w:rPr>
          <w:rFonts w:ascii="Arial" w:cs="Arial" w:eastAsia="Arial" w:hAnsi="Arial"/>
          <w:sz w:val="16"/>
          <w:szCs w:val="16"/>
          <w:color w:val="auto"/>
        </w:rPr>
        <w:t>Shipping and handling costs for our e-commerce platforms, which primarily include third-party delivery costs relating to the delivery of products from our distribution centers to customers, fulfillment expenses incurred in our various distribution facilities and packing material expenses, each of which is classified as selling and marketing expenses. The shipping and handling costs, which are included in selling and marketing expenses, were approximately RMB503.0 million, RMB1,182.7 million and RMB1,670.4 million (US$242.9 million) for the years ended December 31, 2016, 2017 and 2018, respectively.</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9" w:lineRule="exact"/>
        <w:rPr>
          <w:sz w:val="20"/>
          <w:szCs w:val="20"/>
          <w:color w:val="auto"/>
        </w:rPr>
      </w:pPr>
    </w:p>
    <w:p>
      <w:pPr>
        <w:ind w:right="420" w:firstLine="639"/>
        <w:spacing w:after="0" w:line="411" w:lineRule="auto"/>
        <w:rPr>
          <w:sz w:val="20"/>
          <w:szCs w:val="20"/>
          <w:color w:val="auto"/>
        </w:rPr>
      </w:pPr>
      <w:r>
        <w:rPr>
          <w:rFonts w:ascii="Arial" w:cs="Arial" w:eastAsia="Arial" w:hAnsi="Arial"/>
          <w:sz w:val="14"/>
          <w:szCs w:val="14"/>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19" w:lineRule="exact"/>
        <w:rPr>
          <w:sz w:val="20"/>
          <w:szCs w:val="20"/>
          <w:color w:val="auto"/>
        </w:rPr>
      </w:pPr>
    </w:p>
    <w:p>
      <w:pPr>
        <w:ind w:right="440" w:firstLine="639"/>
        <w:spacing w:after="0" w:line="267" w:lineRule="auto"/>
        <w:rPr>
          <w:sz w:val="20"/>
          <w:szCs w:val="20"/>
          <w:color w:val="auto"/>
        </w:rPr>
      </w:pPr>
      <w:r>
        <w:rPr>
          <w:rFonts w:ascii="Arial" w:cs="Arial" w:eastAsia="Arial" w:hAnsi="Arial"/>
          <w:sz w:val="18"/>
          <w:szCs w:val="18"/>
          <w:color w:val="auto"/>
        </w:rPr>
        <w:t>Research and development expenses consist principally of salary and welfare expenses and compensation costs for our research and development professionals.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Cost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NetEase 2009 Restricted Share Unit Plan</w:t>
      </w:r>
    </w:p>
    <w:p>
      <w:pPr>
        <w:spacing w:after="0" w:line="219"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color w:val="auto"/>
        </w:rPr>
        <w:t>In November 2009, we adopted our 2009 Restricted Share Unit Plan, or the RSU Plan, for our employees, directors and consultants. We have reserved 323,694,050 ordinary shares for issuance under this plan. The RSU Plan was adopted by a resolution of the board of directors on November 17, 2009 and became effective for a term of ten years unless sooner terminated.</w:t>
      </w:r>
    </w:p>
    <w:p>
      <w:pPr>
        <w:spacing w:after="0" w:line="188"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For the years ended December 31, 2016, 2017 and 2018, we recorded share-based compensation cost of approximately RMB990.1 million, RMB1,911.2 million and RMB2,491.0 million (US$362.3 million), respectively, for awards granted under the RSU Plan. This cost has been allocated to (i) cost of revenues, (ii) selling and marketing expenses, (iii) general and administrative expenses, and (iv) research and development expenses, depending on the responsibilities of the relevant employees.</w:t>
      </w:r>
    </w:p>
    <w:p>
      <w:pPr>
        <w:spacing w:after="0" w:line="193" w:lineRule="exact"/>
        <w:rPr>
          <w:sz w:val="20"/>
          <w:szCs w:val="20"/>
          <w:color w:val="auto"/>
        </w:rPr>
      </w:pPr>
    </w:p>
    <w:p>
      <w:pPr>
        <w:jc w:val="both"/>
        <w:ind w:right="560" w:firstLine="639"/>
        <w:spacing w:after="0" w:line="257" w:lineRule="auto"/>
        <w:rPr>
          <w:sz w:val="20"/>
          <w:szCs w:val="20"/>
          <w:color w:val="auto"/>
        </w:rPr>
      </w:pPr>
      <w:r>
        <w:rPr>
          <w:rFonts w:ascii="Arial" w:cs="Arial" w:eastAsia="Arial" w:hAnsi="Arial"/>
          <w:sz w:val="18"/>
          <w:szCs w:val="18"/>
          <w:color w:val="auto"/>
        </w:rPr>
        <w:t>As of December 31, 2018, total unrecognized compensation cost related to unvested awards granted under the RSU Plan, adjusted for estimated forfeitures, was RMB4,112.5 million (US$598.1 million), which is expected to be recognized through the remaining vesting period of each grant. As of December 31, 2018, the weighted average remaining vesting period was 2.44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Share Incentive Plans</w:t>
      </w:r>
    </w:p>
    <w:p>
      <w:pPr>
        <w:spacing w:after="0" w:line="219" w:lineRule="exact"/>
        <w:rPr>
          <w:sz w:val="20"/>
          <w:szCs w:val="20"/>
          <w:color w:val="auto"/>
        </w:rPr>
      </w:pPr>
    </w:p>
    <w:p>
      <w:pPr>
        <w:ind w:right="80" w:firstLine="639"/>
        <w:spacing w:after="0" w:line="268" w:lineRule="auto"/>
        <w:rPr>
          <w:sz w:val="20"/>
          <w:szCs w:val="20"/>
          <w:color w:val="auto"/>
        </w:rPr>
      </w:pPr>
      <w:r>
        <w:rPr>
          <w:rFonts w:ascii="Arial" w:cs="Arial" w:eastAsia="Arial" w:hAnsi="Arial"/>
          <w:sz w:val="17"/>
          <w:szCs w:val="17"/>
          <w:color w:val="auto"/>
        </w:rPr>
        <w:t>Beginning in 2014, certain of our subsidiaries granted options exercisable for ordinary shares to certain of our employees. The options expire five to seven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 We adopt the binomial option pricing model to determine the fair value of stock options and accounts for share-based compensation cost using an estimated forfeiture rate. For the years ended December 31, 2017 and 2018, we recorded RMB93.1 million and RMB38.7 million (US$5.6 million) in compensation expenses for the share options granted under these plans.</w:t>
      </w:r>
    </w:p>
    <w:p>
      <w:pPr>
        <w:spacing w:after="0" w:line="182" w:lineRule="exact"/>
        <w:rPr>
          <w:sz w:val="20"/>
          <w:szCs w:val="20"/>
          <w:color w:val="auto"/>
        </w:rPr>
      </w:pPr>
    </w:p>
    <w:p>
      <w:pPr>
        <w:ind w:right="100" w:firstLine="639"/>
        <w:spacing w:after="0" w:line="252" w:lineRule="auto"/>
        <w:rPr>
          <w:sz w:val="20"/>
          <w:szCs w:val="20"/>
          <w:color w:val="auto"/>
        </w:rPr>
      </w:pPr>
      <w:r>
        <w:rPr>
          <w:rFonts w:ascii="Arial" w:cs="Arial" w:eastAsia="Arial" w:hAnsi="Arial"/>
          <w:sz w:val="18"/>
          <w:szCs w:val="18"/>
          <w:color w:val="auto"/>
        </w:rPr>
        <w:t>While certain share options which have been granted will become vested or would commence vesting upon their applicable vesting commencement date, the occurrence of the applicable vesting conditions is not within our control and is not deemed probable to occur for accounting purposes until the vesting commencement date. For such share options, no compensation expenses were recorded. As of December 31, 2018, there were RMB352.6 million (US$51.3 million) in unrecognized share based compensation expenses related to such share options which are expected to be recognized when the relevant vesting conditions are met.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219" w:lineRule="exact"/>
        <w:rPr>
          <w:sz w:val="20"/>
          <w:szCs w:val="20"/>
          <w:color w:val="auto"/>
        </w:rPr>
      </w:pPr>
    </w:p>
    <w:p>
      <w:pPr>
        <w:ind w:right="200" w:firstLine="639"/>
        <w:spacing w:after="0" w:line="257" w:lineRule="auto"/>
        <w:rPr>
          <w:sz w:val="20"/>
          <w:szCs w:val="20"/>
          <w:color w:val="auto"/>
        </w:rPr>
      </w:pPr>
      <w:r>
        <w:rPr>
          <w:rFonts w:ascii="Arial" w:cs="Arial" w:eastAsia="Arial" w:hAnsi="Arial"/>
          <w:sz w:val="18"/>
          <w:szCs w:val="18"/>
          <w:color w:val="auto"/>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British Virgin Islands (“BVI”)</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subsidiaries in the BVI are exempted from income tax on its foreign-derived income in the BVI. There are no withholding taxes in the BVI.</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219" w:lineRule="exact"/>
        <w:rPr>
          <w:sz w:val="20"/>
          <w:szCs w:val="20"/>
          <w:color w:val="auto"/>
        </w:rPr>
      </w:pPr>
    </w:p>
    <w:p>
      <w:pPr>
        <w:ind w:right="220" w:firstLine="639"/>
        <w:spacing w:after="0" w:line="257" w:lineRule="auto"/>
        <w:rPr>
          <w:sz w:val="20"/>
          <w:szCs w:val="20"/>
          <w:color w:val="auto"/>
        </w:rPr>
      </w:pPr>
      <w:r>
        <w:rPr>
          <w:rFonts w:ascii="Arial" w:cs="Arial" w:eastAsia="Arial" w:hAnsi="Arial"/>
          <w:sz w:val="18"/>
          <w:szCs w:val="18"/>
          <w:color w:val="auto"/>
        </w:rPr>
        <w:t>Our subsidiaries in Hong Kong are subject to 16.5% income tax on their taxable income generated from operations in Hong Kong. No significant taxable income was generated by these companies in 2016, 2017 and 2018. The payments of dividends by these companies to us are not subject to any Hong Kong withholding tax.</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China</w:t>
      </w:r>
    </w:p>
    <w:p>
      <w:pPr>
        <w:spacing w:after="0" w:line="219" w:lineRule="exact"/>
        <w:rPr>
          <w:sz w:val="20"/>
          <w:szCs w:val="20"/>
          <w:color w:val="auto"/>
        </w:rPr>
      </w:pPr>
    </w:p>
    <w:p>
      <w:pPr>
        <w:jc w:val="both"/>
        <w:ind w:right="300" w:firstLine="639"/>
        <w:spacing w:after="0" w:line="279" w:lineRule="auto"/>
        <w:rPr>
          <w:sz w:val="20"/>
          <w:szCs w:val="20"/>
          <w:color w:val="auto"/>
        </w:rPr>
      </w:pPr>
      <w:r>
        <w:rPr>
          <w:rFonts w:ascii="Arial" w:cs="Arial" w:eastAsia="Arial" w:hAnsi="Arial"/>
          <w:sz w:val="17"/>
          <w:szCs w:val="17"/>
          <w:color w:val="auto"/>
        </w:rPr>
        <w:t>The PRC Enterprise Income Tax Law subjects Foreign Invested Enterprises (“FIEs”) and domestic companies to EIT at a uniform rate of 25%, and preferential tax treatments may be granted to FIEs or domestic companies which conduct businesses in certain encouraged sectors and to entities otherwise classified as “High and New Technology Enterprises,” or HNTEs, “Software Enterprises” or “Key Software Enterprises.”</w:t>
      </w:r>
    </w:p>
    <w:p>
      <w:pPr>
        <w:spacing w:after="0" w:line="171" w:lineRule="exact"/>
        <w:rPr>
          <w:sz w:val="20"/>
          <w:szCs w:val="20"/>
          <w:color w:val="auto"/>
        </w:rPr>
      </w:pPr>
    </w:p>
    <w:p>
      <w:pPr>
        <w:ind w:right="60" w:firstLine="639"/>
        <w:spacing w:after="0" w:line="304" w:lineRule="auto"/>
        <w:rPr>
          <w:sz w:val="20"/>
          <w:szCs w:val="20"/>
          <w:color w:val="auto"/>
        </w:rPr>
      </w:pPr>
      <w:r>
        <w:rPr>
          <w:rFonts w:ascii="Arial" w:cs="Arial" w:eastAsia="Arial" w:hAnsi="Arial"/>
          <w:sz w:val="16"/>
          <w:szCs w:val="16"/>
          <w:color w:val="auto"/>
        </w:rPr>
        <w:t>NetEase Beijing, Boguan, NetEase Hangzhou, Media Beijing and Hangzhou Langhe were qualified as HNTEs and enjoyed a preferential tax rate of 15% for 2016, 2017 and 2018. In 2016, 2017 and 2018, Boguan, Netease Hangzhou and Media Beijing were each also qualified as a Key Software Enterprise and enjoyed a further reduced preferential tax rate of 10% for 2015, 2016 and 2017. The related tax benefit was recorded in 2016, 2017 and 2018, respectively.</w:t>
      </w:r>
    </w:p>
    <w:p>
      <w:pPr>
        <w:spacing w:after="0" w:line="153" w:lineRule="exact"/>
        <w:rPr>
          <w:sz w:val="20"/>
          <w:szCs w:val="20"/>
          <w:color w:val="auto"/>
        </w:rPr>
      </w:pPr>
    </w:p>
    <w:p>
      <w:pPr>
        <w:ind w:right="200" w:firstLine="639"/>
        <w:spacing w:after="0" w:line="267" w:lineRule="auto"/>
        <w:rPr>
          <w:sz w:val="20"/>
          <w:szCs w:val="20"/>
          <w:color w:val="auto"/>
        </w:rPr>
      </w:pPr>
      <w:r>
        <w:rPr>
          <w:rFonts w:ascii="Arial" w:cs="Arial" w:eastAsia="Arial" w:hAnsi="Arial"/>
          <w:sz w:val="18"/>
          <w:szCs w:val="18"/>
          <w:color w:val="auto"/>
        </w:rPr>
        <w:t>Lede Technology was recognized as a Software Enterprise in 2014. It was exempt from EIT for 2014 and 2015 and subject to a 50% reduction in its EIT rate from 2016 to 2018.</w:t>
      </w:r>
    </w:p>
    <w:p>
      <w:pPr>
        <w:spacing w:after="0" w:line="179" w:lineRule="exact"/>
        <w:rPr>
          <w:sz w:val="20"/>
          <w:szCs w:val="20"/>
          <w:color w:val="auto"/>
        </w:rPr>
      </w:pPr>
    </w:p>
    <w:p>
      <w:pPr>
        <w:ind w:right="180" w:firstLine="639"/>
        <w:spacing w:after="0" w:line="267" w:lineRule="auto"/>
        <w:rPr>
          <w:sz w:val="20"/>
          <w:szCs w:val="20"/>
          <w:color w:val="auto"/>
        </w:rPr>
      </w:pPr>
      <w:r>
        <w:rPr>
          <w:rFonts w:ascii="Arial" w:cs="Arial" w:eastAsia="Arial" w:hAnsi="Arial"/>
          <w:sz w:val="18"/>
          <w:szCs w:val="18"/>
          <w:color w:val="auto"/>
        </w:rPr>
        <w:t>Tianjin Technology was recognized by the tax bureau as a Software Enterprise, and it was exempt from EIT for 2015 and 2016, and subject to a 50% reduction in its EIT rate from 2017 to 2019. The related tax benefit for 2015 was recorded in 2016.</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preferential income tax rates, however, are subject to periodic review and renewal by PRC authorities.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w:t>
      </w:r>
    </w:p>
    <w:p>
      <w:pPr>
        <w:spacing w:after="0" w:line="225" w:lineRule="exact"/>
        <w:rPr>
          <w:sz w:val="20"/>
          <w:szCs w:val="20"/>
          <w:color w:val="auto"/>
        </w:rPr>
      </w:pPr>
    </w:p>
    <w:p>
      <w:pPr>
        <w:ind w:firstLine="639"/>
        <w:spacing w:after="0" w:line="296" w:lineRule="auto"/>
        <w:rPr>
          <w:sz w:val="20"/>
          <w:szCs w:val="20"/>
          <w:color w:val="auto"/>
        </w:rPr>
      </w:pPr>
      <w:r>
        <w:rPr>
          <w:rFonts w:ascii="Arial" w:cs="Arial" w:eastAsia="Arial" w:hAnsi="Arial"/>
          <w:sz w:val="17"/>
          <w:szCs w:val="17"/>
          <w:color w:val="auto"/>
        </w:rPr>
        <w:t>Pursuant to the Provisional Regulation of the PRC on Value Added Tax, or VAT, and its implementation rules, or Provisional VAT Regulation, our PRC subsidiaries and VIEs are generally subject to VAT at a rate of 6% for revenues earned from rendering services to our customers in the PRC.</w:t>
      </w:r>
    </w:p>
    <w:p>
      <w:pPr>
        <w:spacing w:after="0" w:line="157" w:lineRule="exact"/>
        <w:rPr>
          <w:sz w:val="20"/>
          <w:szCs w:val="20"/>
          <w:color w:val="auto"/>
        </w:rPr>
      </w:pPr>
    </w:p>
    <w:p>
      <w:pPr>
        <w:ind w:right="200" w:firstLine="639"/>
        <w:spacing w:after="0" w:line="257" w:lineRule="auto"/>
        <w:rPr>
          <w:sz w:val="20"/>
          <w:szCs w:val="20"/>
          <w:color w:val="auto"/>
        </w:rPr>
      </w:pPr>
      <w:r>
        <w:rPr>
          <w:rFonts w:ascii="Arial" w:cs="Arial" w:eastAsia="Arial" w:hAnsi="Arial"/>
          <w:sz w:val="18"/>
          <w:szCs w:val="18"/>
          <w:color w:val="auto"/>
        </w:rPr>
        <w:t>Gross proceeds from sales of general goods in China are generally subject to a VAT of 17%, with certain exceptions pursuant to the Provisional VAT Regulation. Creditable VAT already paid can be deducted from the calculation of such VAT. In accordance with recent reforms which became effective on May 1, 2018 and April 1, 2019, respectively, the 17% rate was adjusted to 13%.</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40" w:firstLine="639"/>
        <w:spacing w:after="0" w:line="267" w:lineRule="auto"/>
        <w:rPr>
          <w:sz w:val="20"/>
          <w:szCs w:val="20"/>
          <w:color w:val="auto"/>
        </w:rPr>
      </w:pPr>
      <w:r>
        <w:rPr>
          <w:rFonts w:ascii="Arial" w:cs="Arial" w:eastAsia="Arial" w:hAnsi="Arial"/>
          <w:sz w:val="18"/>
          <w:szCs w:val="18"/>
          <w:color w:val="auto"/>
        </w:rPr>
        <w:t>We are also subject to cultural development fees on the provision of advertising services in China. The applicable tax rate is 3% of our advertising services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5" w:lineRule="exact"/>
        <w:rPr>
          <w:sz w:val="20"/>
          <w:szCs w:val="20"/>
          <w:color w:val="auto"/>
        </w:rPr>
      </w:pPr>
    </w:p>
    <w:p>
      <w:pPr>
        <w:ind w:right="80" w:firstLine="639"/>
        <w:spacing w:after="0" w:line="252" w:lineRule="auto"/>
        <w:rPr>
          <w:sz w:val="20"/>
          <w:szCs w:val="20"/>
          <w:color w:val="auto"/>
        </w:rPr>
      </w:pPr>
      <w:r>
        <w:rPr>
          <w:rFonts w:ascii="Arial" w:cs="Arial" w:eastAsia="Arial" w:hAnsi="Arial"/>
          <w:sz w:val="18"/>
          <w:szCs w:val="18"/>
          <w:color w:val="auto"/>
        </w:rPr>
        <w:t>In order to assess uncertain tax positions, we apply a more likely than not threshold and a two-step approach for tax position measurement and financial statement recognition. For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to be realized upon settlement. We did not have any significant unrecognized uncertain tax positions as of December 31, 2017 and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80" w:firstLine="639"/>
        <w:spacing w:after="0" w:line="251"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We make our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93" w:lineRule="exact"/>
        <w:rPr>
          <w:sz w:val="20"/>
          <w:szCs w:val="20"/>
          <w:color w:val="auto"/>
        </w:rPr>
      </w:pPr>
    </w:p>
    <w:p>
      <w:pPr>
        <w:ind w:right="600" w:firstLine="639"/>
        <w:spacing w:after="0" w:line="267" w:lineRule="auto"/>
        <w:rPr>
          <w:sz w:val="20"/>
          <w:szCs w:val="20"/>
          <w:color w:val="auto"/>
        </w:rPr>
      </w:pPr>
      <w:r>
        <w:rPr>
          <w:rFonts w:ascii="Arial" w:cs="Arial" w:eastAsia="Arial" w:hAnsi="Arial"/>
          <w:sz w:val="18"/>
          <w:szCs w:val="18"/>
          <w:color w:val="auto"/>
        </w:rPr>
        <w:t>We believe that the following are some of the more critical judgment areas in the application of our accounting policies that affect our financial condition and results of operation. We do not have significant change in accounting estimates during the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Reporting</w:t>
      </w:r>
    </w:p>
    <w:p>
      <w:pPr>
        <w:spacing w:after="0" w:line="225" w:lineRule="exact"/>
        <w:rPr>
          <w:sz w:val="20"/>
          <w:szCs w:val="20"/>
          <w:color w:val="auto"/>
        </w:rPr>
      </w:pPr>
    </w:p>
    <w:p>
      <w:pPr>
        <w:ind w:right="20" w:firstLine="639"/>
        <w:spacing w:after="0" w:line="284" w:lineRule="auto"/>
        <w:rPr>
          <w:sz w:val="20"/>
          <w:szCs w:val="20"/>
          <w:color w:val="auto"/>
        </w:rPr>
      </w:pPr>
      <w:r>
        <w:rPr>
          <w:rFonts w:ascii="Arial" w:cs="Arial" w:eastAsia="Arial" w:hAnsi="Arial"/>
          <w:sz w:val="16"/>
          <w:szCs w:val="16"/>
          <w:color w:val="auto"/>
        </w:rPr>
        <w:t>Effective in the fourth quarter of 2017, we changed our segment disclosure by reporting the financial results of our e-commerce business separately in light of the significant growth of the revenue contribution from our e-commerce business to our total consolidated net revenues in 2017. This segment primarily reflects the results of our two e-commerce platforms, Kaola and Yanxuan, which were established in January 2015 and April 2016, respectively. On December 31, 2018, we renamed our “e-mail and others” segment to “innovative businesses and others” to better articulate the businesses included in this segment; there was no change to the mix of business included in this segment. We now report four reporting segments: (1) online game services, (2) e-commerce, (3) advertising services, and (4) innovative businesses and others. This change in segment reporting aligns with the manner in which our chief operating decision maker, or CODM, currently receives and uses financial information to allocate resources and evaluate the performance of reporting segments. This change in segment presentation does not affect our consolidated balance sheets, consolidated statements of income or consolidated statements of cash flows. We have retrospectively revised segment information from the previous period to conform to the requisite presentation for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Regarding Revenue Recognition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Revenue Recognition</w:t>
      </w:r>
    </w:p>
    <w:p>
      <w:pPr>
        <w:spacing w:after="0" w:line="219" w:lineRule="exact"/>
        <w:rPr>
          <w:sz w:val="20"/>
          <w:szCs w:val="20"/>
          <w:color w:val="auto"/>
        </w:rPr>
      </w:pPr>
    </w:p>
    <w:p>
      <w:pPr>
        <w:jc w:val="both"/>
        <w:ind w:right="80" w:firstLine="639"/>
        <w:spacing w:after="0" w:line="257" w:lineRule="auto"/>
        <w:rPr>
          <w:sz w:val="20"/>
          <w:szCs w:val="20"/>
          <w:color w:val="auto"/>
        </w:rPr>
      </w:pPr>
      <w:r>
        <w:rPr>
          <w:rFonts w:ascii="Arial" w:cs="Arial" w:eastAsia="Arial" w:hAnsi="Arial"/>
          <w:sz w:val="18"/>
          <w:szCs w:val="18"/>
          <w:color w:val="auto"/>
        </w:rPr>
        <w:t>On January 1, 2018, we adopted Topic 606 using the modified retrospective method applied to all contracts which were not completed as of January 1, 2018. Results for reporting periods beginning after January 1, 2018 are presented under Topic 606, while prior period amounts are not adjusted and continue to be reported in accordance with our historic accounting under Topic 605.</w:t>
      </w:r>
    </w:p>
    <w:p>
      <w:pPr>
        <w:spacing w:after="0" w:line="188"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Under Topic 606, revenues from contracts with customers are recognized when control of the promised goods or services is transferred to our customers, in an amount that reflects the consideration we expect to be entitled to in exchange for those goods or services, reduced by estimates for return allowances, promotional discounts, rebates and VAT. 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and the volume of sales rebates. The amount and timing of our revenues can be different if management made different judgments or utilized different estimates.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40" w:firstLine="639"/>
        <w:spacing w:after="0" w:line="267" w:lineRule="auto"/>
        <w:rPr>
          <w:sz w:val="20"/>
          <w:szCs w:val="20"/>
          <w:color w:val="auto"/>
        </w:rPr>
      </w:pPr>
      <w:r>
        <w:rPr>
          <w:rFonts w:ascii="Arial" w:cs="Arial" w:eastAsia="Arial" w:hAnsi="Arial"/>
          <w:sz w:val="18"/>
          <w:szCs w:val="18"/>
          <w:color w:val="auto"/>
        </w:rPr>
        <w:t>Our service sales represent revenues from online game services, advertising services and other innovative businesses. Product sales represent revenue from the sale of products through our e-commerce platforms where we record revenue on a gross basis.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firstLine="639"/>
        <w:spacing w:after="0" w:line="364" w:lineRule="auto"/>
        <w:rPr>
          <w:sz w:val="20"/>
          <w:szCs w:val="20"/>
          <w:color w:val="auto"/>
        </w:rPr>
      </w:pPr>
      <w:r>
        <w:rPr>
          <w:rFonts w:ascii="Arial" w:cs="Arial" w:eastAsia="Arial" w:hAnsi="Arial"/>
          <w:sz w:val="14"/>
          <w:szCs w:val="14"/>
          <w:color w:val="auto"/>
        </w:rPr>
        <w:t>We operate mobile games and PC-client games. We are the principal of all games we operate, including both self-developed games and licensed games. As all these games are hosted on our servers, we have the pricing discretion, and are responsible for the sale and marketing of the games as well as any related customer services. Fees paid to game developers, distribution channels (for example, app stores) and payment channels are recorded as cost of revenues.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Mobile games</w:t>
      </w:r>
    </w:p>
    <w:p>
      <w:pPr>
        <w:spacing w:after="0" w:line="219" w:lineRule="exact"/>
        <w:rPr>
          <w:sz w:val="20"/>
          <w:szCs w:val="20"/>
          <w:color w:val="auto"/>
        </w:rPr>
      </w:pPr>
    </w:p>
    <w:p>
      <w:pPr>
        <w:jc w:val="both"/>
        <w:ind w:right="40" w:firstLine="639"/>
        <w:spacing w:after="0" w:line="253" w:lineRule="auto"/>
        <w:rPr>
          <w:sz w:val="20"/>
          <w:szCs w:val="20"/>
          <w:color w:val="auto"/>
        </w:rPr>
      </w:pPr>
      <w:r>
        <w:rPr>
          <w:rFonts w:ascii="Arial" w:cs="Arial" w:eastAsia="Arial" w:hAnsi="Arial"/>
          <w:sz w:val="18"/>
          <w:szCs w:val="18"/>
          <w:color w:val="auto"/>
        </w:rPr>
        <w:t>We generate mobile game revenues from the sale of in-game virtual items, including avatars, skills, privileges or other in-game consumables, features or functionality, within the games. The performance obligation is to provide on-going game services to the game players who have purchased such virtual items and is satisfied over the average playing period of the paying players. Accordingly, we recognize the revenues ratably over the estimated average playing period of these paying players.</w:t>
      </w:r>
    </w:p>
    <w:p>
      <w:pPr>
        <w:spacing w:after="0" w:line="193" w:lineRule="exact"/>
        <w:rPr>
          <w:sz w:val="20"/>
          <w:szCs w:val="20"/>
          <w:color w:val="auto"/>
        </w:rPr>
      </w:pPr>
    </w:p>
    <w:p>
      <w:pPr>
        <w:ind w:right="20" w:firstLine="639"/>
        <w:spacing w:after="0" w:line="251" w:lineRule="auto"/>
        <w:rPr>
          <w:sz w:val="20"/>
          <w:szCs w:val="20"/>
          <w:color w:val="auto"/>
        </w:rPr>
      </w:pPr>
      <w:r>
        <w:rPr>
          <w:rFonts w:ascii="Arial" w:cs="Arial" w:eastAsia="Arial" w:hAnsi="Arial"/>
          <w:sz w:val="18"/>
          <w:szCs w:val="18"/>
          <w:color w:val="auto"/>
        </w:rPr>
        <w:t>We consider the average period that players typically play the games and other game player behavior patterns, as well as various other factors to arrive at the best estimates for the estimated playing period of the paying players for each game. If a new game is launched and only a limited period of paying player data is available, then we consider other qualitative factors, such as the playing patterns for paying users for other games with similar characteristics and playing patterns of paying players, such as targeted players and purchasing frequency. While we believe our estimates to be reasonable based on available game player information, we may revise such estimates based on new information indicating a change in the game player behavior patterns and any adjustments are applied prospectively.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PC-client games</w:t>
      </w:r>
    </w:p>
    <w:p>
      <w:pPr>
        <w:spacing w:after="0" w:line="219" w:lineRule="exact"/>
        <w:rPr>
          <w:sz w:val="20"/>
          <w:szCs w:val="20"/>
          <w:color w:val="auto"/>
        </w:rPr>
      </w:pPr>
    </w:p>
    <w:p>
      <w:pPr>
        <w:ind w:right="320" w:firstLine="639"/>
        <w:spacing w:after="0" w:line="291" w:lineRule="auto"/>
        <w:rPr>
          <w:sz w:val="20"/>
          <w:szCs w:val="20"/>
          <w:color w:val="auto"/>
        </w:rPr>
      </w:pPr>
      <w:r>
        <w:rPr>
          <w:rFonts w:ascii="Arial" w:cs="Arial" w:eastAsia="Arial" w:hAnsi="Arial"/>
          <w:sz w:val="16"/>
          <w:szCs w:val="16"/>
          <w:color w:val="auto"/>
        </w:rPr>
        <w:t>We sell prepaid point cards to players of our PC-client games. Players can purchase physical prepaid point cards in different locations in China, including Internet cafés, software stores, convenience stores and bookstores. They can also purchase “virtual” prepaid points from vendors who register the points in our system and “virtual” prepaid cards online via debit and credit cards or bank transfers via online payment services platforms, and receive the prepaid point information over the Internet. Our game players can use the points to play our PC-client games, pay for in-game items and use other fee-based services. Proceeds received from the sales of prepaid point cards and online points to players are recorded as deferred revenues.</w:t>
      </w:r>
    </w:p>
    <w:p>
      <w:pPr>
        <w:spacing w:after="0" w:line="163" w:lineRule="exact"/>
        <w:rPr>
          <w:sz w:val="20"/>
          <w:szCs w:val="20"/>
          <w:color w:val="auto"/>
        </w:rPr>
      </w:pPr>
    </w:p>
    <w:p>
      <w:pPr>
        <w:ind w:right="140" w:firstLine="639"/>
        <w:spacing w:after="0" w:line="257" w:lineRule="auto"/>
        <w:rPr>
          <w:sz w:val="20"/>
          <w:szCs w:val="20"/>
          <w:color w:val="auto"/>
        </w:rPr>
      </w:pPr>
      <w:r>
        <w:rPr>
          <w:rFonts w:ascii="Arial" w:cs="Arial" w:eastAsia="Arial" w:hAnsi="Arial"/>
          <w:sz w:val="18"/>
          <w:szCs w:val="18"/>
          <w:color w:val="auto"/>
        </w:rPr>
        <w:t>We earn revenue through providing PC-client game services to players under two types of revenue models: time-based revenue model and item-based revenue model. For PC-client games using the time-based model, players are charged based on the time they spend playing games. Revenues are recognized ratably over the game playing period as the performance obligations are satisfied.</w:t>
      </w:r>
    </w:p>
    <w:p>
      <w:pPr>
        <w:spacing w:after="0" w:line="188" w:lineRule="exact"/>
        <w:rPr>
          <w:sz w:val="20"/>
          <w:szCs w:val="20"/>
          <w:color w:val="auto"/>
        </w:rPr>
      </w:pPr>
    </w:p>
    <w:p>
      <w:pPr>
        <w:ind w:right="100" w:firstLine="639"/>
        <w:spacing w:after="0" w:line="268" w:lineRule="auto"/>
        <w:rPr>
          <w:sz w:val="20"/>
          <w:szCs w:val="20"/>
          <w:color w:val="auto"/>
        </w:rPr>
      </w:pPr>
      <w:r>
        <w:rPr>
          <w:rFonts w:ascii="Arial" w:cs="Arial" w:eastAsia="Arial" w:hAnsi="Arial"/>
          <w:sz w:val="17"/>
          <w:szCs w:val="17"/>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firstLine="639"/>
        <w:spacing w:after="0" w:line="252" w:lineRule="auto"/>
        <w:rPr>
          <w:sz w:val="20"/>
          <w:szCs w:val="20"/>
          <w:color w:val="auto"/>
        </w:rPr>
      </w:pPr>
      <w:r>
        <w:rPr>
          <w:rFonts w:ascii="Arial" w:cs="Arial" w:eastAsia="Arial" w:hAnsi="Arial"/>
          <w:sz w:val="18"/>
          <w:szCs w:val="18"/>
          <w:color w:val="auto"/>
        </w:rPr>
        <w:t>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of the playing period of paying players for the permanent in-game items of PC-client games. This estimate is re-assessed on a quarterly basis. Adjustments arising from changes in the estimated playing period of paying players are applied prospectively as such changes result from new information indicating a change in the game player behavior patterns.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Breakage of unused PC-client game points</w:t>
      </w:r>
    </w:p>
    <w:p>
      <w:pPr>
        <w:spacing w:after="0" w:line="219" w:lineRule="exact"/>
        <w:rPr>
          <w:sz w:val="20"/>
          <w:szCs w:val="20"/>
          <w:color w:val="auto"/>
        </w:rPr>
      </w:pPr>
    </w:p>
    <w:p>
      <w:pPr>
        <w:ind w:right="220" w:firstLine="639"/>
        <w:spacing w:after="0" w:line="279" w:lineRule="auto"/>
        <w:rPr>
          <w:sz w:val="20"/>
          <w:szCs w:val="20"/>
          <w:color w:val="auto"/>
        </w:rPr>
      </w:pPr>
      <w:r>
        <w:rPr>
          <w:rFonts w:ascii="Arial" w:cs="Arial" w:eastAsia="Arial" w:hAnsi="Arial"/>
          <w:sz w:val="17"/>
          <w:szCs w:val="17"/>
          <w:color w:val="auto"/>
        </w:rPr>
        <w:t>We recognize expected breakage associated with our unused online points with expiry dates in a personal game account as revenue, using a game player’s historical consumption pattern as reference and subject to certain other variable considerations. For game points that do not expire, we recognize the expected breakage amount as revenue when the likelihood of the player exercising the remaining points becomes remote.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right="180" w:firstLine="639"/>
        <w:spacing w:after="0" w:line="304" w:lineRule="auto"/>
        <w:rPr>
          <w:sz w:val="20"/>
          <w:szCs w:val="20"/>
          <w:color w:val="auto"/>
        </w:rPr>
      </w:pPr>
      <w:r>
        <w:rPr>
          <w:rFonts w:ascii="Arial" w:cs="Arial" w:eastAsia="Arial" w:hAnsi="Arial"/>
          <w:sz w:val="16"/>
          <w:szCs w:val="16"/>
          <w:color w:val="auto"/>
        </w:rPr>
        <w:t>We are the principal for our online direct sales because we control the inventory before it is transferred to customers. We also have the primary responsibility for fulfilling the contracts and bearing the inventory risk, and the sole discretion in establishing prices. E-commerce revenues from these online direct sales are recognized when control of the goods is transferred to the customer, which generally occurs upon our delivery to the customer.</w:t>
      </w:r>
    </w:p>
    <w:p>
      <w:pPr>
        <w:spacing w:after="0" w:line="153" w:lineRule="exact"/>
        <w:rPr>
          <w:sz w:val="20"/>
          <w:szCs w:val="20"/>
          <w:color w:val="auto"/>
        </w:rPr>
      </w:pPr>
    </w:p>
    <w:p>
      <w:pPr>
        <w:ind w:right="200" w:firstLine="639"/>
        <w:spacing w:after="0" w:line="257" w:lineRule="auto"/>
        <w:rPr>
          <w:sz w:val="20"/>
          <w:szCs w:val="20"/>
          <w:color w:val="auto"/>
        </w:rPr>
      </w:pPr>
      <w:r>
        <w:rPr>
          <w:rFonts w:ascii="Arial" w:cs="Arial" w:eastAsia="Arial" w:hAnsi="Arial"/>
          <w:sz w:val="18"/>
          <w:szCs w:val="18"/>
          <w:color w:val="auto"/>
        </w:rPr>
        <w:t>For our online marketplace business, third-party sellers offer products to customers through our e-commerce platform and we act as the marketplace service provider. We are not the seller of the third-parties’ goods in these transactions and recognize revenue when services are rendered based on a pre-determined service fee rate.</w:t>
      </w:r>
    </w:p>
    <w:p>
      <w:pPr>
        <w:spacing w:after="0" w:line="188" w:lineRule="exact"/>
        <w:rPr>
          <w:sz w:val="20"/>
          <w:szCs w:val="20"/>
          <w:color w:val="auto"/>
        </w:rPr>
      </w:pPr>
    </w:p>
    <w:p>
      <w:pPr>
        <w:ind w:right="360" w:firstLine="639"/>
        <w:spacing w:after="0" w:line="267" w:lineRule="auto"/>
        <w:rPr>
          <w:sz w:val="20"/>
          <w:szCs w:val="20"/>
          <w:color w:val="auto"/>
        </w:rPr>
      </w:pPr>
      <w:r>
        <w:rPr>
          <w:rFonts w:ascii="Arial" w:cs="Arial" w:eastAsia="Arial" w:hAnsi="Arial"/>
          <w:sz w:val="18"/>
          <w:szCs w:val="18"/>
          <w:color w:val="auto"/>
        </w:rPr>
        <w:t>We also provide discount coupons to our customers for use in purchases on our e-commerce platforms, Kaola and Yanxuan, which are treated as a reduction of revenue when the related transaction is recognized.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Return allowance</w:t>
      </w:r>
    </w:p>
    <w:p>
      <w:pPr>
        <w:spacing w:after="0" w:line="219" w:lineRule="exact"/>
        <w:rPr>
          <w:sz w:val="20"/>
          <w:szCs w:val="20"/>
          <w:color w:val="auto"/>
        </w:rPr>
      </w:pPr>
    </w:p>
    <w:p>
      <w:pPr>
        <w:jc w:val="both"/>
        <w:ind w:right="200" w:firstLine="639"/>
        <w:spacing w:after="0" w:line="279" w:lineRule="auto"/>
        <w:rPr>
          <w:sz w:val="20"/>
          <w:szCs w:val="20"/>
          <w:color w:val="auto"/>
        </w:rPr>
      </w:pPr>
      <w:r>
        <w:rPr>
          <w:rFonts w:ascii="Arial" w:cs="Arial" w:eastAsia="Arial" w:hAnsi="Arial"/>
          <w:sz w:val="17"/>
          <w:szCs w:val="17"/>
          <w:color w:val="auto"/>
        </w:rPr>
        <w:t>We estimate return allowances, which reduce revenue and cost of sales, using relevant historical data. Liabilities for return allowances and rights to recover products from customers associated with our liabilities are recorded as “Accrue liabilities and other payables” and “Inventories, net”, respectively, on our consolidated balance sheets. Neither of such balances were material as of December 31, 2017 and 2018.</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firstLine="639"/>
        <w:spacing w:after="0" w:line="266" w:lineRule="auto"/>
        <w:rPr>
          <w:sz w:val="20"/>
          <w:szCs w:val="20"/>
          <w:color w:val="auto"/>
        </w:rPr>
      </w:pPr>
      <w:r>
        <w:rPr>
          <w:rFonts w:ascii="Arial" w:cs="Arial" w:eastAsia="Arial" w:hAnsi="Arial"/>
          <w:sz w:val="17"/>
          <w:szCs w:val="17"/>
          <w:color w:val="auto"/>
        </w:rPr>
        <w:t>We derive advertising fees principally from short-term advertising contracts. Advertising service contracts consist of multiple performance obligations with a typical term of less than three months. Each performance obligation generally represents a different form of advertisement, including but not limited to banners, text-links, videos, logos and rich media. In arrangements where we have multiple performance obligations, the transaction price is allocated to each performance obligation using the relative standalone price for each obligation. We generally determine standalone prices based on the historical prices charged to customers. If the performance obligation has not been sold separately, we estimate the standalone price by taking into consideration the pricing for advertising areas on our platform with similar levels of popularity and advertisements with similar formats and quoted prices from competitors as well as other general market conditions. Consideration allocated to each performance obligation is recognized as revenue over the advertisement display period, which is usually within three months.</w:t>
      </w:r>
    </w:p>
    <w:p>
      <w:pPr>
        <w:spacing w:after="0" w:line="185" w:lineRule="exact"/>
        <w:rPr>
          <w:sz w:val="20"/>
          <w:szCs w:val="20"/>
          <w:color w:val="auto"/>
        </w:rPr>
      </w:pPr>
    </w:p>
    <w:p>
      <w:pPr>
        <w:ind w:right="40" w:firstLine="639"/>
        <w:spacing w:after="0" w:line="253" w:lineRule="auto"/>
        <w:rPr>
          <w:sz w:val="20"/>
          <w:szCs w:val="20"/>
          <w:color w:val="auto"/>
        </w:rPr>
      </w:pPr>
      <w:r>
        <w:rPr>
          <w:rFonts w:ascii="Arial" w:cs="Arial" w:eastAsia="Arial" w:hAnsi="Arial"/>
          <w:sz w:val="18"/>
          <w:szCs w:val="18"/>
          <w:color w:val="auto"/>
        </w:rPr>
        <w:t>We also enter into performance-based advertising arrangements with customers based on cost per thousand impressions, under which we recognize revenues based on the number of times that the advertisement has been displayed. We also enters into cost per action advertising arrangements with customers, under which revenues are recognized based on the number of actions completed resulting from our advertisements, including but not limited to when end-users click on links to our customers’ products.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67" w:lineRule="auto"/>
        <w:rPr>
          <w:sz w:val="20"/>
          <w:szCs w:val="20"/>
          <w:color w:val="auto"/>
        </w:rPr>
      </w:pPr>
      <w:r>
        <w:rPr>
          <w:rFonts w:ascii="Arial" w:cs="Arial" w:eastAsia="Arial" w:hAnsi="Arial"/>
          <w:sz w:val="18"/>
          <w:szCs w:val="18"/>
          <w:color w:val="auto"/>
        </w:rPr>
        <w:t>Certain customers may receive volume rebates, which are accounted for as a variable consideration. We estimate annual expected revenue volume with reference to such customers’ historical results and reduce the relevant revenues recognized.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Revenue from innovative businesses and others is predominantly derived from fee-based premium services, online payment platform services and other online services. Fee-based premium services revenues, mostly operated on either consumption-basis or a monthly subscription basis, are derived principally from providing premium live-streaming services, online music services, online reading, e-mail and other innovative businesses. Prepaid subscription fees collected from customers are deferred and are recognized as revenue on a straight-line basis by us over the subscription period, during which customers can access the premium online services provided by us. Fees collected from customers to purchase online services are recognized as revenue when the related services are rendered.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used the following practical expedients as allowed under ASC 606:</w:t>
      </w:r>
    </w:p>
    <w:p>
      <w:pPr>
        <w:spacing w:after="0" w:line="219" w:lineRule="exact"/>
        <w:rPr>
          <w:sz w:val="20"/>
          <w:szCs w:val="20"/>
          <w:color w:val="auto"/>
        </w:rPr>
      </w:pPr>
    </w:p>
    <w:p>
      <w:pPr>
        <w:ind w:right="240" w:firstLine="686"/>
        <w:spacing w:after="0" w:line="330" w:lineRule="auto"/>
        <w:tabs>
          <w:tab w:leader="none" w:pos="13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effects of a significant financing component are not taken into account for contracts if we expect, at contract inception, that the period between when we transfer a promised good or service to the customer and when the customer pays for that good or service will be one year or less.</w:t>
      </w:r>
    </w:p>
    <w:p>
      <w:pPr>
        <w:spacing w:after="0" w:line="133" w:lineRule="exact"/>
        <w:rPr>
          <w:rFonts w:ascii="Arial" w:cs="Arial" w:eastAsia="Arial" w:hAnsi="Arial"/>
          <w:sz w:val="16"/>
          <w:szCs w:val="16"/>
          <w:color w:val="auto"/>
        </w:rPr>
      </w:pPr>
    </w:p>
    <w:p>
      <w:pPr>
        <w:ind w:right="20" w:firstLine="646"/>
        <w:spacing w:after="0" w:line="279" w:lineRule="auto"/>
        <w:tabs>
          <w:tab w:leader="none" w:pos="13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apply the portfolio approach in determining the commencement date of consumption of permanent virtual items and the estimated average playing period of paying players for our PC-client games and mobile games for the recognition of online game revenue given that the effect of applying a portfolio approach to a group game players’ behaviors does not differ materially from considering each one of them individually.</w:t>
      </w:r>
    </w:p>
    <w:p>
      <w:pPr>
        <w:spacing w:after="0" w:line="170" w:lineRule="exact"/>
        <w:rPr>
          <w:rFonts w:ascii="Arial" w:cs="Arial" w:eastAsia="Arial" w:hAnsi="Arial"/>
          <w:sz w:val="17"/>
          <w:szCs w:val="17"/>
          <w:color w:val="auto"/>
        </w:rPr>
      </w:pPr>
    </w:p>
    <w:p>
      <w:pPr>
        <w:ind w:left="1360" w:hanging="714"/>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We elect to expense the costs to obtain a contract as incurred when the expected amortization period is one year or less.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Balances</w:t>
      </w:r>
    </w:p>
    <w:p>
      <w:pPr>
        <w:spacing w:after="0" w:line="219" w:lineRule="exact"/>
        <w:rPr>
          <w:sz w:val="20"/>
          <w:szCs w:val="20"/>
          <w:color w:val="auto"/>
        </w:rPr>
      </w:pPr>
    </w:p>
    <w:p>
      <w:pPr>
        <w:ind w:right="60" w:firstLine="639"/>
        <w:spacing w:after="0" w:line="291" w:lineRule="auto"/>
        <w:rPr>
          <w:sz w:val="20"/>
          <w:szCs w:val="20"/>
          <w:color w:val="auto"/>
        </w:rPr>
      </w:pPr>
      <w:r>
        <w:rPr>
          <w:rFonts w:ascii="Arial" w:cs="Arial" w:eastAsia="Arial" w:hAnsi="Arial"/>
          <w:sz w:val="16"/>
          <w:szCs w:val="16"/>
          <w:color w:val="auto"/>
        </w:rPr>
        <w:t>Timing of revenue recognition may differ from the timing of invoicing to customers. Accounts receivables represent amounts invoiced and revenue recognized prior to invoicing, when we have satisfied our performance obligations and have the unconditional right to payment. We closely monitor the collection of our accounts receivables and record a reserve for doubtful accounts against aged accounts and for specifically identified non-recoverable amounts. If the economic situation and the financial condition of the customer deteriorates resulting in an impairment of the customer’s ability to make payments, additional allowances might be required. Accounts receivables balances are written off when they are determined to be uncollectible.</w:t>
      </w:r>
    </w:p>
    <w:p>
      <w:pPr>
        <w:spacing w:after="0" w:line="157" w:lineRule="exact"/>
        <w:rPr>
          <w:sz w:val="20"/>
          <w:szCs w:val="20"/>
          <w:color w:val="auto"/>
        </w:rPr>
      </w:pPr>
    </w:p>
    <w:p>
      <w:pPr>
        <w:jc w:val="center"/>
        <w:ind w:right="7680"/>
        <w:spacing w:after="0"/>
        <w:rPr>
          <w:sz w:val="20"/>
          <w:szCs w:val="20"/>
          <w:color w:val="auto"/>
        </w:rPr>
      </w:pPr>
      <w:r>
        <w:rPr>
          <w:rFonts w:ascii="Arial" w:cs="Arial" w:eastAsia="Arial" w:hAnsi="Arial"/>
          <w:sz w:val="16"/>
          <w:szCs w:val="16"/>
          <w:b w:val="1"/>
          <w:bCs w:val="1"/>
          <w:color w:val="auto"/>
        </w:rPr>
        <w:t>Other Critical Accounting Policies and Estimates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Costs</w:t>
      </w:r>
    </w:p>
    <w:p>
      <w:pPr>
        <w:spacing w:after="0" w:line="219" w:lineRule="exact"/>
        <w:rPr>
          <w:sz w:val="20"/>
          <w:szCs w:val="20"/>
          <w:color w:val="auto"/>
        </w:rPr>
      </w:pPr>
    </w:p>
    <w:p>
      <w:pPr>
        <w:ind w:right="200" w:firstLine="639"/>
        <w:spacing w:after="0" w:line="295"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We did not capitalize costs incurred for the development of online game products for the years ended December 31, 2016, 2017 and 2018 because the period after the date technical feasibility is reached and the time when the game is marketed have been short historically and the development costs incurred in the period are insignificant.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Depreciation</w:t>
      </w:r>
    </w:p>
    <w:p>
      <w:pPr>
        <w:spacing w:after="0" w:line="219" w:lineRule="exact"/>
        <w:rPr>
          <w:sz w:val="20"/>
          <w:szCs w:val="20"/>
          <w:color w:val="auto"/>
        </w:rPr>
      </w:pPr>
    </w:p>
    <w:p>
      <w:pPr>
        <w:ind w:right="80" w:firstLine="639"/>
        <w:spacing w:after="0" w:line="257" w:lineRule="auto"/>
        <w:rPr>
          <w:sz w:val="20"/>
          <w:szCs w:val="20"/>
          <w:color w:val="auto"/>
        </w:rPr>
      </w:pPr>
      <w:r>
        <w:rPr>
          <w:rFonts w:ascii="Arial" w:cs="Arial" w:eastAsia="Arial" w:hAnsi="Arial"/>
          <w:sz w:val="18"/>
          <w:szCs w:val="18"/>
          <w:color w:val="auto"/>
        </w:rPr>
        <w:t>We depreciate our building, computer equipment, software and other assets (other than leasehold improvements) on a straight-line basis over their estimated useful lives, which range from three years to twenty years. We depreciate leasehold improvements, which are included in our operating expenses, on a straight-line basis over the lesser of the relevant lease term or their estimated useful lives.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91" w:lineRule="auto"/>
        <w:rPr>
          <w:sz w:val="20"/>
          <w:szCs w:val="20"/>
          <w:color w:val="auto"/>
        </w:rPr>
      </w:pPr>
      <w:r>
        <w:rPr>
          <w:rFonts w:ascii="Arial" w:cs="Arial" w:eastAsia="Arial" w:hAnsi="Arial"/>
          <w:sz w:val="16"/>
          <w:szCs w:val="16"/>
          <w:color w:val="auto"/>
        </w:rPr>
        <w:t>Management’s judgment is required in the assessment of the useful lives of long-lived assets, and is required in the measurement of impairment. Long-lived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The estimation of future cash flows requires significant management judgment based on our historical results and anticipated results and is subject to many factors. Measurement of any impairment loss for long-lived assets is based on the amount by which the carrying value exceeds the fair value of the asset.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Inventories, net</w:t>
      </w:r>
    </w:p>
    <w:p>
      <w:pPr>
        <w:spacing w:after="0" w:line="219" w:lineRule="exact"/>
        <w:rPr>
          <w:sz w:val="20"/>
          <w:szCs w:val="20"/>
          <w:color w:val="auto"/>
        </w:rPr>
      </w:pPr>
    </w:p>
    <w:p>
      <w:pPr>
        <w:ind w:right="280" w:firstLine="639"/>
        <w:spacing w:after="0" w:line="267" w:lineRule="auto"/>
        <w:rPr>
          <w:sz w:val="20"/>
          <w:szCs w:val="20"/>
          <w:color w:val="auto"/>
        </w:rPr>
      </w:pPr>
      <w:r>
        <w:rPr>
          <w:rFonts w:ascii="Arial" w:cs="Arial" w:eastAsia="Arial" w:hAnsi="Arial"/>
          <w:sz w:val="18"/>
          <w:szCs w:val="18"/>
          <w:color w:val="auto"/>
        </w:rPr>
        <w:t>Inventories, which mainly represent products for our e-commerce business, are stated at the lower of cost or net realizable value in our consolidated balance sheets. Cost of inventory is determined using the weighted average cost method.</w:t>
      </w:r>
    </w:p>
    <w:p>
      <w:pPr>
        <w:spacing w:after="0" w:line="179" w:lineRule="exact"/>
        <w:rPr>
          <w:sz w:val="20"/>
          <w:szCs w:val="20"/>
          <w:color w:val="auto"/>
        </w:rPr>
      </w:pPr>
    </w:p>
    <w:p>
      <w:pPr>
        <w:ind w:right="420" w:firstLine="639"/>
        <w:spacing w:after="0" w:line="295" w:lineRule="auto"/>
        <w:rPr>
          <w:sz w:val="20"/>
          <w:szCs w:val="20"/>
          <w:color w:val="auto"/>
        </w:rPr>
      </w:pPr>
      <w:r>
        <w:rPr>
          <w:rFonts w:ascii="Arial" w:cs="Arial" w:eastAsia="Arial" w:hAnsi="Arial"/>
          <w:sz w:val="16"/>
          <w:szCs w:val="16"/>
          <w:color w:val="auto"/>
        </w:rPr>
        <w:t>Adjustments are recorded to write down the cost of inventory to the estimated net realizable value due to slow-moving merchandise and damaged goods, which is dependent upon factors such as historical and forecasted consumer demand and promotional environment. We take ownership, risks and rewards of the products purchased. Write downs are recorded in cost of revenues in our consolidated statements of operations and comprehensive income. Certain costs attributable to buying and receiving products, such as purchase freights, are also included in inventories.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Short-term investments</w:t>
      </w:r>
    </w:p>
    <w:p>
      <w:pPr>
        <w:spacing w:after="0" w:line="219"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and investments that we intend, and have the ability, to hold to maturity.</w:t>
      </w:r>
    </w:p>
    <w:p>
      <w:pPr>
        <w:spacing w:after="0" w:line="179" w:lineRule="exact"/>
        <w:rPr>
          <w:sz w:val="20"/>
          <w:szCs w:val="20"/>
          <w:color w:val="auto"/>
        </w:rPr>
      </w:pPr>
    </w:p>
    <w:p>
      <w:pPr>
        <w:ind w:right="60" w:firstLine="639"/>
        <w:spacing w:after="0" w:line="295"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Long-term investments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investments are comprised of equity investments in publicly traded companies and privately-held companies.</w:t>
      </w:r>
    </w:p>
    <w:p>
      <w:pPr>
        <w:spacing w:after="0" w:line="219" w:lineRule="exact"/>
        <w:rPr>
          <w:sz w:val="20"/>
          <w:szCs w:val="20"/>
          <w:color w:val="auto"/>
        </w:rPr>
      </w:pPr>
    </w:p>
    <w:p>
      <w:pPr>
        <w:ind w:right="40" w:firstLine="639"/>
        <w:spacing w:after="0" w:line="266" w:lineRule="auto"/>
        <w:rPr>
          <w:sz w:val="20"/>
          <w:szCs w:val="20"/>
          <w:color w:val="auto"/>
        </w:rPr>
      </w:pPr>
      <w:r>
        <w:rPr>
          <w:rFonts w:ascii="Arial" w:cs="Arial" w:eastAsia="Arial" w:hAnsi="Arial"/>
          <w:sz w:val="17"/>
          <w:szCs w:val="17"/>
          <w:color w:val="auto"/>
        </w:rPr>
        <w:t>Equity investments in publicly traded companies are reported at fair value. Prior to January 1, 2018, they were classified as available-for-sale equity securities under long-term investments, with unrealized gains or losses, if any, recorded in accumulated other comprehensive income/(loss) in shareholders’ equity. The treatment of a decline in the fair value of an individual security is based on whether the decline is other-than-temporary. We assess available-for-sale equity securities for other-than-temporary impairment by considering factors including, but not limited to, our ability and intent to hold the individual security, severity of the impairment, expected duration of the impairment and forecasted recovery of fair value. If we determine a decline in fair value is other-than-temporary, the cost basis of the individual security is then written down to fair value as a new cost basis and the amount of the write-down is accounted for as a realized loss charged to the consolidated statements of comprehensive income. The fair value of the investment would then become the new cost basis of the investment and is not adjusted for subsequent recoveries in fair value. Starting January 1, 2018, upon the adoption of ASU 2016-01, unrealized gains and losses during the year of 2018 are recognized in other income/(expense).</w:t>
      </w:r>
    </w:p>
    <w:p>
      <w:pPr>
        <w:spacing w:after="0" w:line="181" w:lineRule="exact"/>
        <w:rPr>
          <w:sz w:val="20"/>
          <w:szCs w:val="20"/>
          <w:color w:val="auto"/>
        </w:rPr>
      </w:pPr>
    </w:p>
    <w:p>
      <w:pPr>
        <w:ind w:right="40" w:firstLine="639"/>
        <w:spacing w:after="0" w:line="286" w:lineRule="auto"/>
        <w:rPr>
          <w:sz w:val="20"/>
          <w:szCs w:val="20"/>
          <w:color w:val="auto"/>
        </w:rPr>
      </w:pPr>
      <w:r>
        <w:rPr>
          <w:rFonts w:ascii="Arial" w:cs="Arial" w:eastAsia="Arial" w:hAnsi="Arial"/>
          <w:sz w:val="16"/>
          <w:szCs w:val="16"/>
          <w:color w:val="auto"/>
        </w:rPr>
        <w:t>Prior to January 1, 2018, for investments in common stock or in-substance commons stocks issued by privately-held companies over which we did not have significant influence, and investments in privately-held companies’ equity securities that are not common stock or in-substance common stocks, as these securities do not have readily determinable fair value, we carried such investments at cost and only adjusted for other-than-temporary declines in fair value and distributions of earnings that exceeded our share of earnings since our investment. Starting January 1, 2018, upon the adoption of ASU 2016-01, we have elected to measure these investments in equity securities without readily determinable fair value at cost, less impairment, if any, plus or minus changes resulting from observable price changes in orderly transactions for the same or a similar investment in the same issuer (referred to as the measurement alternative). All gains and losses on these equity securities, realized and unrealized, are recognized in other income (expense), net.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firstLine="639"/>
        <w:spacing w:after="0" w:line="252" w:lineRule="auto"/>
        <w:rPr>
          <w:sz w:val="20"/>
          <w:szCs w:val="20"/>
          <w:color w:val="auto"/>
        </w:rPr>
      </w:pPr>
      <w:r>
        <w:rPr>
          <w:rFonts w:ascii="Arial" w:cs="Arial" w:eastAsia="Arial" w:hAnsi="Arial"/>
          <w:sz w:val="18"/>
          <w:szCs w:val="18"/>
          <w:color w:val="auto"/>
        </w:rPr>
        <w:t>Management regularly evaluates the impairment of its investments in privately-held companies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Investments in equity method investees</w:t>
      </w:r>
    </w:p>
    <w:p>
      <w:pPr>
        <w:spacing w:after="0" w:line="219"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Investments in common stock or in-substance common stock of investees and investments in limited partnerships in which we are in a position to exercise significant influence by participating in, but not controlling or jointly controlling, the financial and operating policies are accounted for using the equity method and are reported under long-term investment in the consolidated balance sheets.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Share-Based Compensation Expense</w:t>
      </w:r>
    </w:p>
    <w:p>
      <w:pPr>
        <w:spacing w:after="0" w:line="219" w:lineRule="exact"/>
        <w:rPr>
          <w:sz w:val="20"/>
          <w:szCs w:val="20"/>
          <w:color w:val="auto"/>
        </w:rPr>
      </w:pPr>
    </w:p>
    <w:p>
      <w:pPr>
        <w:ind w:right="20" w:firstLine="639"/>
        <w:spacing w:after="0" w:line="250" w:lineRule="auto"/>
        <w:rPr>
          <w:sz w:val="20"/>
          <w:szCs w:val="20"/>
          <w:color w:val="auto"/>
        </w:rPr>
      </w:pPr>
      <w:r>
        <w:rPr>
          <w:rFonts w:ascii="Arial" w:cs="Arial" w:eastAsia="Arial" w:hAnsi="Arial"/>
          <w:sz w:val="18"/>
          <w:szCs w:val="18"/>
          <w:color w:val="auto"/>
        </w:rPr>
        <w:t>Under our RSU Plan, we issue restricted share units, or RSUs, to our employees, directors and consultants with performance conditions and service vesting periods ranging from one year to five years. Some of the RSUs issued are to be settled, at our discretion, in shares or cash upon vesting based on the share price at grant date. At each reporting period, we evaluate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shares only is measured based on the fair value of shares when all conditions to establish the grant date have been met. The compensation cost of RSUs to be settled either in shares or cash at our discretion is remeasured until the date when settlement in shares or cash is determined by us.</w:t>
      </w:r>
    </w:p>
    <w:p>
      <w:pPr>
        <w:spacing w:after="0" w:line="196" w:lineRule="exact"/>
        <w:rPr>
          <w:sz w:val="20"/>
          <w:szCs w:val="20"/>
          <w:color w:val="auto"/>
        </w:rPr>
      </w:pPr>
    </w:p>
    <w:p>
      <w:pPr>
        <w:ind w:right="360" w:firstLine="639"/>
        <w:spacing w:after="0" w:line="296" w:lineRule="auto"/>
        <w:rPr>
          <w:sz w:val="20"/>
          <w:szCs w:val="20"/>
          <w:color w:val="auto"/>
        </w:rPr>
      </w:pPr>
      <w:r>
        <w:rPr>
          <w:rFonts w:ascii="Arial" w:cs="Arial" w:eastAsia="Arial" w:hAnsi="Arial"/>
          <w:sz w:val="17"/>
          <w:szCs w:val="17"/>
          <w:color w:val="auto"/>
        </w:rPr>
        <w:t>We record share-based compensation on our consolidated statements of operations and comprehensive income with the corresponding credit to the additional paid-in-capital for share options and RSUs to the extent that such awards are to be settled only in shares.</w:t>
      </w:r>
    </w:p>
    <w:p>
      <w:pPr>
        <w:spacing w:after="0" w:line="157" w:lineRule="exact"/>
        <w:rPr>
          <w:sz w:val="20"/>
          <w:szCs w:val="20"/>
          <w:color w:val="auto"/>
        </w:rPr>
      </w:pPr>
    </w:p>
    <w:p>
      <w:pPr>
        <w:jc w:val="both"/>
        <w:ind w:firstLine="639"/>
        <w:spacing w:after="0" w:line="279" w:lineRule="auto"/>
        <w:rPr>
          <w:sz w:val="20"/>
          <w:szCs w:val="20"/>
          <w:color w:val="auto"/>
        </w:rPr>
      </w:pPr>
      <w:r>
        <w:rPr>
          <w:rFonts w:ascii="Arial" w:cs="Arial" w:eastAsia="Arial" w:hAnsi="Arial"/>
          <w:sz w:val="17"/>
          <w:szCs w:val="17"/>
          <w:color w:val="auto"/>
        </w:rPr>
        <w:t>Certain of our subsidiaries granted options exercisable for ordinary shares to certain of our employees. The options expire five to seven years from the date of grant and either vest or have a vesting commencement date upon certain conditions being met. We adopt the binomial option pricing model to determine the fair value of stock options and account for share-based compensation cost using an estimated forfeiture rate.</w:t>
      </w:r>
    </w:p>
    <w:p>
      <w:pPr>
        <w:spacing w:after="0" w:line="171" w:lineRule="exact"/>
        <w:rPr>
          <w:sz w:val="20"/>
          <w:szCs w:val="20"/>
          <w:color w:val="auto"/>
        </w:rPr>
      </w:pPr>
    </w:p>
    <w:p>
      <w:pPr>
        <w:ind w:right="300" w:firstLine="639"/>
        <w:spacing w:after="0" w:line="267" w:lineRule="auto"/>
        <w:rPr>
          <w:sz w:val="20"/>
          <w:szCs w:val="20"/>
          <w:color w:val="auto"/>
        </w:rPr>
      </w:pPr>
      <w:r>
        <w:rPr>
          <w:rFonts w:ascii="Arial" w:cs="Arial" w:eastAsia="Arial" w:hAnsi="Arial"/>
          <w:sz w:val="18"/>
          <w:szCs w:val="18"/>
          <w:color w:val="auto"/>
        </w:rPr>
        <w:t>Forfeitures were estimated based on our weighted average historical forfeiture rate of the past five years. Differences between actual and estimated forfeitures are expensed in the period that the differences occur.</w:t>
      </w:r>
    </w:p>
    <w:p>
      <w:pPr>
        <w:spacing w:after="0" w:line="179"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Our assumptions are based on our historical experience and expectation of future development. The assumptions used in calculating the fair value of stock options and related share-based compensation expenses represent management’s best estimates, but these estimates involve inherent uncertainties and the application of management judgment. As a result, if factors change or different assumptions are used, particularly with respect to the volatility of our shares, our share-based compensation expense could be materially different for any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ind w:right="420" w:firstLine="639"/>
        <w:spacing w:after="0" w:line="267" w:lineRule="auto"/>
        <w:rPr>
          <w:sz w:val="20"/>
          <w:szCs w:val="20"/>
          <w:color w:val="auto"/>
        </w:rPr>
      </w:pPr>
      <w:r>
        <w:rPr>
          <w:rFonts w:ascii="Arial" w:cs="Arial" w:eastAsia="Arial" w:hAnsi="Arial"/>
          <w:sz w:val="18"/>
          <w:szCs w:val="18"/>
          <w:color w:val="auto"/>
        </w:rPr>
        <w:t>The following table sets forth a summary of our audited consolidated statements of operations for the periods indicated both in Renminbi and as a percentage of total revenues: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3"/>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20"/>
              <w:spacing w:after="0" w:line="140"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00"/>
              <w:spacing w:after="0" w:line="140"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00"/>
              <w:spacing w:after="0" w:line="140"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1400" w:type="dxa"/>
            <w:vAlign w:val="bottom"/>
            <w:gridSpan w:val="2"/>
          </w:tcPr>
          <w:p>
            <w:pPr>
              <w:jc w:val="right"/>
              <w:ind w:right="520"/>
              <w:spacing w:after="0" w:line="140" w:lineRule="exact"/>
              <w:rPr>
                <w:sz w:val="20"/>
                <w:szCs w:val="20"/>
                <w:color w:val="auto"/>
              </w:rPr>
            </w:pPr>
            <w:r>
              <w:rPr>
                <w:rFonts w:ascii="Arial" w:cs="Arial" w:eastAsia="Arial" w:hAnsi="Arial"/>
                <w:sz w:val="14"/>
                <w:szCs w:val="14"/>
                <w:b w:val="1"/>
                <w:bCs w:val="1"/>
                <w:color w:val="auto"/>
              </w:rPr>
              <w:t>RMB’000</w:t>
            </w:r>
          </w:p>
        </w:tc>
        <w:tc>
          <w:tcPr>
            <w:tcW w:w="860" w:type="dxa"/>
            <w:vAlign w:val="bottom"/>
          </w:tcPr>
          <w:p>
            <w:pPr>
              <w:jc w:val="right"/>
              <w:ind w:right="272"/>
              <w:spacing w:after="0" w:line="140"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500"/>
              <w:spacing w:after="0" w:line="140" w:lineRule="exact"/>
              <w:rPr>
                <w:sz w:val="20"/>
                <w:szCs w:val="20"/>
                <w:color w:val="auto"/>
              </w:rPr>
            </w:pPr>
            <w:r>
              <w:rPr>
                <w:rFonts w:ascii="Arial" w:cs="Arial" w:eastAsia="Arial" w:hAnsi="Arial"/>
                <w:sz w:val="14"/>
                <w:szCs w:val="14"/>
                <w:b w:val="1"/>
                <w:bCs w:val="1"/>
                <w:color w:val="auto"/>
              </w:rPr>
              <w:t>RMB’000</w:t>
            </w:r>
          </w:p>
        </w:tc>
        <w:tc>
          <w:tcPr>
            <w:tcW w:w="860" w:type="dxa"/>
            <w:vAlign w:val="bottom"/>
          </w:tcPr>
          <w:p>
            <w:pPr>
              <w:jc w:val="right"/>
              <w:ind w:right="272"/>
              <w:spacing w:after="0" w:line="140"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360" w:type="dxa"/>
            <w:vAlign w:val="bottom"/>
            <w:gridSpan w:val="2"/>
          </w:tcPr>
          <w:p>
            <w:pPr>
              <w:jc w:val="right"/>
              <w:ind w:right="500"/>
              <w:spacing w:after="0" w:line="140" w:lineRule="exact"/>
              <w:rPr>
                <w:sz w:val="20"/>
                <w:szCs w:val="20"/>
                <w:color w:val="auto"/>
              </w:rPr>
            </w:pPr>
            <w:r>
              <w:rPr>
                <w:rFonts w:ascii="Arial" w:cs="Arial" w:eastAsia="Arial" w:hAnsi="Arial"/>
                <w:sz w:val="14"/>
                <w:szCs w:val="14"/>
                <w:b w:val="1"/>
                <w:bCs w:val="1"/>
                <w:color w:val="auto"/>
              </w:rPr>
              <w:t>RMB’000</w:t>
            </w:r>
          </w:p>
        </w:tc>
        <w:tc>
          <w:tcPr>
            <w:tcW w:w="860" w:type="dxa"/>
            <w:vAlign w:val="bottom"/>
          </w:tcPr>
          <w:p>
            <w:pPr>
              <w:jc w:val="right"/>
              <w:ind w:right="272"/>
              <w:spacing w:after="0" w:line="14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Statement of Operations and Comprehensive</w:t>
            </w: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Data:</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33,748,455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42,654,982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48,518,932</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Product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4,430,389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11,447,037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18,637,521</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tcBorders>
            <w:shd w:val="clear" w:color="auto" w:fill="CCEEFF"/>
          </w:tcPr>
          <w:p>
            <w:pPr>
              <w:ind w:left="540"/>
              <w:spacing w:after="0" w:line="204" w:lineRule="exact"/>
              <w:rPr>
                <w:sz w:val="20"/>
                <w:szCs w:val="20"/>
                <w:color w:val="auto"/>
              </w:rPr>
            </w:pPr>
            <w:r>
              <w:rPr>
                <w:rFonts w:ascii="Arial" w:cs="Arial" w:eastAsia="Arial" w:hAnsi="Arial"/>
                <w:sz w:val="18"/>
                <w:szCs w:val="18"/>
                <w:color w:val="auto"/>
              </w:rPr>
              <w:t>Total net revenues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38,178,844</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54,102,019</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67,156,453</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line="193" w:lineRule="exact"/>
              <w:rPr>
                <w:sz w:val="20"/>
                <w:szCs w:val="20"/>
                <w:color w:val="auto"/>
              </w:rPr>
            </w:pPr>
            <w:r>
              <w:rPr>
                <w:rFonts w:ascii="Arial" w:cs="Arial" w:eastAsia="Arial" w:hAnsi="Arial"/>
                <w:sz w:val="18"/>
                <w:szCs w:val="18"/>
                <w:color w:val="auto"/>
              </w:rPr>
              <w:t>Cost of revenues:</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(12,602,876)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(17,741,107)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(21,089,648)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Product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(3,912,156)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(10,448,219)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(17,663,309)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cost of revenues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(16,515,032)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(28,189,326)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(38,752,957)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6"/>
        </w:trPr>
        <w:tc>
          <w:tcPr>
            <w:tcW w:w="4180" w:type="dxa"/>
            <w:vAlign w:val="bottom"/>
            <w:tcBorders>
              <w:bottom w:val="single" w:sz="8" w:color="CCEEFF"/>
            </w:tcBorders>
          </w:tcPr>
          <w:p>
            <w:pPr>
              <w:ind w:left="180"/>
              <w:spacing w:after="0" w:line="204" w:lineRule="exact"/>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28,403,496</w:t>
            </w:r>
          </w:p>
        </w:tc>
        <w:tc>
          <w:tcPr>
            <w:tcW w:w="2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80" w:type="dxa"/>
            <w:vAlign w:val="bottom"/>
            <w:shd w:val="clear" w:color="auto" w:fill="CCEEFF"/>
          </w:tcPr>
          <w:p>
            <w:pPr>
              <w:ind w:left="180"/>
              <w:spacing w:after="0" w:line="193" w:lineRule="exact"/>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(4,481,815)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(6,957,596)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(9,526,470)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(1,506,154)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(2,429,858)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(3,191,537)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7"/>
                <w:szCs w:val="17"/>
                <w:color w:val="auto"/>
              </w:rPr>
              <w:t>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(3,046,979)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(4,371,428)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(7,792,550)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06"/>
        </w:trPr>
        <w:tc>
          <w:tcPr>
            <w:tcW w:w="4180" w:type="dxa"/>
            <w:vAlign w:val="bottom"/>
            <w:vMerge w:val="continue"/>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(9,034,948)</w:t>
            </w:r>
          </w:p>
        </w:tc>
        <w:tc>
          <w:tcPr>
            <w:tcW w:w="2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(13,758,882)</w:t>
            </w:r>
          </w:p>
        </w:tc>
        <w:tc>
          <w:tcPr>
            <w:tcW w:w="2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(20,510,557)</w:t>
            </w:r>
          </w:p>
        </w:tc>
        <w:tc>
          <w:tcPr>
            <w:tcW w:w="2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r>
              <w:rPr>
                <w:rFonts w:ascii="Arial" w:cs="Arial" w:eastAsia="Arial" w:hAnsi="Arial"/>
                <w:sz w:val="17"/>
                <w:szCs w:val="17"/>
                <w:color w:val="auto"/>
              </w:rPr>
              <w:t>5</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80" w:type="dxa"/>
            <w:vAlign w:val="bottom"/>
          </w:tcPr>
          <w:p>
            <w:pPr>
              <w:ind w:left="180"/>
              <w:spacing w:after="0" w:line="204" w:lineRule="exact"/>
              <w:rPr>
                <w:sz w:val="20"/>
                <w:szCs w:val="20"/>
                <w:color w:val="auto"/>
              </w:rPr>
            </w:pPr>
            <w:r>
              <w:rPr>
                <w:rFonts w:ascii="Arial" w:cs="Arial" w:eastAsia="Arial" w:hAnsi="Arial"/>
                <w:sz w:val="18"/>
                <w:szCs w:val="18"/>
                <w:color w:val="auto"/>
              </w:rPr>
              <w:t>Operating profit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12,628,864</w:t>
            </w:r>
          </w:p>
        </w:tc>
        <w:tc>
          <w:tcPr>
            <w:tcW w:w="24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12,153,811</w:t>
            </w:r>
          </w:p>
        </w:tc>
        <w:tc>
          <w:tcPr>
            <w:tcW w:w="2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7,892,939</w:t>
            </w:r>
          </w:p>
        </w:tc>
        <w:tc>
          <w:tcPr>
            <w:tcW w:w="2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80"/>
              <w:spacing w:after="0"/>
              <w:rPr>
                <w:sz w:val="20"/>
                <w:szCs w:val="20"/>
                <w:color w:val="auto"/>
              </w:rPr>
            </w:pPr>
            <w:r>
              <w:rPr>
                <w:rFonts w:ascii="Arial" w:cs="Arial" w:eastAsia="Arial" w:hAnsi="Arial"/>
                <w:sz w:val="18"/>
                <w:szCs w:val="18"/>
                <w:color w:val="auto"/>
              </w:rPr>
              <w:t>Other income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200,333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362,113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541,969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667,323</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587,518</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(losses) / gains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146,510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(448,827)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377,685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277,080</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599,230</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tcBorders>
            <w:shd w:val="clear" w:color="auto" w:fill="CCEEFF"/>
          </w:tcPr>
          <w:p>
            <w:pPr>
              <w:ind w:left="180"/>
              <w:spacing w:after="0" w:line="204" w:lineRule="exact"/>
              <w:rPr>
                <w:sz w:val="20"/>
                <w:szCs w:val="20"/>
                <w:color w:val="auto"/>
              </w:rPr>
            </w:pPr>
            <w:r>
              <w:rPr>
                <w:rFonts w:ascii="Arial" w:cs="Arial" w:eastAsia="Arial" w:hAnsi="Arial"/>
                <w:sz w:val="18"/>
                <w:szCs w:val="18"/>
                <w:color w:val="auto"/>
              </w:rPr>
              <w:t>Income before tax</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13,895,361</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13,011,500</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8,944,098</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7"/>
                <w:szCs w:val="17"/>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(2,102,498)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(2,162,363)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(2,466,681)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6"/>
        </w:trPr>
        <w:tc>
          <w:tcPr>
            <w:tcW w:w="4180" w:type="dxa"/>
            <w:vAlign w:val="bottom"/>
            <w:tcBorders>
              <w:top w:val="single" w:sz="8" w:color="CCEEFF"/>
            </w:tcBorders>
            <w:shd w:val="clear" w:color="auto" w:fill="CCEEFF"/>
          </w:tcPr>
          <w:p>
            <w:pPr>
              <w:ind w:left="180"/>
              <w:spacing w:after="0" w:line="204" w:lineRule="exact"/>
              <w:rPr>
                <w:sz w:val="20"/>
                <w:szCs w:val="20"/>
                <w:color w:val="auto"/>
              </w:rPr>
            </w:pPr>
            <w:r>
              <w:rPr>
                <w:rFonts w:ascii="Arial" w:cs="Arial" w:eastAsia="Arial" w:hAnsi="Arial"/>
                <w:sz w:val="18"/>
                <w:szCs w:val="18"/>
                <w:color w:val="auto"/>
              </w:rPr>
              <w:t>Net income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11,792,863</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10,849,137</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6,477,417</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w w:val="97"/>
              </w:rPr>
              <w:t>Accretion and deemed dividends in connection with</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360"/>
              <w:spacing w:after="0"/>
              <w:rPr>
                <w:sz w:val="20"/>
                <w:szCs w:val="20"/>
                <w:color w:val="auto"/>
              </w:rPr>
            </w:pPr>
            <w:r>
              <w:rPr>
                <w:rFonts w:ascii="Arial" w:cs="Arial" w:eastAsia="Arial" w:hAnsi="Arial"/>
                <w:sz w:val="18"/>
                <w:szCs w:val="18"/>
                <w:color w:val="auto"/>
                <w:w w:val="94"/>
              </w:rPr>
              <w:t>repurchase of redeemable noncontrolling interests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(248,098)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and redeemable noncontrolling interests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(188,343)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7"/>
                <w:szCs w:val="17"/>
                <w:color w:val="auto"/>
              </w:rPr>
              <w:t>2</w:t>
            </w: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1"/>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NetEase, Inc.’s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360"/>
              <w:spacing w:after="0"/>
              <w:rPr>
                <w:sz w:val="20"/>
                <w:szCs w:val="20"/>
                <w:color w:val="auto"/>
              </w:rPr>
            </w:pPr>
            <w:r>
              <w:rPr>
                <w:rFonts w:ascii="Arial" w:cs="Arial" w:eastAsia="Arial" w:hAnsi="Arial"/>
                <w:sz w:val="18"/>
                <w:szCs w:val="18"/>
                <w:color w:val="auto"/>
              </w:rPr>
              <w:t>shareholders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11,604,520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10,707,939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6,152,407</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7"/>
        </w:trPr>
        <w:tc>
          <w:tcPr>
            <w:tcW w:w="4180" w:type="dxa"/>
            <w:vAlign w:val="bottom"/>
            <w:tcBorders>
              <w:top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Net income</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11,792,863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10,849,137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6,477,417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180"/>
              <w:spacing w:after="0" w:line="193" w:lineRule="exact"/>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gains/(losses) on available-for-sale</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net of tax</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(232,633)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losses/(gains) 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available-for-sale securities recorded in net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360"/>
              <w:spacing w:after="0"/>
              <w:rPr>
                <w:sz w:val="20"/>
                <w:szCs w:val="20"/>
                <w:color w:val="auto"/>
              </w:rPr>
            </w:pPr>
            <w:r>
              <w:rPr>
                <w:rFonts w:ascii="Arial" w:cs="Arial" w:eastAsia="Arial" w:hAnsi="Arial"/>
                <w:sz w:val="18"/>
                <w:szCs w:val="18"/>
                <w:color w:val="auto"/>
              </w:rPr>
              <w:t>income, nil of tax</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266,660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18,624</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Total other comprehensive income</w:t>
            </w: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34,027</w:t>
            </w:r>
          </w:p>
        </w:tc>
        <w:tc>
          <w:tcPr>
            <w:tcW w:w="24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vMerge w:val="continue"/>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(24,894)</w:t>
            </w:r>
          </w:p>
        </w:tc>
        <w:tc>
          <w:tcPr>
            <w:tcW w:w="220" w:type="dxa"/>
            <w:vAlign w:val="bottom"/>
            <w:vMerge w:val="continue"/>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18,624</w:t>
            </w:r>
          </w:p>
        </w:tc>
        <w:tc>
          <w:tcPr>
            <w:tcW w:w="220" w:type="dxa"/>
            <w:vAlign w:val="bottom"/>
            <w:vMerge w:val="continue"/>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comprehensive income: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11,826,890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10,824,243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6,496,041</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1"/>
        </w:trPr>
        <w:tc>
          <w:tcPr>
            <w:tcW w:w="4180" w:type="dxa"/>
            <w:vAlign w:val="bottom"/>
          </w:tcPr>
          <w:p>
            <w:pPr>
              <w:ind w:left="180"/>
              <w:spacing w:after="0" w:line="201" w:lineRule="exact"/>
              <w:rPr>
                <w:sz w:val="20"/>
                <w:szCs w:val="20"/>
                <w:color w:val="auto"/>
              </w:rPr>
            </w:pPr>
            <w:r>
              <w:rPr>
                <w:rFonts w:ascii="Arial" w:cs="Arial" w:eastAsia="Arial" w:hAnsi="Arial"/>
                <w:sz w:val="18"/>
                <w:szCs w:val="18"/>
                <w:color w:val="auto"/>
              </w:rPr>
              <w:t>Add: Comprehensive income attributable to</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360"/>
              <w:spacing w:after="0"/>
              <w:rPr>
                <w:sz w:val="20"/>
                <w:szCs w:val="20"/>
                <w:color w:val="auto"/>
              </w:rPr>
            </w:pPr>
            <w:r>
              <w:rPr>
                <w:rFonts w:ascii="Arial" w:cs="Arial" w:eastAsia="Arial" w:hAnsi="Arial"/>
                <w:sz w:val="18"/>
                <w:szCs w:val="18"/>
                <w:color w:val="auto"/>
              </w:rPr>
              <w:t>noncontrolling interests and redeemable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(188,343)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(141,198)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(76,912)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Comprehensive income attributable to</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NetEase, Inc.’s shareholders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11,638,547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10,683,045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6,419,129</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cost included in:</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444,187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820,281</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764,972</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52,689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116,611</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41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238,750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581,337</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804,565</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254,505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843,502</w:t>
            </w:r>
          </w:p>
        </w:tc>
        <w:tc>
          <w:tcPr>
            <w:tcW w:w="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25" w:lineRule="exact"/>
        <w:rPr>
          <w:sz w:val="20"/>
          <w:szCs w:val="20"/>
          <w:color w:val="auto"/>
        </w:rPr>
      </w:pPr>
    </w:p>
    <w:p>
      <w:pPr>
        <w:ind w:right="60" w:firstLine="639"/>
        <w:spacing w:after="0" w:line="253" w:lineRule="auto"/>
        <w:rPr>
          <w:sz w:val="20"/>
          <w:szCs w:val="20"/>
          <w:color w:val="auto"/>
        </w:rPr>
      </w:pPr>
      <w:r>
        <w:rPr>
          <w:rFonts w:ascii="Arial" w:cs="Arial" w:eastAsia="Arial" w:hAnsi="Arial"/>
          <w:sz w:val="18"/>
          <w:szCs w:val="18"/>
          <w:color w:val="auto"/>
        </w:rPr>
        <w:t>We generate net revenues from service and product sales. Net service revenues are derived from online games services, e-commerce, advertising services, innovative businesses and other services. Net product revenues represent revenue from the sale of products through our e-commerce platforms where we record revenue on a gross basis. Net revenue from service and product sales represented 72.2% and 27.8% of our total net revenues in 2018, compared with 78.8% and 21.2% in 2017, respectively.</w:t>
      </w:r>
    </w:p>
    <w:p>
      <w:pPr>
        <w:sectPr>
          <w:pgSz w:w="11900" w:h="16838" w:orient="portrait"/>
          <w:cols w:equalWidth="0" w:num="1">
            <w:col w:w="11420"/>
          </w:cols>
          <w:pgMar w:left="240" w:top="12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26948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80" w:firstLine="639"/>
        <w:spacing w:after="0" w:line="253" w:lineRule="auto"/>
        <w:rPr>
          <w:sz w:val="20"/>
          <w:szCs w:val="20"/>
          <w:color w:val="auto"/>
        </w:rPr>
      </w:pPr>
      <w:r>
        <w:rPr>
          <w:rFonts w:ascii="Arial" w:cs="Arial" w:eastAsia="Arial" w:hAnsi="Arial"/>
          <w:sz w:val="18"/>
          <w:szCs w:val="18"/>
          <w:color w:val="auto"/>
        </w:rPr>
        <w:t>We have organized our operations into four segments: online games services, e-commerce, advertising services and innovative businesses and other services. These segments reflect the way we evaluate, view and run our business operations. The following table sets forth the net revenues and cost of revenues by segments for the period presented as derived from our audited financial statements. See Item 18 of Part III, “Financial Statements—Note 24— 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3600" w:type="dxa"/>
            <w:vAlign w:val="bottom"/>
            <w:tcBorders>
              <w:bottom w:val="single" w:sz="8" w:color="auto"/>
            </w:tcBorders>
            <w:gridSpan w:val="5"/>
          </w:tcPr>
          <w:p>
            <w:pPr>
              <w:jc w:val="center"/>
              <w:ind w:left="995"/>
              <w:spacing w:after="0"/>
              <w:rPr>
                <w:sz w:val="20"/>
                <w:szCs w:val="20"/>
                <w:color w:val="auto"/>
              </w:rPr>
            </w:pPr>
            <w:r>
              <w:rPr>
                <w:rFonts w:ascii="Arial" w:cs="Arial" w:eastAsia="Arial" w:hAnsi="Arial"/>
                <w:sz w:val="14"/>
                <w:szCs w:val="14"/>
                <w:b w:val="1"/>
                <w:bCs w:val="1"/>
                <w:color w:val="auto"/>
                <w:w w:val="90"/>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75"/>
              <w:spacing w:after="0" w:line="140"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4"/>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0"/>
        </w:trPr>
        <w:tc>
          <w:tcPr>
            <w:tcW w:w="6640" w:type="dxa"/>
            <w:vAlign w:val="bottom"/>
          </w:tcPr>
          <w:p>
            <w:pPr>
              <w:spacing w:after="0"/>
              <w:rPr>
                <w:sz w:val="12"/>
                <w:szCs w:val="12"/>
                <w:color w:val="auto"/>
              </w:rPr>
            </w:pPr>
          </w:p>
        </w:tc>
        <w:tc>
          <w:tcPr>
            <w:tcW w:w="1380" w:type="dxa"/>
            <w:vAlign w:val="bottom"/>
          </w:tcPr>
          <w:p>
            <w:pPr>
              <w:jc w:val="right"/>
              <w:ind w:right="435"/>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4"/>
              <w:spacing w:after="0" w:line="140"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tcPr>
          <w:p>
            <w:pPr>
              <w:jc w:val="right"/>
              <w:ind w:right="202"/>
              <w:spacing w:after="0"/>
              <w:rPr>
                <w:sz w:val="20"/>
                <w:szCs w:val="20"/>
                <w:color w:val="auto"/>
              </w:rPr>
            </w:pPr>
            <w:r>
              <w:rPr>
                <w:rFonts w:ascii="Arial" w:cs="Arial" w:eastAsia="Arial" w:hAnsi="Arial"/>
                <w:sz w:val="18"/>
                <w:szCs w:val="18"/>
                <w:color w:val="auto"/>
              </w:rPr>
              <w:t>36,281,642</w:t>
            </w:r>
          </w:p>
        </w:tc>
        <w:tc>
          <w:tcPr>
            <w:tcW w:w="1660" w:type="dxa"/>
            <w:vAlign w:val="bottom"/>
            <w:gridSpan w:val="2"/>
          </w:tcPr>
          <w:p>
            <w:pPr>
              <w:jc w:val="right"/>
              <w:ind w:right="202"/>
              <w:spacing w:after="0"/>
              <w:rPr>
                <w:sz w:val="20"/>
                <w:szCs w:val="20"/>
                <w:color w:val="auto"/>
              </w:rPr>
            </w:pPr>
            <w:r>
              <w:rPr>
                <w:rFonts w:ascii="Arial" w:cs="Arial" w:eastAsia="Arial" w:hAnsi="Arial"/>
                <w:sz w:val="18"/>
                <w:szCs w:val="18"/>
                <w:color w:val="auto"/>
              </w:rPr>
              <w:t>40,190,057</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5,845,402</w:t>
            </w:r>
          </w:p>
        </w:tc>
        <w:tc>
          <w:tcPr>
            <w:tcW w:w="10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6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11,670,416</w:t>
            </w:r>
          </w:p>
        </w:tc>
        <w:tc>
          <w:tcPr>
            <w:tcW w:w="16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19,235,476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2,797,684</w:t>
            </w:r>
          </w:p>
        </w:tc>
        <w:tc>
          <w:tcPr>
            <w:tcW w:w="10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tcPr>
          <w:p>
            <w:pPr>
              <w:jc w:val="right"/>
              <w:spacing w:after="0"/>
              <w:rPr>
                <w:sz w:val="20"/>
                <w:szCs w:val="20"/>
                <w:color w:val="auto"/>
              </w:rPr>
            </w:pPr>
            <w:r>
              <w:rPr>
                <w:rFonts w:ascii="Arial" w:cs="Arial" w:eastAsia="Arial" w:hAnsi="Arial"/>
                <w:sz w:val="18"/>
                <w:szCs w:val="18"/>
                <w:color w:val="auto"/>
              </w:rPr>
              <w:t>2,408,823</w:t>
            </w:r>
          </w:p>
        </w:tc>
        <w:tc>
          <w:tcPr>
            <w:tcW w:w="280" w:type="dxa"/>
            <w:vAlign w:val="bottom"/>
          </w:tcPr>
          <w:p>
            <w:pPr>
              <w:spacing w:after="0"/>
              <w:rPr>
                <w:sz w:val="18"/>
                <w:szCs w:val="18"/>
                <w:color w:val="auto"/>
              </w:rPr>
            </w:pPr>
          </w:p>
        </w:tc>
        <w:tc>
          <w:tcPr>
            <w:tcW w:w="1660" w:type="dxa"/>
            <w:vAlign w:val="bottom"/>
            <w:gridSpan w:val="2"/>
          </w:tcPr>
          <w:p>
            <w:pPr>
              <w:jc w:val="right"/>
              <w:ind w:right="202"/>
              <w:spacing w:after="0"/>
              <w:rPr>
                <w:sz w:val="20"/>
                <w:szCs w:val="20"/>
                <w:color w:val="auto"/>
              </w:rPr>
            </w:pPr>
            <w:r>
              <w:rPr>
                <w:rFonts w:ascii="Arial" w:cs="Arial" w:eastAsia="Arial" w:hAnsi="Arial"/>
                <w:sz w:val="18"/>
                <w:szCs w:val="18"/>
                <w:color w:val="auto"/>
              </w:rPr>
              <w:t>2,500,833</w:t>
            </w:r>
          </w:p>
        </w:tc>
        <w:tc>
          <w:tcPr>
            <w:tcW w:w="280" w:type="dxa"/>
            <w:vAlign w:val="bottom"/>
          </w:tcPr>
          <w:p>
            <w:pPr>
              <w:spacing w:after="0"/>
              <w:rPr>
                <w:sz w:val="18"/>
                <w:szCs w:val="18"/>
                <w:color w:val="auto"/>
              </w:rPr>
            </w:pPr>
          </w:p>
        </w:tc>
        <w:tc>
          <w:tcPr>
            <w:tcW w:w="1180" w:type="dxa"/>
            <w:vAlign w:val="bottom"/>
            <w:gridSpan w:val="2"/>
          </w:tcPr>
          <w:p>
            <w:pPr>
              <w:jc w:val="right"/>
              <w:ind w:right="22"/>
              <w:spacing w:after="0"/>
              <w:rPr>
                <w:sz w:val="20"/>
                <w:szCs w:val="20"/>
                <w:color w:val="auto"/>
              </w:rPr>
            </w:pPr>
            <w:r>
              <w:rPr>
                <w:rFonts w:ascii="Arial" w:cs="Arial" w:eastAsia="Arial" w:hAnsi="Arial"/>
                <w:sz w:val="18"/>
                <w:szCs w:val="18"/>
                <w:color w:val="auto"/>
              </w:rPr>
              <w:t>363,731</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3,741,138</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5,230,087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760,684</w:t>
            </w:r>
          </w:p>
        </w:tc>
      </w:tr>
      <w:tr>
        <w:trPr>
          <w:trHeight w:val="206"/>
        </w:trPr>
        <w:tc>
          <w:tcPr>
            <w:tcW w:w="664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net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w:t>
            </w:r>
            <w:r>
              <w:rPr>
                <w:rFonts w:ascii="Arial" w:cs="Arial" w:eastAsia="Arial" w:hAnsi="Arial"/>
                <w:sz w:val="17"/>
                <w:szCs w:val="17"/>
                <w:color w:val="auto"/>
              </w:rPr>
              <w:t>9</w:t>
            </w:r>
          </w:p>
        </w:tc>
        <w:tc>
          <w:tcPr>
            <w:tcW w:w="28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67,156,453</w:t>
            </w:r>
          </w:p>
        </w:tc>
        <w:tc>
          <w:tcPr>
            <w:tcW w:w="2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9,767,501</w:t>
            </w:r>
          </w:p>
        </w:tc>
        <w:tc>
          <w:tcPr>
            <w:tcW w:w="100" w:type="dxa"/>
            <w:vAlign w:val="bottom"/>
            <w:tcBorders>
              <w:bottom w:val="single" w:sz="8" w:color="CCEEFF"/>
            </w:tcBorders>
          </w:tcPr>
          <w:p>
            <w:pPr>
              <w:spacing w:after="0"/>
              <w:rPr>
                <w:sz w:val="17"/>
                <w:szCs w:val="17"/>
                <w:color w:val="auto"/>
              </w:rPr>
            </w:pPr>
          </w:p>
        </w:tc>
      </w:tr>
      <w:tr>
        <w:trPr>
          <w:trHeight w:val="206"/>
        </w:trPr>
        <w:tc>
          <w:tcPr>
            <w:tcW w:w="6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(13,473,339)</w:t>
            </w:r>
          </w:p>
        </w:tc>
        <w:tc>
          <w:tcPr>
            <w:tcW w:w="16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(14,617,656)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(2,126,050)</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E-commerce</w:t>
            </w:r>
          </w:p>
        </w:tc>
        <w:tc>
          <w:tcPr>
            <w:tcW w:w="1660" w:type="dxa"/>
            <w:vAlign w:val="bottom"/>
            <w:gridSpan w:val="2"/>
          </w:tcPr>
          <w:p>
            <w:pPr>
              <w:jc w:val="right"/>
              <w:ind w:right="142"/>
              <w:spacing w:after="0"/>
              <w:rPr>
                <w:sz w:val="20"/>
                <w:szCs w:val="20"/>
                <w:color w:val="auto"/>
              </w:rPr>
            </w:pPr>
            <w:r>
              <w:rPr>
                <w:rFonts w:ascii="Arial" w:cs="Arial" w:eastAsia="Arial" w:hAnsi="Arial"/>
                <w:sz w:val="18"/>
                <w:szCs w:val="18"/>
                <w:color w:val="auto"/>
              </w:rPr>
              <w:t>(10,464,714)</w:t>
            </w:r>
          </w:p>
        </w:tc>
        <w:tc>
          <w:tcPr>
            <w:tcW w:w="1660" w:type="dxa"/>
            <w:vAlign w:val="bottom"/>
            <w:gridSpan w:val="2"/>
          </w:tcPr>
          <w:p>
            <w:pPr>
              <w:jc w:val="right"/>
              <w:ind w:right="142"/>
              <w:spacing w:after="0"/>
              <w:rPr>
                <w:sz w:val="20"/>
                <w:szCs w:val="20"/>
                <w:color w:val="auto"/>
              </w:rPr>
            </w:pPr>
            <w:r>
              <w:rPr>
                <w:rFonts w:ascii="Arial" w:cs="Arial" w:eastAsia="Arial" w:hAnsi="Arial"/>
                <w:sz w:val="18"/>
                <w:szCs w:val="18"/>
                <w:color w:val="auto"/>
              </w:rPr>
              <w:t>(17,688,717)</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(2,572,717)</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(797,892)</w:t>
            </w:r>
          </w:p>
        </w:tc>
        <w:tc>
          <w:tcPr>
            <w:tcW w:w="16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(889,677)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(129,398)</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660" w:type="dxa"/>
            <w:vAlign w:val="bottom"/>
            <w:gridSpan w:val="2"/>
          </w:tcPr>
          <w:p>
            <w:pPr>
              <w:jc w:val="right"/>
              <w:ind w:right="142"/>
              <w:spacing w:after="0"/>
              <w:rPr>
                <w:sz w:val="20"/>
                <w:szCs w:val="20"/>
                <w:color w:val="auto"/>
              </w:rPr>
            </w:pPr>
            <w:r>
              <w:rPr>
                <w:rFonts w:ascii="Arial" w:cs="Arial" w:eastAsia="Arial" w:hAnsi="Arial"/>
                <w:sz w:val="18"/>
                <w:szCs w:val="18"/>
                <w:color w:val="auto"/>
              </w:rPr>
              <w:t>(3,453,381)</w:t>
            </w:r>
          </w:p>
        </w:tc>
        <w:tc>
          <w:tcPr>
            <w:tcW w:w="1660" w:type="dxa"/>
            <w:vAlign w:val="bottom"/>
            <w:gridSpan w:val="2"/>
          </w:tcPr>
          <w:p>
            <w:pPr>
              <w:jc w:val="right"/>
              <w:ind w:right="142"/>
              <w:spacing w:after="0"/>
              <w:rPr>
                <w:sz w:val="20"/>
                <w:szCs w:val="20"/>
                <w:color w:val="auto"/>
              </w:rPr>
            </w:pPr>
            <w:r>
              <w:rPr>
                <w:rFonts w:ascii="Arial" w:cs="Arial" w:eastAsia="Arial" w:hAnsi="Arial"/>
                <w:sz w:val="18"/>
                <w:szCs w:val="18"/>
                <w:color w:val="auto"/>
              </w:rPr>
              <w:t>(5,556,907)</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(808,219)</w:t>
            </w:r>
          </w:p>
        </w:tc>
      </w:tr>
      <w:tr>
        <w:trPr>
          <w:trHeight w:val="206"/>
        </w:trPr>
        <w:tc>
          <w:tcPr>
            <w:tcW w:w="66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cost of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(28,189,326</w:t>
            </w:r>
          </w:p>
        </w:tc>
        <w:tc>
          <w:tcPr>
            <w:tcW w:w="28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(38,752,957</w:t>
            </w:r>
          </w:p>
        </w:tc>
        <w:tc>
          <w:tcPr>
            <w:tcW w:w="28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(5,636,384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5" w:lineRule="exact"/>
        <w:rPr>
          <w:sz w:val="20"/>
          <w:szCs w:val="20"/>
          <w:color w:val="auto"/>
        </w:rPr>
      </w:pPr>
    </w:p>
    <w:p>
      <w:pPr>
        <w:ind w:right="40" w:firstLine="639"/>
        <w:spacing w:after="0" w:line="253" w:lineRule="auto"/>
        <w:rPr>
          <w:sz w:val="20"/>
          <w:szCs w:val="20"/>
          <w:color w:val="auto"/>
        </w:rPr>
      </w:pPr>
      <w:r>
        <w:rPr>
          <w:rFonts w:ascii="Arial" w:cs="Arial" w:eastAsia="Arial" w:hAnsi="Arial"/>
          <w:sz w:val="18"/>
          <w:szCs w:val="18"/>
          <w:color w:val="auto"/>
        </w:rPr>
        <w:t>Total net revenues increased by 24.1% to RMB67,156.5 million (US$9,767.5 million) in 2018 from RMB54,102.0 million in 2017. Net revenues from online games services, e-commerce services, advertising services and innovative businesses and other services constituted 59.9%, 28.6%, 3.7% and 7.8%, respectively, of our total net revenues in 2018, compared with 67.0%, 21.6%, 4.5% and 6.9%, respectively, in 2017. Net revenues generated from licensed games represented 5.7% and 7.2% of our total net revenues in 2018 and 2017, respectively.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Net revenues from online games services increased by 10.8% to RMB40,190.1 million (US$5,845.4 million) in 2018 from RMB36,281.6 million in 2017. The increase was principally attributable to higher net revenues from our mobile games which totaled RMB28,536.9 million (US$4,150.5 million) in 2018 compared to RMB25,678.6 million in 2017. The growth in net revenues from mobile games mainly resulted from mobile games such as Knives Out, which gained popularity over the course of 2018 and the newly released game Chu Liu Xiang. Our mobile game portfolio now consists of over 100 diverse games, and we expect to continue introducing new mobile games each year for the foreseeable future, which we believe will contribute to future revenue growth in this segment. Our new PC-client game, Justice, which was released in June 2018, also achieved a high revenue performance in 2018.</w:t>
      </w:r>
    </w:p>
    <w:p>
      <w:pPr>
        <w:spacing w:after="0" w:line="167" w:lineRule="exact"/>
        <w:rPr>
          <w:sz w:val="20"/>
          <w:szCs w:val="20"/>
          <w:color w:val="auto"/>
        </w:rPr>
      </w:pPr>
    </w:p>
    <w:p>
      <w:pPr>
        <w:ind w:right="100" w:firstLine="639"/>
        <w:spacing w:after="0" w:line="267" w:lineRule="auto"/>
        <w:rPr>
          <w:sz w:val="20"/>
          <w:szCs w:val="20"/>
          <w:color w:val="auto"/>
        </w:rPr>
      </w:pPr>
      <w:r>
        <w:rPr>
          <w:rFonts w:ascii="Arial" w:cs="Arial" w:eastAsia="Arial" w:hAnsi="Arial"/>
          <w:sz w:val="18"/>
          <w:szCs w:val="18"/>
          <w:color w:val="auto"/>
        </w:rPr>
        <w:t>Net revenues from licensed games decreased slightly by 2.1% to RMB3,826.5 million (US$556.5 million) in 2018 from RMB3,910.2 million in 2017, which was mainly attributable to the decrease in net revenues from games licensed from Blizzard.</w:t>
      </w:r>
    </w:p>
    <w:p>
      <w:pPr>
        <w:spacing w:after="0" w:line="179" w:lineRule="exact"/>
        <w:rPr>
          <w:sz w:val="20"/>
          <w:szCs w:val="20"/>
          <w:color w:val="auto"/>
        </w:rPr>
      </w:pPr>
    </w:p>
    <w:p>
      <w:pPr>
        <w:ind w:right="620" w:firstLine="639"/>
        <w:spacing w:after="0" w:line="267" w:lineRule="auto"/>
        <w:rPr>
          <w:sz w:val="20"/>
          <w:szCs w:val="20"/>
          <w:color w:val="auto"/>
        </w:rPr>
      </w:pPr>
      <w:r>
        <w:rPr>
          <w:rFonts w:ascii="Arial" w:cs="Arial" w:eastAsia="Arial" w:hAnsi="Arial"/>
          <w:sz w:val="18"/>
          <w:szCs w:val="18"/>
          <w:color w:val="auto"/>
        </w:rPr>
        <w:t>Net revenues from mobile games and PC-client games represented 71.0% and 28.9% of total net revenues from online games services in 2018, respectively, compared to 70.8% and 29.2% in 2017, respectively.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right="20" w:firstLine="639"/>
        <w:spacing w:after="0" w:line="291" w:lineRule="auto"/>
        <w:rPr>
          <w:sz w:val="20"/>
          <w:szCs w:val="20"/>
          <w:color w:val="auto"/>
        </w:rPr>
      </w:pPr>
      <w:r>
        <w:rPr>
          <w:rFonts w:ascii="Arial" w:cs="Arial" w:eastAsia="Arial" w:hAnsi="Arial"/>
          <w:sz w:val="16"/>
          <w:szCs w:val="16"/>
          <w:color w:val="auto"/>
        </w:rPr>
        <w:t>Net revenues from our e-commerce segment increased by 64.8% to RMB19,235.5 million (US$2,797.7 million) in 2018 from RMB11,670.4 million in 2017. The increase was mainly attributable to growth in the popularity of our e-commerce platforms, Kaola and Yanxuan, among consumers in China, offset in part by increased promotions and sales discounts in 2018 compared to 2017. The aggregate number of active users, meaning users who have registered accounts and have completed at least one purchase in a given period, of Kaola and Yanxuan in the aggregate increased from 23.0 million in 2017 to 41.0 million in 2018, and the number of orders we fulfilled on these two platforms increased from 81.1 million in 2017 to 139.4 million in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right="20" w:firstLine="639"/>
        <w:spacing w:after="0" w:line="267" w:lineRule="auto"/>
        <w:rPr>
          <w:sz w:val="20"/>
          <w:szCs w:val="20"/>
          <w:color w:val="auto"/>
        </w:rPr>
      </w:pPr>
      <w:r>
        <w:rPr>
          <w:rFonts w:ascii="Arial" w:cs="Arial" w:eastAsia="Arial" w:hAnsi="Arial"/>
          <w:sz w:val="18"/>
          <w:szCs w:val="18"/>
          <w:color w:val="auto"/>
        </w:rPr>
        <w:t>Net revenues from advertising services increased by 3.8% to RMB2,500.8 million (US$363.7 million) in 2018 from RMB2,408.8 million in 2017. The top performing advertising revenue contributors in 2018 were automobile, real estate and internet services sectors.</w:t>
      </w:r>
    </w:p>
    <w:p>
      <w:pPr>
        <w:spacing w:after="0" w:line="179" w:lineRule="exact"/>
        <w:rPr>
          <w:sz w:val="20"/>
          <w:szCs w:val="20"/>
          <w:color w:val="auto"/>
        </w:rPr>
      </w:pPr>
    </w:p>
    <w:p>
      <w:pPr>
        <w:ind w:right="100" w:firstLine="639"/>
        <w:spacing w:after="0" w:line="273" w:lineRule="auto"/>
        <w:rPr>
          <w:sz w:val="20"/>
          <w:szCs w:val="20"/>
          <w:color w:val="auto"/>
        </w:rPr>
      </w:pPr>
      <w:r>
        <w:rPr>
          <w:rFonts w:ascii="Arial" w:cs="Arial" w:eastAsia="Arial" w:hAnsi="Arial"/>
          <w:sz w:val="17"/>
          <w:szCs w:val="17"/>
          <w:color w:val="auto"/>
        </w:rPr>
        <w:t>Average net revenues per traditional advertiser (i.e., customers which do not advertise through our search services), which provide the substantial portion of our advertising revenue, were approximately RMB1.5 million (US$0.2 million) in 2018, which represented a 3.1% decrease as compared with 2017. The number of traditional advertisers using the NetEase websites increased to 1,603 in 2018 from 1,489 in 2017, with revenues from our top ten advertisers comprising 38.9% of our total advertising services revenues in 2018, as compared to 39.6% in 2017.</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right="380" w:firstLine="639"/>
        <w:spacing w:after="0" w:line="257" w:lineRule="auto"/>
        <w:rPr>
          <w:sz w:val="20"/>
          <w:szCs w:val="20"/>
          <w:color w:val="auto"/>
        </w:rPr>
      </w:pPr>
      <w:r>
        <w:rPr>
          <w:rFonts w:ascii="Arial" w:cs="Arial" w:eastAsia="Arial" w:hAnsi="Arial"/>
          <w:sz w:val="18"/>
          <w:szCs w:val="18"/>
          <w:color w:val="auto"/>
        </w:rPr>
        <w:t>Net revenues from the innovative businesses and others segment increased by 39.8% to RMB5,230.1 million (US$760.7 million) in 2018 from RMB3,741.1 million in 2017. This increase mainly resulted from increases in revenue contribution by our music streaming, e-reading and online education businesses.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5" w:lineRule="exact"/>
        <w:rPr>
          <w:sz w:val="20"/>
          <w:szCs w:val="20"/>
          <w:color w:val="auto"/>
        </w:rPr>
      </w:pPr>
    </w:p>
    <w:p>
      <w:pPr>
        <w:ind w:right="140" w:firstLine="639"/>
        <w:spacing w:after="0" w:line="270" w:lineRule="auto"/>
        <w:rPr>
          <w:sz w:val="20"/>
          <w:szCs w:val="20"/>
          <w:color w:val="auto"/>
        </w:rPr>
      </w:pPr>
      <w:r>
        <w:rPr>
          <w:rFonts w:ascii="Arial" w:cs="Arial" w:eastAsia="Arial" w:hAnsi="Arial"/>
          <w:sz w:val="17"/>
          <w:szCs w:val="17"/>
          <w:color w:val="auto"/>
        </w:rPr>
        <w:t>Our cost of revenues increased by 37.5% to RMB38,753.0 million (US$5,636.4 million) in 2018 from RMB28,189.3 million in 2017. The year-over-year increase was mainly due to an increase in the volume of the merchandise sold by our e-commerce platforms as well as an increase in both the cost of revenue sharing with distributors, developers and other third parties and related information costs. In 2018, costs relating to online games services, e-commerce, advertising services and innovative businesses and others represented 37.7%, 45.7%, 2.3% and 14.3% of total cost of revenues, respectively, as compared with 47.8%, 37.1%, 2.8% and 12.3% of the total cost of revenues, respectively, in 2017.</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Cost of revenues from our online games services increased by 8.5% to RMB14,617.7 million (US$2,126.1 million) in 2018 from RMB13,473.3 million in 2017. The increase in cost of revenues in 2018 was primarily due to an increase in revenue sharing costs with distributors, developers and other third parties related to mobile games. The revenue sharing costs increased by RMB981.7 million (US$142.8 million) to RMB9,027.4 million (US$1,313.0 million) in 2018 from RMB8,045.7 million in 2017 primarily due to the launch of various self-developed and licensed mobile games in 2018.</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right="540" w:firstLine="639"/>
        <w:spacing w:after="0" w:line="267" w:lineRule="auto"/>
        <w:rPr>
          <w:sz w:val="20"/>
          <w:szCs w:val="20"/>
          <w:color w:val="auto"/>
        </w:rPr>
      </w:pPr>
      <w:r>
        <w:rPr>
          <w:rFonts w:ascii="Arial" w:cs="Arial" w:eastAsia="Arial" w:hAnsi="Arial"/>
          <w:sz w:val="18"/>
          <w:szCs w:val="18"/>
          <w:color w:val="auto"/>
        </w:rPr>
        <w:t>Cost of revenues from our e-commerce services increased by 69.0% to RMB17,688.7 million (US$2,572.7 million) in 2018 from RMB10,464.7 million in 2017, which was primarily attributable to an increase in the costs of merchandise sold.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right="60" w:firstLine="639"/>
        <w:spacing w:after="0" w:line="253" w:lineRule="auto"/>
        <w:rPr>
          <w:sz w:val="20"/>
          <w:szCs w:val="20"/>
          <w:color w:val="auto"/>
        </w:rPr>
      </w:pPr>
      <w:r>
        <w:rPr>
          <w:rFonts w:ascii="Arial" w:cs="Arial" w:eastAsia="Arial" w:hAnsi="Arial"/>
          <w:sz w:val="18"/>
          <w:szCs w:val="18"/>
          <w:color w:val="auto"/>
        </w:rPr>
        <w:t>Cost of revenues from our advertising services increased by 11.5% to RMB889.7 million (US$129.4 million) in 2018 from RMB797.9 million in 2017. The increase in cost of revenues in 2018 was primarily due to an increase in information sourcing costs and higher staff-related costs. The information sourcing costs increased by RMB71.1 million (US$10.3 million) to RMB210.6 million (US$30.6 million) in 2018 from RMB139.5 million in 2017, mainly due to increase in content cost incurred in relation to an expansion of our advertising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Cost of revenues from our innovative businesses and other services increased by 60.9% to RMB5,556.9 million (US$808.2 million) in 2018 from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RMB3,453.4 million in 2017. The increase in cost of revenues in 2018 was primarily due to a combination of the following factors:</w:t>
      </w:r>
    </w:p>
    <w:p>
      <w:pPr>
        <w:spacing w:after="0" w:line="208" w:lineRule="exact"/>
        <w:rPr>
          <w:sz w:val="20"/>
          <w:szCs w:val="20"/>
          <w:color w:val="auto"/>
        </w:rPr>
      </w:pPr>
    </w:p>
    <w:p>
      <w:pPr>
        <w:ind w:left="640" w:right="320" w:hanging="314"/>
        <w:spacing w:after="0" w:line="267" w:lineRule="auto"/>
        <w:tabs>
          <w:tab w:leader="none" w:pos="6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Content cost increased by RMB1,061.1 million (US$154.3 million) to RMB1,962.0 million (US$285.4 million) in 2018 from RMB900.9 million in 2017, primarily due to the amortization of license fees related to our music content.</w:t>
      </w:r>
    </w:p>
    <w:p>
      <w:pPr>
        <w:spacing w:after="0" w:line="178" w:lineRule="exact"/>
        <w:rPr>
          <w:rFonts w:ascii="Arial" w:cs="Arial" w:eastAsia="Arial" w:hAnsi="Arial"/>
          <w:sz w:val="18"/>
          <w:szCs w:val="18"/>
          <w:color w:val="auto"/>
        </w:rPr>
      </w:pPr>
    </w:p>
    <w:p>
      <w:pPr>
        <w:ind w:left="640" w:right="40" w:hanging="314"/>
        <w:spacing w:after="0" w:line="330" w:lineRule="auto"/>
        <w:tabs>
          <w:tab w:leader="none" w:pos="6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 sharing-related costs increased by RMB585.5 million (US$85.2 million) to RMB1,765.9 million (US$256.8 million) in 2018 from RMB1,180.4 million in 2017, primarily due to increased revenue sharing costs from our online education, e-reading, and live video streaming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gross profit increased by 9.6% to RMB28,403.5 million (US$4,131.1 million) in 2018 from RMB25,912.7 million in 2017.</w:t>
      </w:r>
    </w:p>
    <w:p>
      <w:pPr>
        <w:spacing w:after="0" w:line="219"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2017 and 2018 were calculated by dividing our gross profits over our net revenues for the corresponding type of services.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352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w w:val="99"/>
              </w:rPr>
              <w:t>For the Year Ended December 31,</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0"/>
        </w:trPr>
        <w:tc>
          <w:tcPr>
            <w:tcW w:w="6580" w:type="dxa"/>
            <w:vAlign w:val="bottom"/>
          </w:tcPr>
          <w:p>
            <w:pPr>
              <w:spacing w:after="0"/>
              <w:rPr>
                <w:sz w:val="12"/>
                <w:szCs w:val="12"/>
                <w:color w:val="auto"/>
              </w:rPr>
            </w:pPr>
          </w:p>
        </w:tc>
        <w:tc>
          <w:tcPr>
            <w:tcW w:w="1360" w:type="dxa"/>
            <w:vAlign w:val="bottom"/>
            <w:tcBorders>
              <w:bottom w:val="single" w:sz="8" w:color="auto"/>
            </w:tcBorders>
          </w:tcPr>
          <w:p>
            <w:pPr>
              <w:jc w:val="right"/>
              <w:ind w:right="458"/>
              <w:spacing w:after="0" w:line="140"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0"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6"/>
              <w:spacing w:after="0" w:line="140"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r>
      <w:tr>
        <w:trPr>
          <w:trHeight w:val="140"/>
        </w:trPr>
        <w:tc>
          <w:tcPr>
            <w:tcW w:w="658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RMB’000</w:t>
            </w:r>
          </w:p>
        </w:tc>
        <w:tc>
          <w:tcPr>
            <w:tcW w:w="28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RMB’000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56"/>
              <w:spacing w:after="0" w:line="140" w:lineRule="exact"/>
              <w:rPr>
                <w:sz w:val="20"/>
                <w:szCs w:val="20"/>
                <w:color w:val="auto"/>
              </w:rPr>
            </w:pPr>
            <w:r>
              <w:rPr>
                <w:rFonts w:ascii="Arial" w:cs="Arial" w:eastAsia="Arial" w:hAnsi="Arial"/>
                <w:sz w:val="14"/>
                <w:szCs w:val="14"/>
                <w:b w:val="1"/>
                <w:bCs w:val="1"/>
                <w:color w:val="auto"/>
                <w:w w:val="91"/>
              </w:rPr>
              <w:t>US$’000</w:t>
            </w:r>
          </w:p>
        </w:tc>
        <w:tc>
          <w:tcPr>
            <w:tcW w:w="220" w:type="dxa"/>
            <w:vAlign w:val="bottom"/>
          </w:tcPr>
          <w:p>
            <w:pPr>
              <w:spacing w:after="0"/>
              <w:rPr>
                <w:sz w:val="12"/>
                <w:szCs w:val="12"/>
                <w:color w:val="auto"/>
              </w:rPr>
            </w:pPr>
          </w:p>
        </w:tc>
      </w:tr>
      <w:tr>
        <w:trPr>
          <w:trHeight w:val="213"/>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8"/>
                <w:szCs w:val="18"/>
                <w:color w:val="auto"/>
              </w:rPr>
              <w:t>Online games services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22,808,303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25,572,401</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3,719,352</w:t>
            </w:r>
          </w:p>
        </w:tc>
      </w:tr>
      <w:tr>
        <w:trPr>
          <w:trHeight w:val="213"/>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1,205,702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224,967</w:t>
            </w:r>
          </w:p>
        </w:tc>
      </w:tr>
      <w:tr>
        <w:trPr>
          <w:trHeight w:val="213"/>
        </w:trPr>
        <w:tc>
          <w:tcPr>
            <w:tcW w:w="6580" w:type="dxa"/>
            <w:vAlign w:val="bottom"/>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1,610,931</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1,611,156</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234,333</w:t>
            </w:r>
          </w:p>
        </w:tc>
      </w:tr>
      <w:tr>
        <w:trPr>
          <w:trHeight w:val="213"/>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287,757</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(326,820)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(47,535)</w:t>
            </w:r>
          </w:p>
        </w:tc>
      </w:tr>
      <w:tr>
        <w:trPr>
          <w:trHeight w:val="206"/>
        </w:trPr>
        <w:tc>
          <w:tcPr>
            <w:tcW w:w="658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gross profit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28,403,496</w:t>
            </w:r>
          </w:p>
        </w:tc>
        <w:tc>
          <w:tcPr>
            <w:tcW w:w="2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4,131,117</w:t>
            </w:r>
          </w:p>
        </w:tc>
        <w:tc>
          <w:tcPr>
            <w:tcW w:w="220" w:type="dxa"/>
            <w:vAlign w:val="bottom"/>
            <w:tcBorders>
              <w:bottom w:val="single" w:sz="8" w:color="CCEEFF"/>
            </w:tcBorders>
          </w:tcPr>
          <w:p>
            <w:pPr>
              <w:spacing w:after="0"/>
              <w:rPr>
                <w:sz w:val="17"/>
                <w:szCs w:val="17"/>
                <w:color w:val="auto"/>
              </w:rPr>
            </w:pPr>
          </w:p>
        </w:tc>
      </w:tr>
      <w:tr>
        <w:trPr>
          <w:trHeight w:val="206"/>
        </w:trPr>
        <w:tc>
          <w:tcPr>
            <w:tcW w:w="6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62.9%</w:t>
            </w:r>
          </w:p>
        </w:tc>
        <w:tc>
          <w:tcPr>
            <w:tcW w:w="16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13"/>
        </w:trPr>
        <w:tc>
          <w:tcPr>
            <w:tcW w:w="6580" w:type="dxa"/>
            <w:vAlign w:val="bottom"/>
          </w:tcPr>
          <w:p>
            <w:pPr>
              <w:spacing w:after="0"/>
              <w:rPr>
                <w:sz w:val="20"/>
                <w:szCs w:val="20"/>
                <w:color w:val="auto"/>
              </w:rPr>
            </w:pPr>
            <w:r>
              <w:rPr>
                <w:rFonts w:ascii="Arial" w:cs="Arial" w:eastAsia="Arial" w:hAnsi="Arial"/>
                <w:sz w:val="18"/>
                <w:szCs w:val="18"/>
                <w:color w:val="auto"/>
              </w:rPr>
              <w:t>E-commerce</w:t>
            </w:r>
          </w:p>
        </w:tc>
        <w:tc>
          <w:tcPr>
            <w:tcW w:w="1640" w:type="dxa"/>
            <w:vAlign w:val="bottom"/>
            <w:gridSpan w:val="2"/>
          </w:tcPr>
          <w:p>
            <w:pPr>
              <w:jc w:val="right"/>
              <w:ind w:right="51"/>
              <w:spacing w:after="0"/>
              <w:rPr>
                <w:sz w:val="20"/>
                <w:szCs w:val="20"/>
                <w:color w:val="auto"/>
              </w:rPr>
            </w:pPr>
            <w:r>
              <w:rPr>
                <w:rFonts w:ascii="Arial" w:cs="Arial" w:eastAsia="Arial" w:hAnsi="Arial"/>
                <w:sz w:val="18"/>
                <w:szCs w:val="18"/>
                <w:color w:val="auto"/>
              </w:rPr>
              <w:t>10.3%</w:t>
            </w:r>
          </w:p>
        </w:tc>
        <w:tc>
          <w:tcPr>
            <w:tcW w:w="1620" w:type="dxa"/>
            <w:vAlign w:val="bottom"/>
            <w:gridSpan w:val="2"/>
          </w:tcPr>
          <w:p>
            <w:pPr>
              <w:jc w:val="right"/>
              <w:ind w:right="31"/>
              <w:spacing w:after="0"/>
              <w:rPr>
                <w:sz w:val="20"/>
                <w:szCs w:val="20"/>
                <w:color w:val="auto"/>
              </w:rPr>
            </w:pPr>
            <w:r>
              <w:rPr>
                <w:rFonts w:ascii="Arial" w:cs="Arial" w:eastAsia="Arial" w:hAnsi="Arial"/>
                <w:sz w:val="18"/>
                <w:szCs w:val="18"/>
                <w:color w:val="auto"/>
              </w:rPr>
              <w:t>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3"/>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66.9%</w:t>
            </w:r>
          </w:p>
        </w:tc>
        <w:tc>
          <w:tcPr>
            <w:tcW w:w="16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13"/>
        </w:trPr>
        <w:tc>
          <w:tcPr>
            <w:tcW w:w="658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640" w:type="dxa"/>
            <w:vAlign w:val="bottom"/>
            <w:gridSpan w:val="2"/>
          </w:tcPr>
          <w:p>
            <w:pPr>
              <w:jc w:val="right"/>
              <w:ind w:right="51"/>
              <w:spacing w:after="0"/>
              <w:rPr>
                <w:sz w:val="20"/>
                <w:szCs w:val="20"/>
                <w:color w:val="auto"/>
              </w:rPr>
            </w:pPr>
            <w:r>
              <w:rPr>
                <w:rFonts w:ascii="Arial" w:cs="Arial" w:eastAsia="Arial" w:hAnsi="Arial"/>
                <w:sz w:val="18"/>
                <w:szCs w:val="18"/>
                <w:color w:val="auto"/>
              </w:rPr>
              <w:t>7.7%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06"/>
        </w:trPr>
        <w:tc>
          <w:tcPr>
            <w:tcW w:w="65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gross profit margin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80" w:type="dxa"/>
            <w:vAlign w:val="bottom"/>
            <w:tcBorders>
              <w:top w:val="single" w:sz="8" w:color="CCEEFF"/>
            </w:tcBorders>
            <w:shd w:val="clear" w:color="auto" w:fill="CCEEFF"/>
          </w:tcPr>
          <w:p>
            <w:pPr>
              <w:jc w:val="right"/>
              <w:ind w:right="51"/>
              <w:spacing w:after="0" w:line="204" w:lineRule="exact"/>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Borders>
              <w:top w:val="single" w:sz="8" w:color="CCEEFF"/>
            </w:tcBorders>
            <w:shd w:val="clear" w:color="auto" w:fill="CCEEFF"/>
          </w:tcPr>
          <w:p>
            <w:pPr>
              <w:jc w:val="right"/>
              <w:ind w:right="31"/>
              <w:spacing w:after="0" w:line="204" w:lineRule="exact"/>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r>
    </w:tbl>
    <w:p>
      <w:pPr>
        <w:spacing w:after="0" w:line="201" w:lineRule="exact"/>
        <w:rPr>
          <w:sz w:val="20"/>
          <w:szCs w:val="20"/>
          <w:color w:val="auto"/>
        </w:rPr>
      </w:pPr>
    </w:p>
    <w:p>
      <w:pPr>
        <w:ind w:right="20" w:firstLine="639"/>
        <w:spacing w:after="0" w:line="270" w:lineRule="auto"/>
        <w:rPr>
          <w:sz w:val="20"/>
          <w:szCs w:val="20"/>
          <w:color w:val="auto"/>
        </w:rPr>
      </w:pPr>
      <w:r>
        <w:rPr>
          <w:rFonts w:ascii="Arial" w:cs="Arial" w:eastAsia="Arial" w:hAnsi="Arial"/>
          <w:sz w:val="17"/>
          <w:szCs w:val="17"/>
          <w:color w:val="auto"/>
        </w:rPr>
        <w:t>The increase of gross profit margin for online games services was mainly due to the increased revenues contribution from our self-developed mobile games, which have relatively higher gross profit margin, as a percentage of our total online game revenues. The decrease of gross profit margin for e-commerce services was mainly due to the increased level of promotions and sales discounts offered in 2018 compared to 2017. The decrease in gross profit margin for advertising services was mainly due to an increase in information sourcing costs and higher staff-related costs. The decrease in gross profit margin for innovative businesses and others was mainly due to higher costs related to licensed music content.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ind w:right="80" w:firstLine="639"/>
        <w:spacing w:after="0" w:line="267" w:lineRule="auto"/>
        <w:rPr>
          <w:sz w:val="20"/>
          <w:szCs w:val="20"/>
          <w:color w:val="auto"/>
        </w:rPr>
      </w:pPr>
      <w:r>
        <w:rPr>
          <w:rFonts w:ascii="Arial" w:cs="Arial" w:eastAsia="Arial" w:hAnsi="Arial"/>
          <w:sz w:val="18"/>
          <w:szCs w:val="18"/>
          <w:color w:val="auto"/>
        </w:rPr>
        <w:t>Total operating expenses increased by 49.1% to RMB20,510.6 million (US$2,983.1 million) in 2018 from RMB13,758.9 million in 2017 as a result of an increase in selling and marketing expenses, general and administrative expenses and research and development expenses.</w:t>
      </w:r>
    </w:p>
    <w:p>
      <w:pPr>
        <w:spacing w:after="0" w:line="179" w:lineRule="exact"/>
        <w:rPr>
          <w:sz w:val="20"/>
          <w:szCs w:val="20"/>
          <w:color w:val="auto"/>
        </w:rPr>
      </w:pPr>
    </w:p>
    <w:p>
      <w:pPr>
        <w:ind w:right="680" w:firstLine="639"/>
        <w:spacing w:after="0" w:line="267" w:lineRule="auto"/>
        <w:rPr>
          <w:sz w:val="20"/>
          <w:szCs w:val="20"/>
          <w:color w:val="auto"/>
        </w:rPr>
      </w:pPr>
      <w:r>
        <w:rPr>
          <w:rFonts w:ascii="Arial" w:cs="Arial" w:eastAsia="Arial" w:hAnsi="Arial"/>
          <w:sz w:val="18"/>
          <w:szCs w:val="18"/>
          <w:color w:val="auto"/>
        </w:rPr>
        <w:t>Selling and marketing expenses increased by 36.9% to RMB9,526.5 million (US$1,385.6 million) in 2018 from RMB6,957.6 million in 2017, primarily due to a combination of the following factors: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right="20" w:hanging="314"/>
        <w:spacing w:after="0" w:line="257" w:lineRule="auto"/>
        <w:tabs>
          <w:tab w:leader="none" w:pos="6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marketing costs of approximately RMB1,726.3 million (US$251.1 million) in 2018 resulting from increased marketing spending on our various online games, as well as media and outdoor branding promotion for our e-commerce services, advertising services and innovative businesses and other services.</w:t>
      </w:r>
    </w:p>
    <w:p>
      <w:pPr>
        <w:spacing w:after="0" w:line="187" w:lineRule="exact"/>
        <w:rPr>
          <w:rFonts w:ascii="Arial" w:cs="Arial" w:eastAsia="Arial" w:hAnsi="Arial"/>
          <w:sz w:val="18"/>
          <w:szCs w:val="18"/>
          <w:color w:val="auto"/>
        </w:rPr>
      </w:pPr>
    </w:p>
    <w:p>
      <w:pPr>
        <w:ind w:left="640" w:right="360" w:hanging="314"/>
        <w:spacing w:after="0" w:line="267" w:lineRule="auto"/>
        <w:tabs>
          <w:tab w:leader="none" w:pos="6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shipping and handling costs of approximately RMB487.7 million (US$70.9 million) in 2018 resulting from the expansion of our e-commerce business.</w:t>
      </w:r>
    </w:p>
    <w:p>
      <w:pPr>
        <w:spacing w:after="0" w:line="178" w:lineRule="exact"/>
        <w:rPr>
          <w:rFonts w:ascii="Arial" w:cs="Arial" w:eastAsia="Arial" w:hAnsi="Arial"/>
          <w:sz w:val="18"/>
          <w:szCs w:val="18"/>
          <w:color w:val="auto"/>
        </w:rPr>
      </w:pPr>
    </w:p>
    <w:p>
      <w:pPr>
        <w:ind w:left="640" w:right="380" w:hanging="314"/>
        <w:spacing w:after="0" w:line="267" w:lineRule="auto"/>
        <w:tabs>
          <w:tab w:leader="none" w:pos="6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staff-related costs of our sales team of approximately RMB304.3 million (US$44.3 million) in 2018, primarily driven by increased headcount and higher compensation levels and performance-related bonus accruals.</w:t>
      </w:r>
    </w:p>
    <w:p>
      <w:pPr>
        <w:spacing w:after="0" w:line="179" w:lineRule="exact"/>
        <w:rPr>
          <w:sz w:val="20"/>
          <w:szCs w:val="20"/>
          <w:color w:val="auto"/>
        </w:rPr>
      </w:pPr>
    </w:p>
    <w:p>
      <w:pPr>
        <w:ind w:right="280" w:firstLine="639"/>
        <w:spacing w:after="0" w:line="257" w:lineRule="auto"/>
        <w:rPr>
          <w:sz w:val="20"/>
          <w:szCs w:val="20"/>
          <w:color w:val="auto"/>
        </w:rPr>
      </w:pPr>
      <w:r>
        <w:rPr>
          <w:rFonts w:ascii="Arial" w:cs="Arial" w:eastAsia="Arial" w:hAnsi="Arial"/>
          <w:sz w:val="18"/>
          <w:szCs w:val="18"/>
          <w:color w:val="auto"/>
        </w:rPr>
        <w:t>General and administrative expenses increased by 31.3% to RMB3,191.5 million (US$464.2 million) in 2018 from RMB2,429.9 million in 2017, primarily due to an increase in staff-related costs of approximately RMB662.7 million (US$96.4 million) in 2018 driven by increased headcount and higher compensation levels.</w:t>
      </w:r>
    </w:p>
    <w:p>
      <w:pPr>
        <w:spacing w:after="0" w:line="188" w:lineRule="exact"/>
        <w:rPr>
          <w:sz w:val="20"/>
          <w:szCs w:val="20"/>
          <w:color w:val="auto"/>
        </w:rPr>
      </w:pPr>
    </w:p>
    <w:p>
      <w:pPr>
        <w:ind w:right="200" w:firstLine="639"/>
        <w:spacing w:after="0" w:line="267" w:lineRule="auto"/>
        <w:rPr>
          <w:sz w:val="20"/>
          <w:szCs w:val="20"/>
          <w:color w:val="auto"/>
        </w:rPr>
      </w:pPr>
      <w:r>
        <w:rPr>
          <w:rFonts w:ascii="Arial" w:cs="Arial" w:eastAsia="Arial" w:hAnsi="Arial"/>
          <w:sz w:val="18"/>
          <w:szCs w:val="18"/>
          <w:color w:val="auto"/>
        </w:rPr>
        <w:t>Research and development expenses increased by 78.3% to RMB7,792.6 million (US$1,133.4 million) in 2018 from RMB4,371.4 million in 2017, primarily due to a combination of the following factors:</w:t>
      </w:r>
    </w:p>
    <w:p>
      <w:pPr>
        <w:spacing w:after="0" w:line="179" w:lineRule="exact"/>
        <w:rPr>
          <w:sz w:val="20"/>
          <w:szCs w:val="20"/>
          <w:color w:val="auto"/>
        </w:rPr>
      </w:pPr>
    </w:p>
    <w:p>
      <w:pPr>
        <w:ind w:left="640" w:right="40" w:hanging="314"/>
        <w:spacing w:after="0" w:line="257" w:lineRule="auto"/>
        <w:tabs>
          <w:tab w:leader="none" w:pos="6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RMB2,237.4 million (US$325.4 million) in 2018, mainly as a result of increased headcount for our online games services, e-commerce services and innovative businesses and other services and higher salaries, bonuses and other benefits paid to our research and development teams during 2018, including share based compensation.</w:t>
      </w:r>
    </w:p>
    <w:p>
      <w:pPr>
        <w:spacing w:after="0" w:line="187" w:lineRule="exact"/>
        <w:rPr>
          <w:rFonts w:ascii="Arial" w:cs="Arial" w:eastAsia="Arial" w:hAnsi="Arial"/>
          <w:sz w:val="18"/>
          <w:szCs w:val="18"/>
          <w:color w:val="auto"/>
        </w:rPr>
      </w:pPr>
    </w:p>
    <w:p>
      <w:pPr>
        <w:ind w:left="620" w:hanging="294"/>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technology costs of approximately RMB677.3 million (US$98.5 million), mainly for game content design.</w:t>
      </w:r>
    </w:p>
    <w:p>
      <w:pPr>
        <w:spacing w:after="0" w:line="219" w:lineRule="exact"/>
        <w:rPr>
          <w:rFonts w:ascii="Arial" w:cs="Arial" w:eastAsia="Arial" w:hAnsi="Arial"/>
          <w:sz w:val="18"/>
          <w:szCs w:val="18"/>
          <w:color w:val="auto"/>
        </w:rPr>
      </w:pPr>
    </w:p>
    <w:p>
      <w:pPr>
        <w:ind w:left="640" w:hanging="314"/>
        <w:spacing w:after="0" w:line="267" w:lineRule="auto"/>
        <w:tabs>
          <w:tab w:leader="none" w:pos="6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other miscellaneous cost of approximately RMB392.9 million (US$57.1 million) such as depreciation and amortization costs, rental and utilities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2018, the gross accounts receivable balance before any allowance for bad and doubtful accounts was RMB4,419.1 million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(US$642.7 million). After providing for doubtful accounts in the amount of RMB130.6 million (US$19.0 million), the net balance of accounts receivable was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RMB4,288.5 million (US$623.7 million) as of December 31, 2018. The allowances for doubtful accounts represented the provisions of RMB130.6 million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(US$19.0 million) as of December 31, 2018, as compared to the provision of RMB84.9 million as of December 31, 2017.</w:t>
      </w:r>
    </w:p>
    <w:p>
      <w:pPr>
        <w:spacing w:after="0" w:line="208" w:lineRule="exact"/>
        <w:rPr>
          <w:sz w:val="20"/>
          <w:szCs w:val="20"/>
          <w:color w:val="auto"/>
        </w:rPr>
      </w:pPr>
    </w:p>
    <w:p>
      <w:pPr>
        <w:jc w:val="both"/>
        <w:ind w:right="260" w:firstLine="639"/>
        <w:spacing w:after="0" w:line="411" w:lineRule="auto"/>
        <w:rPr>
          <w:sz w:val="20"/>
          <w:szCs w:val="20"/>
          <w:color w:val="auto"/>
        </w:rPr>
      </w:pPr>
      <w:r>
        <w:rPr>
          <w:rFonts w:ascii="Arial" w:cs="Arial" w:eastAsia="Arial" w:hAnsi="Arial"/>
          <w:sz w:val="14"/>
          <w:szCs w:val="14"/>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88" w:lineRule="exact"/>
        <w:rPr>
          <w:sz w:val="20"/>
          <w:szCs w:val="20"/>
          <w:color w:val="auto"/>
        </w:rPr>
      </w:pPr>
    </w:p>
    <w:p>
      <w:pPr>
        <w:ind w:right="380" w:firstLine="639"/>
        <w:spacing w:after="0" w:line="267" w:lineRule="auto"/>
        <w:rPr>
          <w:sz w:val="20"/>
          <w:szCs w:val="20"/>
          <w:color w:val="auto"/>
        </w:rPr>
      </w:pPr>
      <w:r>
        <w:rPr>
          <w:rFonts w:ascii="Arial" w:cs="Arial" w:eastAsia="Arial" w:hAnsi="Arial"/>
          <w:sz w:val="18"/>
          <w:szCs w:val="18"/>
          <w:color w:val="auto"/>
        </w:rPr>
        <w:t>No significant allowance for bad and doubtful accounts was provided in 2018. As of December 31, 2018, we had one distribution channel with a receivable balance exceeding 10% of our total accounts receivable balance.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5" w:lineRule="exact"/>
        <w:rPr>
          <w:sz w:val="20"/>
          <w:szCs w:val="20"/>
          <w:color w:val="auto"/>
        </w:rPr>
      </w:pPr>
    </w:p>
    <w:p>
      <w:pPr>
        <w:ind w:right="180" w:firstLine="639"/>
        <w:spacing w:after="0" w:line="304" w:lineRule="auto"/>
        <w:rPr>
          <w:sz w:val="20"/>
          <w:szCs w:val="20"/>
          <w:color w:val="auto"/>
        </w:rPr>
      </w:pPr>
      <w:r>
        <w:rPr>
          <w:rFonts w:ascii="Arial" w:cs="Arial" w:eastAsia="Arial" w:hAnsi="Arial"/>
          <w:sz w:val="16"/>
          <w:szCs w:val="16"/>
          <w:color w:val="auto"/>
        </w:rPr>
        <w:t>Other income in 2018 mainly consisted of interest income, investment income related to short-term investments, foreign exchange gain and government incentives, offset in part by foreign exchange losses, impairment provisions related to certain equity investments, net investment losses in equity method investees and fair value change related to our equity investments with readily determinable fair value and other financial instruments.</w:t>
      </w:r>
    </w:p>
    <w:p>
      <w:pPr>
        <w:spacing w:after="0" w:line="153" w:lineRule="exact"/>
        <w:rPr>
          <w:sz w:val="20"/>
          <w:szCs w:val="20"/>
          <w:color w:val="auto"/>
        </w:rPr>
      </w:pPr>
    </w:p>
    <w:p>
      <w:pPr>
        <w:jc w:val="both"/>
        <w:ind w:right="120" w:firstLine="639"/>
        <w:spacing w:after="0" w:line="279" w:lineRule="auto"/>
        <w:rPr>
          <w:sz w:val="20"/>
          <w:szCs w:val="20"/>
          <w:color w:val="auto"/>
        </w:rPr>
      </w:pPr>
      <w:r>
        <w:rPr>
          <w:rFonts w:ascii="Arial" w:cs="Arial" w:eastAsia="Arial" w:hAnsi="Arial"/>
          <w:sz w:val="17"/>
          <w:szCs w:val="17"/>
          <w:color w:val="auto"/>
        </w:rPr>
        <w:t>Interest income decreased to RMB587.5 million (US$85.5 million) in 2018 from RMB667.3 million in 2017, primarily due to a decrease of RMB3.2 billion (US$468.7 million) in our net cash balance, which includes total cash and cash equivalents, time deposits and restricted cash balance minus short-term loans. We incurred interest expense of RMB318.1 million (US$46.3 million) in 2018 related to our short-term loans.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loss was RMB22.3 million (US$3.2 million) in 2018 compared to investment income of RMB362.1 million in 2017, consisting primarily of</w:t>
      </w:r>
    </w:p>
    <w:p>
      <w:pPr>
        <w:spacing w:after="0" w:line="40" w:lineRule="exact"/>
        <w:rPr>
          <w:sz w:val="20"/>
          <w:szCs w:val="20"/>
          <w:color w:val="auto"/>
        </w:rPr>
      </w:pPr>
    </w:p>
    <w:p>
      <w:pPr>
        <w:ind w:right="40" w:firstLine="7"/>
        <w:spacing w:after="0" w:line="261" w:lineRule="auto"/>
        <w:tabs>
          <w:tab w:leader="none" w:pos="21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investment income related to short-term investments of RMB463.6 million (US$67.4 million) in 2018, compared to RMB389.5 million in 2017, and (ii) cash dividend of RMB17.1 million (US$2.5 million) from equity investments in 2018, compared to RMB29.6 million in 2017, which was offset in part by</w:t>
      </w:r>
    </w:p>
    <w:p>
      <w:pPr>
        <w:spacing w:after="0" w:line="1" w:lineRule="exact"/>
        <w:rPr>
          <w:rFonts w:ascii="Arial" w:cs="Arial" w:eastAsia="Arial" w:hAnsi="Arial"/>
          <w:sz w:val="17"/>
          <w:szCs w:val="17"/>
          <w:color w:val="auto"/>
        </w:rPr>
      </w:pPr>
    </w:p>
    <w:p>
      <w:pPr>
        <w:ind w:right="20" w:firstLine="7"/>
        <w:spacing w:after="0" w:line="250" w:lineRule="auto"/>
        <w:tabs>
          <w:tab w:leader="none" w:pos="2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provisions related to certain investments and a net investment loss in equity method investees totalling RMB258.0 million (US$37.5 million) in 2018, compared to RMB70.7 million in 2017, and (ii) a fair value change of RMB248.2 million (US$36.1 million) related to the equity investments with readily determinable fair value and other financial instruments in 2018 compared to nil in 2017.</w:t>
      </w:r>
    </w:p>
    <w:p>
      <w:pPr>
        <w:spacing w:after="0" w:line="195" w:lineRule="exact"/>
        <w:rPr>
          <w:sz w:val="20"/>
          <w:szCs w:val="20"/>
          <w:color w:val="auto"/>
        </w:rPr>
      </w:pPr>
    </w:p>
    <w:p>
      <w:pPr>
        <w:ind w:right="500" w:firstLine="639"/>
        <w:spacing w:after="0" w:line="267" w:lineRule="auto"/>
        <w:rPr>
          <w:sz w:val="20"/>
          <w:szCs w:val="20"/>
          <w:color w:val="auto"/>
        </w:rPr>
      </w:pPr>
      <w:r>
        <w:rPr>
          <w:rFonts w:ascii="Arial" w:cs="Arial" w:eastAsia="Arial" w:hAnsi="Arial"/>
          <w:sz w:val="18"/>
          <w:szCs w:val="18"/>
          <w:color w:val="auto"/>
        </w:rPr>
        <w:t>In 2018, we received and recognized unconditional government incentives of approximately RMB329.2 million (US$47.9 million), compared to RMB252.0 million in 2017.</w:t>
      </w:r>
    </w:p>
    <w:p>
      <w:pPr>
        <w:spacing w:after="0" w:line="179" w:lineRule="exact"/>
        <w:rPr>
          <w:sz w:val="20"/>
          <w:szCs w:val="20"/>
          <w:color w:val="auto"/>
        </w:rPr>
      </w:pPr>
    </w:p>
    <w:p>
      <w:pPr>
        <w:ind w:right="60" w:firstLine="639"/>
        <w:spacing w:after="0" w:line="279" w:lineRule="auto"/>
        <w:rPr>
          <w:sz w:val="20"/>
          <w:szCs w:val="20"/>
          <w:color w:val="auto"/>
        </w:rPr>
      </w:pPr>
      <w:r>
        <w:rPr>
          <w:rFonts w:ascii="Arial" w:cs="Arial" w:eastAsia="Arial" w:hAnsi="Arial"/>
          <w:sz w:val="17"/>
          <w:szCs w:val="17"/>
          <w:color w:val="auto"/>
        </w:rPr>
        <w:t>We also incurred net foreign exchange losses of RMB113.3 million (US$16.5 million) in 2018, compared to net foreign exchange losses of RMB448.8 million in 2017, both of which are primarily due to the translation gains and losses arising from our U.S. dollar-denominated bank deposit and short-term loan balances as the exchange rate of the U.S. dollar against the RMB fluctuated over these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5" w:lineRule="exact"/>
        <w:rPr>
          <w:sz w:val="20"/>
          <w:szCs w:val="20"/>
          <w:color w:val="auto"/>
        </w:rPr>
      </w:pPr>
    </w:p>
    <w:p>
      <w:pPr>
        <w:ind w:right="500" w:firstLine="639"/>
        <w:spacing w:after="0" w:line="257" w:lineRule="auto"/>
        <w:rPr>
          <w:sz w:val="20"/>
          <w:szCs w:val="20"/>
          <w:color w:val="auto"/>
        </w:rPr>
      </w:pPr>
      <w:r>
        <w:rPr>
          <w:rFonts w:ascii="Arial" w:cs="Arial" w:eastAsia="Arial" w:hAnsi="Arial"/>
          <w:sz w:val="18"/>
          <w:szCs w:val="18"/>
          <w:color w:val="auto"/>
        </w:rPr>
        <w:t>Income tax increased to RMB2,466.7 million (US$358.8 million) in 2018 from RMB2,162.4 million in 2017. Our effective tax rate in 2018 was 27.6% compared with 16.6% in 2017. The change in the effective tax rate was mainly due to the fact that certain of our subsidiaries experienced higher operating losses in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5" w:lineRule="exact"/>
        <w:rPr>
          <w:sz w:val="20"/>
          <w:szCs w:val="20"/>
          <w:color w:val="auto"/>
        </w:rPr>
      </w:pPr>
    </w:p>
    <w:p>
      <w:pPr>
        <w:ind w:right="100" w:firstLine="639"/>
        <w:spacing w:after="0" w:line="267" w:lineRule="auto"/>
        <w:rPr>
          <w:sz w:val="20"/>
          <w:szCs w:val="20"/>
          <w:color w:val="auto"/>
        </w:rPr>
      </w:pPr>
      <w:r>
        <w:rPr>
          <w:rFonts w:ascii="Arial" w:cs="Arial" w:eastAsia="Arial" w:hAnsi="Arial"/>
          <w:sz w:val="18"/>
          <w:szCs w:val="18"/>
          <w:color w:val="auto"/>
        </w:rPr>
        <w:t>As a result of the foregoing, net income attributable to our shareholders decreased by 42.5% to RMB6,152.4 million (US$894.8 million) in 2018 from RMB10,707.9 million in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25" w:lineRule="exact"/>
        <w:rPr>
          <w:sz w:val="20"/>
          <w:szCs w:val="20"/>
          <w:color w:val="auto"/>
        </w:rPr>
      </w:pPr>
    </w:p>
    <w:p>
      <w:pPr>
        <w:ind w:right="100" w:firstLine="639"/>
        <w:spacing w:after="0" w:line="257" w:lineRule="auto"/>
        <w:rPr>
          <w:sz w:val="20"/>
          <w:szCs w:val="20"/>
          <w:color w:val="auto"/>
        </w:rPr>
      </w:pPr>
      <w:r>
        <w:rPr>
          <w:rFonts w:ascii="Arial" w:cs="Arial" w:eastAsia="Arial" w:hAnsi="Arial"/>
          <w:sz w:val="18"/>
          <w:szCs w:val="18"/>
          <w:color w:val="auto"/>
        </w:rPr>
        <w:t>Net revenue from service and product sales represented 78.8% and 21.2% of our total net revenues in 2017, compared with 88.4% and 11.6% in 2016, respectively. The following table sets forth the net revenues and cost of revenues by segments for the period presented as derived from our audited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40" w:type="dxa"/>
            <w:vAlign w:val="bottom"/>
          </w:tcPr>
          <w:p>
            <w:pPr>
              <w:spacing w:after="0"/>
              <w:rPr>
                <w:sz w:val="14"/>
                <w:szCs w:val="14"/>
                <w:color w:val="auto"/>
              </w:rPr>
            </w:pPr>
          </w:p>
        </w:tc>
        <w:tc>
          <w:tcPr>
            <w:tcW w:w="3480" w:type="dxa"/>
            <w:vAlign w:val="bottom"/>
            <w:gridSpan w:val="4"/>
          </w:tcPr>
          <w:p>
            <w:pPr>
              <w:jc w:val="right"/>
              <w:ind w:right="722"/>
              <w:spacing w:after="0"/>
              <w:rPr>
                <w:sz w:val="20"/>
                <w:szCs w:val="20"/>
                <w:color w:val="auto"/>
              </w:rPr>
            </w:pPr>
            <w:r>
              <w:rPr>
                <w:rFonts w:ascii="Arial" w:cs="Arial" w:eastAsia="Arial" w:hAnsi="Arial"/>
                <w:sz w:val="14"/>
                <w:szCs w:val="14"/>
                <w:b w:val="1"/>
                <w:bCs w:val="1"/>
                <w:color w:val="auto"/>
              </w:rPr>
              <w:t>For the year ended December 31,</w:t>
            </w:r>
          </w:p>
        </w:tc>
      </w:tr>
      <w:tr>
        <w:trPr>
          <w:trHeight w:val="140"/>
        </w:trPr>
        <w:tc>
          <w:tcPr>
            <w:tcW w:w="794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535"/>
              <w:spacing w:after="0" w:line="140"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34"/>
              <w:spacing w:after="0" w:line="140"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0"/>
        </w:trPr>
        <w:tc>
          <w:tcPr>
            <w:tcW w:w="7940" w:type="dxa"/>
            <w:vAlign w:val="bottom"/>
          </w:tcPr>
          <w:p>
            <w:pPr>
              <w:spacing w:after="0"/>
              <w:rPr>
                <w:sz w:val="12"/>
                <w:szCs w:val="12"/>
                <w:color w:val="auto"/>
              </w:rPr>
            </w:pPr>
          </w:p>
        </w:tc>
        <w:tc>
          <w:tcPr>
            <w:tcW w:w="1520" w:type="dxa"/>
            <w:vAlign w:val="bottom"/>
          </w:tcPr>
          <w:p>
            <w:pPr>
              <w:jc w:val="right"/>
              <w:ind w:right="515"/>
              <w:spacing w:after="0" w:line="140"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540" w:type="dxa"/>
            <w:vAlign w:val="bottom"/>
          </w:tcPr>
          <w:p>
            <w:pPr>
              <w:jc w:val="right"/>
              <w:ind w:right="514"/>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8"/>
                <w:szCs w:val="18"/>
                <w:color w:val="auto"/>
              </w:rPr>
              <w:t>Online games services</w:t>
            </w:r>
          </w:p>
        </w:tc>
        <w:tc>
          <w:tcPr>
            <w:tcW w:w="1820" w:type="dxa"/>
            <w:vAlign w:val="bottom"/>
            <w:gridSpan w:val="2"/>
          </w:tcPr>
          <w:p>
            <w:pPr>
              <w:jc w:val="right"/>
              <w:ind w:right="222"/>
              <w:spacing w:after="0"/>
              <w:rPr>
                <w:sz w:val="20"/>
                <w:szCs w:val="20"/>
                <w:color w:val="auto"/>
              </w:rPr>
            </w:pPr>
            <w:r>
              <w:rPr>
                <w:rFonts w:ascii="Arial" w:cs="Arial" w:eastAsia="Arial" w:hAnsi="Arial"/>
                <w:sz w:val="18"/>
                <w:szCs w:val="18"/>
                <w:color w:val="auto"/>
              </w:rPr>
              <w:t>27,980,491</w:t>
            </w:r>
          </w:p>
        </w:tc>
        <w:tc>
          <w:tcPr>
            <w:tcW w:w="1660" w:type="dxa"/>
            <w:vAlign w:val="bottom"/>
            <w:gridSpan w:val="2"/>
          </w:tcPr>
          <w:p>
            <w:pPr>
              <w:jc w:val="right"/>
              <w:ind w:right="42"/>
              <w:spacing w:after="0"/>
              <w:rPr>
                <w:sz w:val="20"/>
                <w:szCs w:val="20"/>
                <w:color w:val="auto"/>
              </w:rPr>
            </w:pPr>
            <w:r>
              <w:rPr>
                <w:rFonts w:ascii="Arial" w:cs="Arial" w:eastAsia="Arial" w:hAnsi="Arial"/>
                <w:sz w:val="18"/>
                <w:szCs w:val="18"/>
                <w:color w:val="auto"/>
              </w:rPr>
              <w:t>36,281,642</w:t>
            </w:r>
          </w:p>
        </w:tc>
      </w:tr>
      <w:tr>
        <w:trPr>
          <w:trHeight w:val="213"/>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4,541,744</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11,670,416</w:t>
            </w:r>
          </w:p>
        </w:tc>
      </w:tr>
      <w:tr>
        <w:trPr>
          <w:trHeight w:val="213"/>
        </w:trPr>
        <w:tc>
          <w:tcPr>
            <w:tcW w:w="7940" w:type="dxa"/>
            <w:vAlign w:val="bottom"/>
          </w:tcPr>
          <w:p>
            <w:pPr>
              <w:spacing w:after="0"/>
              <w:rPr>
                <w:sz w:val="20"/>
                <w:szCs w:val="20"/>
                <w:color w:val="auto"/>
              </w:rPr>
            </w:pPr>
            <w:r>
              <w:rPr>
                <w:rFonts w:ascii="Arial" w:cs="Arial" w:eastAsia="Arial" w:hAnsi="Arial"/>
                <w:sz w:val="18"/>
                <w:szCs w:val="18"/>
                <w:color w:val="auto"/>
              </w:rPr>
              <w:t>Advertising services</w:t>
            </w:r>
          </w:p>
        </w:tc>
        <w:tc>
          <w:tcPr>
            <w:tcW w:w="1520" w:type="dxa"/>
            <w:vAlign w:val="bottom"/>
          </w:tcPr>
          <w:p>
            <w:pPr>
              <w:jc w:val="right"/>
              <w:spacing w:after="0"/>
              <w:rPr>
                <w:sz w:val="20"/>
                <w:szCs w:val="20"/>
                <w:color w:val="auto"/>
              </w:rPr>
            </w:pPr>
            <w:r>
              <w:rPr>
                <w:rFonts w:ascii="Arial" w:cs="Arial" w:eastAsia="Arial" w:hAnsi="Arial"/>
                <w:sz w:val="18"/>
                <w:szCs w:val="18"/>
                <w:color w:val="auto"/>
              </w:rPr>
              <w:t>2,152,379</w:t>
            </w:r>
          </w:p>
        </w:tc>
        <w:tc>
          <w:tcPr>
            <w:tcW w:w="300" w:type="dxa"/>
            <w:vAlign w:val="bottom"/>
          </w:tcPr>
          <w:p>
            <w:pPr>
              <w:spacing w:after="0"/>
              <w:rPr>
                <w:sz w:val="18"/>
                <w:szCs w:val="18"/>
                <w:color w:val="auto"/>
              </w:rPr>
            </w:pPr>
          </w:p>
        </w:tc>
        <w:tc>
          <w:tcPr>
            <w:tcW w:w="1660" w:type="dxa"/>
            <w:vAlign w:val="bottom"/>
            <w:gridSpan w:val="2"/>
          </w:tcPr>
          <w:p>
            <w:pPr>
              <w:jc w:val="right"/>
              <w:ind w:right="42"/>
              <w:spacing w:after="0"/>
              <w:rPr>
                <w:sz w:val="20"/>
                <w:szCs w:val="20"/>
                <w:color w:val="auto"/>
              </w:rPr>
            </w:pPr>
            <w:r>
              <w:rPr>
                <w:rFonts w:ascii="Arial" w:cs="Arial" w:eastAsia="Arial" w:hAnsi="Arial"/>
                <w:sz w:val="18"/>
                <w:szCs w:val="18"/>
                <w:color w:val="auto"/>
              </w:rPr>
              <w:t>2,408,823</w:t>
            </w:r>
          </w:p>
        </w:tc>
      </w:tr>
      <w:tr>
        <w:trPr>
          <w:trHeight w:val="213"/>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3,504,230</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3,741,138</w:t>
            </w:r>
          </w:p>
        </w:tc>
      </w:tr>
      <w:tr>
        <w:trPr>
          <w:trHeight w:val="206"/>
        </w:trPr>
        <w:tc>
          <w:tcPr>
            <w:tcW w:w="794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net revenues</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3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54,102,019</w:t>
            </w:r>
          </w:p>
        </w:tc>
        <w:tc>
          <w:tcPr>
            <w:tcW w:w="120" w:type="dxa"/>
            <w:vAlign w:val="bottom"/>
            <w:tcBorders>
              <w:bottom w:val="single" w:sz="8" w:color="CCEEFF"/>
            </w:tcBorders>
          </w:tcPr>
          <w:p>
            <w:pPr>
              <w:spacing w:after="0"/>
              <w:rPr>
                <w:sz w:val="17"/>
                <w:szCs w:val="17"/>
                <w:color w:val="auto"/>
              </w:rPr>
            </w:pPr>
          </w:p>
        </w:tc>
      </w:tr>
      <w:tr>
        <w:trPr>
          <w:trHeight w:val="206"/>
        </w:trPr>
        <w:tc>
          <w:tcPr>
            <w:tcW w:w="79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8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(9,974,146)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(13,473,339)</w:t>
            </w:r>
          </w:p>
        </w:tc>
      </w:tr>
      <w:tr>
        <w:trPr>
          <w:trHeight w:val="213"/>
        </w:trPr>
        <w:tc>
          <w:tcPr>
            <w:tcW w:w="7940" w:type="dxa"/>
            <w:vAlign w:val="bottom"/>
          </w:tcPr>
          <w:p>
            <w:pPr>
              <w:spacing w:after="0"/>
              <w:rPr>
                <w:sz w:val="20"/>
                <w:szCs w:val="20"/>
                <w:color w:val="auto"/>
              </w:rPr>
            </w:pPr>
            <w:r>
              <w:rPr>
                <w:rFonts w:ascii="Arial" w:cs="Arial" w:eastAsia="Arial" w:hAnsi="Arial"/>
                <w:sz w:val="18"/>
                <w:szCs w:val="18"/>
                <w:color w:val="auto"/>
              </w:rPr>
              <w:t>E-commerce</w:t>
            </w:r>
          </w:p>
        </w:tc>
        <w:tc>
          <w:tcPr>
            <w:tcW w:w="1820" w:type="dxa"/>
            <w:vAlign w:val="bottom"/>
            <w:gridSpan w:val="2"/>
          </w:tcPr>
          <w:p>
            <w:pPr>
              <w:jc w:val="right"/>
              <w:ind w:right="162"/>
              <w:spacing w:after="0"/>
              <w:rPr>
                <w:sz w:val="20"/>
                <w:szCs w:val="20"/>
                <w:color w:val="auto"/>
              </w:rPr>
            </w:pPr>
            <w:r>
              <w:rPr>
                <w:rFonts w:ascii="Arial" w:cs="Arial" w:eastAsia="Arial" w:hAnsi="Arial"/>
                <w:sz w:val="18"/>
                <w:szCs w:val="18"/>
                <w:color w:val="auto"/>
              </w:rPr>
              <w:t>(3,986,871)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(10,464,714)</w:t>
            </w:r>
          </w:p>
        </w:tc>
      </w:tr>
      <w:tr>
        <w:trPr>
          <w:trHeight w:val="213"/>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8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(749,652)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(797,892)</w:t>
            </w:r>
          </w:p>
        </w:tc>
      </w:tr>
      <w:tr>
        <w:trPr>
          <w:trHeight w:val="213"/>
        </w:trPr>
        <w:tc>
          <w:tcPr>
            <w:tcW w:w="794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820" w:type="dxa"/>
            <w:vAlign w:val="bottom"/>
            <w:gridSpan w:val="2"/>
          </w:tcPr>
          <w:p>
            <w:pPr>
              <w:jc w:val="right"/>
              <w:ind w:right="162"/>
              <w:spacing w:after="0"/>
              <w:rPr>
                <w:sz w:val="20"/>
                <w:szCs w:val="20"/>
                <w:color w:val="auto"/>
              </w:rPr>
            </w:pPr>
            <w:r>
              <w:rPr>
                <w:rFonts w:ascii="Arial" w:cs="Arial" w:eastAsia="Arial" w:hAnsi="Arial"/>
                <w:sz w:val="18"/>
                <w:szCs w:val="18"/>
                <w:color w:val="auto"/>
              </w:rPr>
              <w:t>(1,804,363)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(3,453,381)</w:t>
            </w:r>
          </w:p>
        </w:tc>
      </w:tr>
      <w:tr>
        <w:trPr>
          <w:trHeight w:val="206"/>
        </w:trPr>
        <w:tc>
          <w:tcPr>
            <w:tcW w:w="79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cost of revenues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(16,515,032</w:t>
            </w:r>
          </w:p>
        </w:tc>
        <w:tc>
          <w:tcPr>
            <w:tcW w:w="300" w:type="dxa"/>
            <w:vAlign w:val="bottom"/>
            <w:tcBorders>
              <w:top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(28,189,326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5" w:lineRule="exact"/>
        <w:rPr>
          <w:sz w:val="20"/>
          <w:szCs w:val="20"/>
          <w:color w:val="auto"/>
        </w:rPr>
      </w:pPr>
    </w:p>
    <w:p>
      <w:pPr>
        <w:ind w:right="120" w:firstLine="639"/>
        <w:spacing w:after="0" w:line="253" w:lineRule="auto"/>
        <w:rPr>
          <w:sz w:val="20"/>
          <w:szCs w:val="20"/>
          <w:color w:val="auto"/>
        </w:rPr>
      </w:pPr>
      <w:r>
        <w:rPr>
          <w:rFonts w:ascii="Arial" w:cs="Arial" w:eastAsia="Arial" w:hAnsi="Arial"/>
          <w:sz w:val="18"/>
          <w:szCs w:val="18"/>
          <w:color w:val="auto"/>
        </w:rPr>
        <w:t>Total net revenues increased by 41.7% to RMB54,102.0 million in 2017 from RMB38,178.8 million in 2016. Net revenues from online games services, e-commerce services, advertising services and innovative businesses and others constituted 67.0%, 21.6%, 4.5% and 6.9%, respectively, of our total net revenues in 2017, compared with 73.3%, 11.9%, 5.6% and 9.2%, respectively, in 2016. Net revenues generated from licensed games represented 7.2% and 12.5% of our total net revenues in 2017 and 2016,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Net revenues from online games services increased by 29.7% to RMB36,281.6 million in 2017 from RMB27,980.5 million in 2016. The increase was principally attributable to higher net revenues from our mobile games which totaled RMB25,421.6 million in 2017 compared to RMB16,898.6 million in 2016, excluding mobile games licensed from Blizzard which are discussed below. The growth in net revenues from mobile games mainly resulted from mobile games such as Onmyoji and the mobile version of New Ghost, both of which gained popularity over the course of 2017 as well as revenue contribution from newly released games such as Demon Seals mobile and Land of Glory.</w:t>
      </w:r>
    </w:p>
    <w:p>
      <w:pPr>
        <w:spacing w:after="0" w:line="192" w:lineRule="exact"/>
        <w:rPr>
          <w:sz w:val="20"/>
          <w:szCs w:val="20"/>
          <w:color w:val="auto"/>
        </w:rPr>
      </w:pPr>
    </w:p>
    <w:p>
      <w:pPr>
        <w:ind w:right="340" w:firstLine="639"/>
        <w:spacing w:after="0" w:line="267" w:lineRule="auto"/>
        <w:rPr>
          <w:sz w:val="20"/>
          <w:szCs w:val="20"/>
          <w:color w:val="auto"/>
        </w:rPr>
      </w:pPr>
      <w:r>
        <w:rPr>
          <w:rFonts w:ascii="Arial" w:cs="Arial" w:eastAsia="Arial" w:hAnsi="Arial"/>
          <w:sz w:val="18"/>
          <w:szCs w:val="18"/>
          <w:color w:val="auto"/>
        </w:rPr>
        <w:t>Net revenues from games licensed by Blizzard decreased by 17.4% to RMB3,467.7 million in 2017 from RMB4,196.4 million in 2016, which was mainly attributable a lighter release slate in 2017 and increased competition in the market.</w:t>
      </w:r>
    </w:p>
    <w:p>
      <w:pPr>
        <w:spacing w:after="0" w:line="179" w:lineRule="exact"/>
        <w:rPr>
          <w:sz w:val="20"/>
          <w:szCs w:val="20"/>
          <w:color w:val="auto"/>
        </w:rPr>
      </w:pPr>
    </w:p>
    <w:p>
      <w:pPr>
        <w:ind w:right="160" w:firstLine="639"/>
        <w:spacing w:after="0" w:line="257" w:lineRule="auto"/>
        <w:rPr>
          <w:sz w:val="20"/>
          <w:szCs w:val="20"/>
          <w:color w:val="auto"/>
        </w:rPr>
      </w:pPr>
      <w:r>
        <w:rPr>
          <w:rFonts w:ascii="Arial" w:cs="Arial" w:eastAsia="Arial" w:hAnsi="Arial"/>
          <w:sz w:val="18"/>
          <w:szCs w:val="18"/>
          <w:color w:val="auto"/>
        </w:rPr>
        <w:t>Net revenues from mobile games (excluding the mobile games licensed from Blizzard), self-developed PC-client games and Blizzard licensed games represented 70.1%, 20.3% and 9.6% of total net revenues from online games services in 2017, respectively, compared to 60.4%, 24.6% and 15.0% in 2016, respectively.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Net revenues from our e-commerce segment increased by 157.0% to RMB11,670.4 million in 2017 from RMB4,541.7 million in 2016. The increase was mainly attributable to rapid growth in the popularity of our e-commerce platforms, Kaola and Yanxuan, among consumers in China. The aggregate number of active users of Kaola and Yanxuan in the aggregate increased from 6.8 million in 2016 to 23.0 million in 2017, and the number of orders we fulfilled on these two platforms increased from 27.0 million in 2016 to 81.1 million in 2017. Net revenue from e-commerce represented 21.6% of our total net revenues in 2017, compared to 11.9% in 2016.</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right="280" w:firstLine="639"/>
        <w:spacing w:after="0" w:line="304" w:lineRule="auto"/>
        <w:rPr>
          <w:sz w:val="20"/>
          <w:szCs w:val="20"/>
          <w:color w:val="auto"/>
        </w:rPr>
      </w:pPr>
      <w:r>
        <w:rPr>
          <w:rFonts w:ascii="Arial" w:cs="Arial" w:eastAsia="Arial" w:hAnsi="Arial"/>
          <w:sz w:val="16"/>
          <w:szCs w:val="16"/>
          <w:color w:val="auto"/>
        </w:rPr>
        <w:t>Net revenues from advertising services increased by 11.9% to RMB2,408.8 million in 2017 from RMB2,152.4 million in 2016. The increase in advertising services revenue in 2017 was driven by increased market demand, mainly as a result of continued efforts to introduce new online content and the increase in our general brand awareness, both of which increased our site traffic and in turn increased the attractiveness of our advertising services.</w:t>
      </w:r>
    </w:p>
    <w:p>
      <w:pPr>
        <w:spacing w:after="0" w:line="153" w:lineRule="exact"/>
        <w:rPr>
          <w:sz w:val="20"/>
          <w:szCs w:val="20"/>
          <w:color w:val="auto"/>
        </w:rPr>
      </w:pPr>
    </w:p>
    <w:p>
      <w:pPr>
        <w:ind w:right="460" w:firstLine="639"/>
        <w:spacing w:after="0" w:line="279" w:lineRule="auto"/>
        <w:rPr>
          <w:sz w:val="20"/>
          <w:szCs w:val="20"/>
          <w:color w:val="auto"/>
        </w:rPr>
      </w:pPr>
      <w:r>
        <w:rPr>
          <w:rFonts w:ascii="Arial" w:cs="Arial" w:eastAsia="Arial" w:hAnsi="Arial"/>
          <w:sz w:val="17"/>
          <w:szCs w:val="17"/>
          <w:color w:val="auto"/>
        </w:rPr>
        <w:t>Average net revenues per traditional advertiser was approximately RMB1.6 million in 2017, which remained stable as compared with 2016. The number of traditional advertisers using the NetEase websites increased to 1,489 in 2017 from 1,335 in 2016, with revenues from our top ten advertisers comprising 39.6% of our total advertising services revenues in 2017 as compared to 29.4% in 2016.</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right="420" w:firstLine="639"/>
        <w:spacing w:after="0" w:line="267" w:lineRule="auto"/>
        <w:rPr>
          <w:sz w:val="20"/>
          <w:szCs w:val="20"/>
          <w:color w:val="auto"/>
        </w:rPr>
      </w:pPr>
      <w:r>
        <w:rPr>
          <w:rFonts w:ascii="Arial" w:cs="Arial" w:eastAsia="Arial" w:hAnsi="Arial"/>
          <w:sz w:val="18"/>
          <w:szCs w:val="18"/>
          <w:color w:val="auto"/>
        </w:rPr>
        <w:t>Net revenues from the innovative businesses and others segment increased by 6.8% to RMB3,741.1 million in 2017 from RMB3,504.2 million in 2016. This increase mainly resulted from the increase in popularity of our live video streaming platform CC.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5" w:lineRule="exact"/>
        <w:rPr>
          <w:sz w:val="20"/>
          <w:szCs w:val="20"/>
          <w:color w:val="auto"/>
        </w:rPr>
      </w:pPr>
    </w:p>
    <w:p>
      <w:pPr>
        <w:ind w:right="60" w:firstLine="639"/>
        <w:spacing w:after="0" w:line="252" w:lineRule="auto"/>
        <w:rPr>
          <w:sz w:val="20"/>
          <w:szCs w:val="20"/>
          <w:color w:val="auto"/>
        </w:rPr>
      </w:pPr>
      <w:r>
        <w:rPr>
          <w:rFonts w:ascii="Arial" w:cs="Arial" w:eastAsia="Arial" w:hAnsi="Arial"/>
          <w:sz w:val="18"/>
          <w:szCs w:val="18"/>
          <w:color w:val="auto"/>
        </w:rPr>
        <w:t>Our cost of revenues increased by 70.7% to RMB28,189.3 million in 2017 from RMB16,515.0 million in 2016. The year-over-year increase was mainly due to an increase in each of the cost of merchandise sold by our e-commerce platforms, information costs, costs of revenue sharing with distributors, developers and other third parties, staff-related costs and technology costs. In 2017, costs relating to online games services, e-commerce, advertising services and innovative businesses and others represented 47.8%, 37.1%, 2.8% and 12.3% of total cost of revenues, respectively, as compared with 60.4%, 24.2%, 4.5% and 10.9% of the cost of revenues, respectively, in 2016.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Online Games Services</w:t>
      </w:r>
    </w:p>
    <w:p>
      <w:pPr>
        <w:spacing w:after="0" w:line="219" w:lineRule="exact"/>
        <w:rPr>
          <w:sz w:val="20"/>
          <w:szCs w:val="20"/>
          <w:color w:val="auto"/>
        </w:rPr>
      </w:pPr>
    </w:p>
    <w:p>
      <w:pPr>
        <w:ind w:right="580" w:firstLine="639"/>
        <w:spacing w:after="0" w:line="267" w:lineRule="auto"/>
        <w:rPr>
          <w:sz w:val="20"/>
          <w:szCs w:val="20"/>
          <w:color w:val="auto"/>
        </w:rPr>
      </w:pPr>
      <w:r>
        <w:rPr>
          <w:rFonts w:ascii="Arial" w:cs="Arial" w:eastAsia="Arial" w:hAnsi="Arial"/>
          <w:sz w:val="18"/>
          <w:szCs w:val="18"/>
          <w:color w:val="auto"/>
        </w:rPr>
        <w:t>Cost of revenues from our online games services increased by 35.1% to RMB13,473.3 million in 2017 from RMB9,974.1 million in 2016. The increase in cost of revenues in 2017 was primarily due to a combination of the following factors:</w:t>
      </w:r>
    </w:p>
    <w:p>
      <w:pPr>
        <w:spacing w:after="0" w:line="179" w:lineRule="exact"/>
        <w:rPr>
          <w:sz w:val="20"/>
          <w:szCs w:val="20"/>
          <w:color w:val="auto"/>
        </w:rPr>
      </w:pPr>
    </w:p>
    <w:p>
      <w:pPr>
        <w:ind w:left="640" w:right="180" w:hanging="314"/>
        <w:spacing w:after="0" w:line="330" w:lineRule="auto"/>
        <w:tabs>
          <w:tab w:leader="none" w:pos="6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sharing costs with distributors, developers and other third parties related to mobile games increased by RMB2,877.1 million to RMB8,045.7 million in 2017 from RMB5,168.6 million in 2016 primarily due to the launch of various self-developed and licensed mobile games in 2017.</w:t>
      </w:r>
    </w:p>
    <w:p>
      <w:pPr>
        <w:spacing w:after="0" w:line="133" w:lineRule="exact"/>
        <w:rPr>
          <w:rFonts w:ascii="Arial" w:cs="Arial" w:eastAsia="Arial" w:hAnsi="Arial"/>
          <w:sz w:val="16"/>
          <w:szCs w:val="16"/>
          <w:color w:val="auto"/>
        </w:rPr>
      </w:pPr>
    </w:p>
    <w:p>
      <w:pPr>
        <w:ind w:left="640" w:right="40" w:hanging="314"/>
        <w:spacing w:after="0" w:line="257" w:lineRule="auto"/>
        <w:tabs>
          <w:tab w:leader="none" w:pos="6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Staff-related costs increased by RMB884.1 million to RMB2,825.1 million in 2017 from RMB1,941.0 million in 2016, mainly as a result of an increase in the level of salaries and other compensation and an increase in the number of our employees. The number of full time employees in our online games business increased to 8,193 as of December 31, 2017 from 7,702 as of December 31, 2016.</w:t>
      </w:r>
    </w:p>
    <w:p>
      <w:pPr>
        <w:spacing w:after="0" w:line="187" w:lineRule="exact"/>
        <w:rPr>
          <w:rFonts w:ascii="Arial" w:cs="Arial" w:eastAsia="Arial" w:hAnsi="Arial"/>
          <w:sz w:val="18"/>
          <w:szCs w:val="18"/>
          <w:color w:val="auto"/>
        </w:rPr>
      </w:pPr>
    </w:p>
    <w:p>
      <w:pPr>
        <w:ind w:left="640" w:right="260" w:hanging="314"/>
        <w:spacing w:after="0" w:line="257" w:lineRule="auto"/>
        <w:tabs>
          <w:tab w:leader="none" w:pos="6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above increase was offset in part by a decrease in technology costs of RMB417.6 million to RMB2,017.7 million in 2017 from RMB2,435.3 million in 2016, mainly due to a decrease in royalty fee payments of RMB569.8 million in line with the decreased revenue contribution from games that we license from Blizzard.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E-commerce</w:t>
      </w:r>
    </w:p>
    <w:p>
      <w:pPr>
        <w:spacing w:after="0" w:line="219" w:lineRule="exact"/>
        <w:rPr>
          <w:sz w:val="20"/>
          <w:szCs w:val="20"/>
          <w:color w:val="auto"/>
        </w:rPr>
      </w:pPr>
    </w:p>
    <w:p>
      <w:pPr>
        <w:ind w:right="120" w:firstLine="639"/>
        <w:spacing w:after="0" w:line="267" w:lineRule="auto"/>
        <w:rPr>
          <w:sz w:val="20"/>
          <w:szCs w:val="20"/>
          <w:color w:val="auto"/>
        </w:rPr>
      </w:pPr>
      <w:r>
        <w:rPr>
          <w:rFonts w:ascii="Arial" w:cs="Arial" w:eastAsia="Arial" w:hAnsi="Arial"/>
          <w:sz w:val="18"/>
          <w:szCs w:val="18"/>
          <w:color w:val="auto"/>
        </w:rPr>
        <w:t>Cost of revenues from our e-commerce services increased by 162.5% to RMB10,464.7 million in 2017 from RMB3,986.9 million in 2016, which was primarily attributable to the increase in the costs of merchandise sold.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Advertising Services</w:t>
      </w:r>
    </w:p>
    <w:p>
      <w:pPr>
        <w:spacing w:after="0" w:line="219" w:lineRule="exact"/>
        <w:rPr>
          <w:sz w:val="20"/>
          <w:szCs w:val="20"/>
          <w:color w:val="auto"/>
        </w:rPr>
      </w:pPr>
    </w:p>
    <w:p>
      <w:pPr>
        <w:ind w:right="40" w:firstLine="639"/>
        <w:spacing w:after="0" w:line="267" w:lineRule="auto"/>
        <w:rPr>
          <w:sz w:val="20"/>
          <w:szCs w:val="20"/>
          <w:color w:val="auto"/>
        </w:rPr>
      </w:pPr>
      <w:r>
        <w:rPr>
          <w:rFonts w:ascii="Arial" w:cs="Arial" w:eastAsia="Arial" w:hAnsi="Arial"/>
          <w:sz w:val="18"/>
          <w:szCs w:val="18"/>
          <w:color w:val="auto"/>
        </w:rPr>
        <w:t>Cost of revenues from our advertising services increased by 6.4% to RMB797.9 million in 2017 from RMB749.7 million in 2016. The increase in cost of revenues in 2017 was primarily due to a combination of the following factors:</w:t>
      </w:r>
    </w:p>
    <w:p>
      <w:pPr>
        <w:spacing w:after="0" w:line="179" w:lineRule="exact"/>
        <w:rPr>
          <w:sz w:val="20"/>
          <w:szCs w:val="20"/>
          <w:color w:val="auto"/>
        </w:rPr>
      </w:pPr>
    </w:p>
    <w:p>
      <w:pPr>
        <w:ind w:left="640" w:hanging="314"/>
        <w:spacing w:after="0" w:line="267" w:lineRule="auto"/>
        <w:tabs>
          <w:tab w:leader="none" w:pos="6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sourcing costs increased by RMB32.9 million to RMB139.5 million in 2017 from RMB106.6 million in 2016, mainly due to the increase in content costs incurred in relation to an expansion of the advertising business.</w:t>
      </w:r>
    </w:p>
    <w:p>
      <w:pPr>
        <w:spacing w:after="0" w:line="178" w:lineRule="exact"/>
        <w:rPr>
          <w:rFonts w:ascii="Arial" w:cs="Arial" w:eastAsia="Arial" w:hAnsi="Arial"/>
          <w:sz w:val="18"/>
          <w:szCs w:val="18"/>
          <w:color w:val="auto"/>
        </w:rPr>
      </w:pPr>
    </w:p>
    <w:p>
      <w:pPr>
        <w:ind w:left="640" w:right="560" w:hanging="314"/>
        <w:spacing w:after="0" w:line="267" w:lineRule="auto"/>
        <w:tabs>
          <w:tab w:leader="none" w:pos="6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sharing costs related to our performance-based advertising business increased by RMB18.6 million to RMB122.0 million in 2017 from RMB103.4 million in 2016, also primarily due to an expansion of the business.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Innovative Businesses and Others</w:t>
      </w:r>
    </w:p>
    <w:p>
      <w:pPr>
        <w:spacing w:after="0" w:line="219" w:lineRule="exact"/>
        <w:rPr>
          <w:sz w:val="20"/>
          <w:szCs w:val="20"/>
          <w:color w:val="auto"/>
        </w:rPr>
      </w:pPr>
    </w:p>
    <w:p>
      <w:pPr>
        <w:ind w:right="160" w:firstLine="639"/>
        <w:spacing w:after="0" w:line="267" w:lineRule="auto"/>
        <w:rPr>
          <w:sz w:val="20"/>
          <w:szCs w:val="20"/>
          <w:color w:val="auto"/>
        </w:rPr>
      </w:pPr>
      <w:r>
        <w:rPr>
          <w:rFonts w:ascii="Arial" w:cs="Arial" w:eastAsia="Arial" w:hAnsi="Arial"/>
          <w:sz w:val="18"/>
          <w:szCs w:val="18"/>
          <w:color w:val="auto"/>
        </w:rPr>
        <w:t>Cost of revenues from our innovative businesses and other services increased by 91.4% to RMB3,453.4 million in 2017 from RMB1,804.4 million in 2016. The increase in cost of revenues in 2017 was primarily due to a combination of the following factors:</w:t>
      </w:r>
    </w:p>
    <w:p>
      <w:pPr>
        <w:spacing w:after="0" w:line="179" w:lineRule="exact"/>
        <w:rPr>
          <w:sz w:val="20"/>
          <w:szCs w:val="20"/>
          <w:color w:val="auto"/>
        </w:rPr>
      </w:pPr>
    </w:p>
    <w:p>
      <w:pPr>
        <w:ind w:left="640" w:right="640" w:hanging="314"/>
        <w:spacing w:after="0" w:line="267" w:lineRule="auto"/>
        <w:tabs>
          <w:tab w:leader="none" w:pos="6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sharing-related costs increased by RMB1,062.2 million to RMB1,180.4 million in 2017 from RMB118.2 million, primarily due to the increased revenue contribution from our live video streaming services.</w:t>
      </w:r>
    </w:p>
    <w:p>
      <w:pPr>
        <w:spacing w:after="0" w:line="178" w:lineRule="exact"/>
        <w:rPr>
          <w:rFonts w:ascii="Arial" w:cs="Arial" w:eastAsia="Arial" w:hAnsi="Arial"/>
          <w:sz w:val="18"/>
          <w:szCs w:val="18"/>
          <w:color w:val="auto"/>
        </w:rPr>
      </w:pPr>
    </w:p>
    <w:p>
      <w:pPr>
        <w:ind w:left="640" w:right="420" w:hanging="314"/>
        <w:spacing w:after="0" w:line="267" w:lineRule="auto"/>
        <w:tabs>
          <w:tab w:leader="none" w:pos="6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Content cost increased by RMB634.5 million to RMB900.9 million in 2017 from RMB266.4 million in 2016, primarily due to the amortization of license fees related to our music content.</w:t>
      </w:r>
    </w:p>
    <w:p>
      <w:pPr>
        <w:spacing w:after="0" w:line="178" w:lineRule="exact"/>
        <w:rPr>
          <w:rFonts w:ascii="Arial" w:cs="Arial" w:eastAsia="Arial" w:hAnsi="Arial"/>
          <w:sz w:val="18"/>
          <w:szCs w:val="18"/>
          <w:color w:val="auto"/>
        </w:rPr>
      </w:pPr>
    </w:p>
    <w:p>
      <w:pPr>
        <w:ind w:left="640" w:right="320" w:hanging="314"/>
        <w:spacing w:after="0" w:line="330" w:lineRule="auto"/>
        <w:tabs>
          <w:tab w:leader="none" w:pos="6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Technology service cost such as bandwidth and server custody fees increased by RMB212.7 million to RMB415.4 million in 2017 from RMB202.7 million in 2016, mainly as a result of an increase in the bandwidth usage by our innovative businesses and other value added services in 2017.</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right="180" w:hanging="314"/>
        <w:spacing w:after="0" w:line="267" w:lineRule="auto"/>
        <w:tabs>
          <w:tab w:leader="none" w:pos="6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Staff-related cost increased by RMB106.2 million to RMB627.4 million in 2017 from RMB521.2 million in 2016, mainly as a result of an increase in salaries and bonuses paid and an increase in the number of our employees.</w:t>
      </w:r>
    </w:p>
    <w:p>
      <w:pPr>
        <w:spacing w:after="0" w:line="178" w:lineRule="exact"/>
        <w:rPr>
          <w:rFonts w:ascii="Arial" w:cs="Arial" w:eastAsia="Arial" w:hAnsi="Arial"/>
          <w:sz w:val="18"/>
          <w:szCs w:val="18"/>
          <w:color w:val="auto"/>
        </w:rPr>
      </w:pPr>
    </w:p>
    <w:p>
      <w:pPr>
        <w:ind w:left="640" w:right="240" w:hanging="314"/>
        <w:spacing w:after="0" w:line="267" w:lineRule="auto"/>
        <w:tabs>
          <w:tab w:leader="none" w:pos="6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above increase was offset in part by the decrease in cost of merchandise sold of RMB443.1 million from RMB557.6 million in 2016, which was mainly due to the discontinuation of one of our online service platforms.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gross profit increased by 19.6% to RMB25,912.7 million in 2017 from RMB21,663.8 million in 2016.</w:t>
      </w:r>
    </w:p>
    <w:p>
      <w:pPr>
        <w:spacing w:after="0" w:line="219"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2016 and 2017 were calculated by dividing our gross profits over our net revenues for the corresponding type of services.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80" w:type="dxa"/>
            <w:vAlign w:val="bottom"/>
          </w:tcPr>
          <w:p>
            <w:pPr>
              <w:spacing w:after="0"/>
              <w:rPr>
                <w:sz w:val="14"/>
                <w:szCs w:val="14"/>
                <w:color w:val="auto"/>
              </w:rPr>
            </w:pPr>
          </w:p>
        </w:tc>
        <w:tc>
          <w:tcPr>
            <w:tcW w:w="38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For the Year Ended December 31,</w:t>
            </w:r>
          </w:p>
        </w:tc>
      </w:tr>
      <w:tr>
        <w:trPr>
          <w:trHeight w:val="140"/>
        </w:trPr>
        <w:tc>
          <w:tcPr>
            <w:tcW w:w="7580" w:type="dxa"/>
            <w:vAlign w:val="bottom"/>
          </w:tcPr>
          <w:p>
            <w:pPr>
              <w:spacing w:after="0"/>
              <w:rPr>
                <w:sz w:val="12"/>
                <w:szCs w:val="12"/>
                <w:color w:val="auto"/>
              </w:rPr>
            </w:pPr>
          </w:p>
        </w:tc>
        <w:tc>
          <w:tcPr>
            <w:tcW w:w="1700" w:type="dxa"/>
            <w:vAlign w:val="bottom"/>
            <w:tcBorders>
              <w:top w:val="single" w:sz="8" w:color="auto"/>
              <w:bottom w:val="single" w:sz="8" w:color="auto"/>
            </w:tcBorders>
          </w:tcPr>
          <w:p>
            <w:pPr>
              <w:jc w:val="right"/>
              <w:ind w:right="638"/>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16"/>
              <w:spacing w:after="0" w:line="140"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40"/>
        </w:trPr>
        <w:tc>
          <w:tcPr>
            <w:tcW w:w="7580" w:type="dxa"/>
            <w:vAlign w:val="bottom"/>
          </w:tcPr>
          <w:p>
            <w:pPr>
              <w:spacing w:after="0"/>
              <w:rPr>
                <w:sz w:val="12"/>
                <w:szCs w:val="12"/>
                <w:color w:val="auto"/>
              </w:rPr>
            </w:pPr>
          </w:p>
        </w:tc>
        <w:tc>
          <w:tcPr>
            <w:tcW w:w="1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7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RMB’000</w:t>
            </w:r>
          </w:p>
        </w:tc>
        <w:tc>
          <w:tcPr>
            <w:tcW w:w="160" w:type="dxa"/>
            <w:vAlign w:val="bottom"/>
          </w:tcPr>
          <w:p>
            <w:pPr>
              <w:spacing w:after="0"/>
              <w:rPr>
                <w:sz w:val="12"/>
                <w:szCs w:val="12"/>
                <w:color w:val="auto"/>
              </w:rPr>
            </w:pPr>
          </w:p>
        </w:tc>
      </w:tr>
      <w:tr>
        <w:trPr>
          <w:trHeight w:val="213"/>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8"/>
                <w:szCs w:val="18"/>
                <w:color w:val="auto"/>
              </w:rPr>
              <w:t>Online games services</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18,006,345</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22,808,303</w:t>
            </w:r>
          </w:p>
        </w:tc>
      </w:tr>
      <w:tr>
        <w:trPr>
          <w:trHeight w:val="213"/>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554,873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1,205,702</w:t>
            </w:r>
          </w:p>
        </w:tc>
        <w:tc>
          <w:tcPr>
            <w:tcW w:w="160" w:type="dxa"/>
            <w:vAlign w:val="bottom"/>
            <w:shd w:val="clear" w:color="auto" w:fill="CCEEFF"/>
          </w:tcPr>
          <w:p>
            <w:pPr>
              <w:spacing w:after="0"/>
              <w:rPr>
                <w:sz w:val="18"/>
                <w:szCs w:val="18"/>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8"/>
                <w:szCs w:val="18"/>
                <w:color w:val="auto"/>
              </w:rPr>
              <w:t>Advertising services</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1,402,727</w:t>
            </w:r>
          </w:p>
        </w:tc>
        <w:tc>
          <w:tcPr>
            <w:tcW w:w="1700" w:type="dxa"/>
            <w:vAlign w:val="bottom"/>
          </w:tcPr>
          <w:p>
            <w:pPr>
              <w:jc w:val="right"/>
              <w:spacing w:after="0"/>
              <w:rPr>
                <w:sz w:val="20"/>
                <w:szCs w:val="20"/>
                <w:color w:val="auto"/>
              </w:rPr>
            </w:pPr>
            <w:r>
              <w:rPr>
                <w:rFonts w:ascii="Arial" w:cs="Arial" w:eastAsia="Arial" w:hAnsi="Arial"/>
                <w:sz w:val="18"/>
                <w:szCs w:val="18"/>
                <w:color w:val="auto"/>
              </w:rPr>
              <w:t>1,610,931</w:t>
            </w:r>
          </w:p>
        </w:tc>
        <w:tc>
          <w:tcPr>
            <w:tcW w:w="160" w:type="dxa"/>
            <w:vAlign w:val="bottom"/>
          </w:tcPr>
          <w:p>
            <w:pPr>
              <w:spacing w:after="0"/>
              <w:rPr>
                <w:sz w:val="18"/>
                <w:szCs w:val="18"/>
                <w:color w:val="auto"/>
              </w:rPr>
            </w:pPr>
          </w:p>
        </w:tc>
      </w:tr>
      <w:tr>
        <w:trPr>
          <w:trHeight w:val="213"/>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1,699,867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287,757</w:t>
            </w:r>
          </w:p>
        </w:tc>
        <w:tc>
          <w:tcPr>
            <w:tcW w:w="160" w:type="dxa"/>
            <w:vAlign w:val="bottom"/>
            <w:shd w:val="clear" w:color="auto" w:fill="CCEEFF"/>
          </w:tcPr>
          <w:p>
            <w:pPr>
              <w:spacing w:after="0"/>
              <w:rPr>
                <w:sz w:val="18"/>
                <w:szCs w:val="18"/>
                <w:color w:val="auto"/>
              </w:rPr>
            </w:pPr>
          </w:p>
        </w:tc>
      </w:tr>
      <w:tr>
        <w:trPr>
          <w:trHeight w:val="206"/>
        </w:trPr>
        <w:tc>
          <w:tcPr>
            <w:tcW w:w="758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gross profit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8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160" w:type="dxa"/>
            <w:vAlign w:val="bottom"/>
            <w:tcBorders>
              <w:bottom w:val="single" w:sz="8" w:color="CCEEFF"/>
            </w:tcBorders>
          </w:tcPr>
          <w:p>
            <w:pPr>
              <w:spacing w:after="0"/>
              <w:rPr>
                <w:sz w:val="17"/>
                <w:szCs w:val="17"/>
                <w:color w:val="auto"/>
              </w:rPr>
            </w:pPr>
          </w:p>
        </w:tc>
      </w:tr>
      <w:tr>
        <w:trPr>
          <w:trHeight w:val="206"/>
        </w:trPr>
        <w:tc>
          <w:tcPr>
            <w:tcW w:w="7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9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64.4%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13"/>
        </w:trPr>
        <w:tc>
          <w:tcPr>
            <w:tcW w:w="7580" w:type="dxa"/>
            <w:vAlign w:val="bottom"/>
          </w:tcPr>
          <w:p>
            <w:pPr>
              <w:spacing w:after="0"/>
              <w:rPr>
                <w:sz w:val="20"/>
                <w:szCs w:val="20"/>
                <w:color w:val="auto"/>
              </w:rPr>
            </w:pPr>
            <w:r>
              <w:rPr>
                <w:rFonts w:ascii="Arial" w:cs="Arial" w:eastAsia="Arial" w:hAnsi="Arial"/>
                <w:sz w:val="18"/>
                <w:szCs w:val="18"/>
                <w:color w:val="auto"/>
              </w:rPr>
              <w:t>E-commerce</w:t>
            </w:r>
          </w:p>
        </w:tc>
        <w:tc>
          <w:tcPr>
            <w:tcW w:w="1980" w:type="dxa"/>
            <w:vAlign w:val="bottom"/>
            <w:gridSpan w:val="2"/>
          </w:tcPr>
          <w:p>
            <w:pPr>
              <w:jc w:val="right"/>
              <w:ind w:right="51"/>
              <w:spacing w:after="0"/>
              <w:rPr>
                <w:sz w:val="20"/>
                <w:szCs w:val="20"/>
                <w:color w:val="auto"/>
              </w:rPr>
            </w:pPr>
            <w:r>
              <w:rPr>
                <w:rFonts w:ascii="Arial" w:cs="Arial" w:eastAsia="Arial" w:hAnsi="Arial"/>
                <w:sz w:val="18"/>
                <w:szCs w:val="18"/>
                <w:color w:val="auto"/>
              </w:rPr>
              <w:t>12.2%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3"/>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9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65.2%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13"/>
        </w:trPr>
        <w:tc>
          <w:tcPr>
            <w:tcW w:w="758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980" w:type="dxa"/>
            <w:vAlign w:val="bottom"/>
            <w:gridSpan w:val="2"/>
          </w:tcPr>
          <w:p>
            <w:pPr>
              <w:jc w:val="right"/>
              <w:ind w:right="51"/>
              <w:spacing w:after="0"/>
              <w:rPr>
                <w:sz w:val="20"/>
                <w:szCs w:val="20"/>
                <w:color w:val="auto"/>
              </w:rPr>
            </w:pPr>
            <w:r>
              <w:rPr>
                <w:rFonts w:ascii="Arial" w:cs="Arial" w:eastAsia="Arial" w:hAnsi="Arial"/>
                <w:sz w:val="18"/>
                <w:szCs w:val="18"/>
                <w:color w:val="auto"/>
              </w:rPr>
              <w:t>48.5%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6"/>
        </w:trPr>
        <w:tc>
          <w:tcPr>
            <w:tcW w:w="75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gross profit margin</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Borders>
              <w:top w:val="single" w:sz="8" w:color="CCEEFF"/>
            </w:tcBorders>
            <w:shd w:val="clear" w:color="auto" w:fill="CCEEFF"/>
          </w:tcPr>
          <w:p>
            <w:pPr>
              <w:jc w:val="right"/>
              <w:ind w:right="51"/>
              <w:spacing w:after="0" w:line="204" w:lineRule="exact"/>
              <w:rPr>
                <w:sz w:val="20"/>
                <w:szCs w:val="20"/>
                <w:color w:val="auto"/>
              </w:rPr>
            </w:pPr>
            <w:r>
              <w:rPr>
                <w:rFonts w:ascii="Arial" w:cs="Arial" w:eastAsia="Arial" w:hAnsi="Arial"/>
                <w:sz w:val="18"/>
                <w:szCs w:val="18"/>
                <w:color w:val="auto"/>
                <w:w w:val="7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r>
    </w:tbl>
    <w:p>
      <w:pPr>
        <w:spacing w:after="0" w:line="201" w:lineRule="exact"/>
        <w:rPr>
          <w:sz w:val="20"/>
          <w:szCs w:val="20"/>
          <w:color w:val="auto"/>
        </w:rPr>
      </w:pPr>
    </w:p>
    <w:p>
      <w:pPr>
        <w:ind w:right="60" w:firstLine="639"/>
        <w:spacing w:after="0" w:line="291" w:lineRule="auto"/>
        <w:rPr>
          <w:sz w:val="20"/>
          <w:szCs w:val="20"/>
          <w:color w:val="auto"/>
        </w:rPr>
      </w:pPr>
      <w:r>
        <w:rPr>
          <w:rFonts w:ascii="Arial" w:cs="Arial" w:eastAsia="Arial" w:hAnsi="Arial"/>
          <w:sz w:val="16"/>
          <w:szCs w:val="16"/>
          <w:color w:val="auto"/>
        </w:rPr>
        <w:t>The decrease of gross profit margin for online games services was mainly due to the increased revenues contribution from mobile games, which have relatively lower gross profit margin, as a percentage of NetEase’s total online game revenues. The decrease of gross profit margin for e-commerce services was mainly due to the increased level of promotions and sales discounts offered in 2017. The decrease in gross profit margin for innovative businesses and others business was mainly due to the discontinuation of revenue contribution from one of our online service platforms, which had relatively higher gross profit margins. The increase in gross profit margin for advertising services was mainly due to our enhanced monetization efforts and improved economies of scale.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ind w:right="200" w:firstLine="639"/>
        <w:spacing w:after="0" w:line="267" w:lineRule="auto"/>
        <w:rPr>
          <w:sz w:val="20"/>
          <w:szCs w:val="20"/>
          <w:color w:val="auto"/>
        </w:rPr>
      </w:pPr>
      <w:r>
        <w:rPr>
          <w:rFonts w:ascii="Arial" w:cs="Arial" w:eastAsia="Arial" w:hAnsi="Arial"/>
          <w:sz w:val="18"/>
          <w:szCs w:val="18"/>
          <w:color w:val="auto"/>
        </w:rPr>
        <w:t>Total operating expenses increased by 52.3% to RMB13,758.9 million in 2017 from RMB9,034.9 million in 2016 as a result of an increase in selling and marketing expenses, research and development expenses and general and administrative expenses.</w:t>
      </w:r>
    </w:p>
    <w:p>
      <w:pPr>
        <w:spacing w:after="0" w:line="179" w:lineRule="exact"/>
        <w:rPr>
          <w:sz w:val="20"/>
          <w:szCs w:val="20"/>
          <w:color w:val="auto"/>
        </w:rPr>
      </w:pPr>
    </w:p>
    <w:p>
      <w:pPr>
        <w:ind w:firstLine="639"/>
        <w:spacing w:after="0" w:line="267" w:lineRule="auto"/>
        <w:rPr>
          <w:sz w:val="20"/>
          <w:szCs w:val="20"/>
          <w:color w:val="auto"/>
        </w:rPr>
      </w:pPr>
      <w:r>
        <w:rPr>
          <w:rFonts w:ascii="Arial" w:cs="Arial" w:eastAsia="Arial" w:hAnsi="Arial"/>
          <w:sz w:val="18"/>
          <w:szCs w:val="18"/>
          <w:color w:val="auto"/>
        </w:rPr>
        <w:t>Selling and marketing expenses increased by 55.2% to RMB6,957.6 million in 2017 from RMB4,481.8 million in 2016, primarily due to a combination of the following factors:</w:t>
      </w:r>
    </w:p>
    <w:p>
      <w:pPr>
        <w:spacing w:after="0" w:line="179" w:lineRule="exact"/>
        <w:rPr>
          <w:sz w:val="20"/>
          <w:szCs w:val="20"/>
          <w:color w:val="auto"/>
        </w:rPr>
      </w:pPr>
    </w:p>
    <w:p>
      <w:pPr>
        <w:ind w:left="640" w:right="480" w:hanging="314"/>
        <w:spacing w:after="0" w:line="279" w:lineRule="auto"/>
        <w:tabs>
          <w:tab w:leader="none" w:pos="6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in marketing costs of approximately RMB1,439.4 million in 2017 resulting from increased marketing spending on our various online games, including our self-developed mobile games, PC-client games and games licensed from Blizzard, as well as media and outdoor branding promotion for our e-commerce services, advertising services and innovative businesses and other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20" w:hanging="294"/>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in shipping and handling costs of approximately RMB679.7 million in 2017 resulting from the expansion of our e-commerce business.</w:t>
      </w:r>
    </w:p>
    <w:p>
      <w:pPr>
        <w:spacing w:after="0" w:line="242" w:lineRule="exact"/>
        <w:rPr>
          <w:rFonts w:ascii="Arial" w:cs="Arial" w:eastAsia="Arial" w:hAnsi="Arial"/>
          <w:sz w:val="16"/>
          <w:szCs w:val="16"/>
          <w:color w:val="auto"/>
        </w:rPr>
      </w:pPr>
    </w:p>
    <w:p>
      <w:pPr>
        <w:ind w:left="640" w:right="180" w:hanging="314"/>
        <w:spacing w:after="0" w:line="296" w:lineRule="auto"/>
        <w:tabs>
          <w:tab w:leader="none" w:pos="60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in staff-related costs of our sales team of approximately RMB332.4 million in 2017, primarily driven by increased headcount and higher compensation levels and performance-related bonus accruals, particularly for our online game promotion teams.</w:t>
      </w:r>
    </w:p>
    <w:p>
      <w:pPr>
        <w:spacing w:after="0" w:line="157" w:lineRule="exact"/>
        <w:rPr>
          <w:sz w:val="20"/>
          <w:szCs w:val="20"/>
          <w:color w:val="auto"/>
        </w:rPr>
      </w:pPr>
    </w:p>
    <w:p>
      <w:pPr>
        <w:ind w:right="80" w:firstLine="639"/>
        <w:spacing w:after="0" w:line="279" w:lineRule="auto"/>
        <w:rPr>
          <w:sz w:val="20"/>
          <w:szCs w:val="20"/>
          <w:color w:val="auto"/>
        </w:rPr>
      </w:pPr>
      <w:r>
        <w:rPr>
          <w:rFonts w:ascii="Arial" w:cs="Arial" w:eastAsia="Arial" w:hAnsi="Arial"/>
          <w:sz w:val="17"/>
          <w:szCs w:val="17"/>
          <w:color w:val="auto"/>
        </w:rPr>
        <w:t>General and administrative expenses increased by 61.3% to RMB2,429.9 million in 2017 from RMB1,506.2 million in 2016, primarily due to an increase in staff-related costs of approximately RMB798.8 million in 2017 driven by increased headcount, higher compensation levels and an increase in other miscellaneous costs of approximately RMB57.9 million such as facility costs due to increased business expansion.</w:t>
      </w:r>
    </w:p>
    <w:p>
      <w:pPr>
        <w:spacing w:after="0" w:line="171" w:lineRule="exact"/>
        <w:rPr>
          <w:sz w:val="20"/>
          <w:szCs w:val="20"/>
          <w:color w:val="auto"/>
        </w:rPr>
      </w:pPr>
    </w:p>
    <w:p>
      <w:pPr>
        <w:ind w:right="520" w:firstLine="639"/>
        <w:spacing w:after="0" w:line="267" w:lineRule="auto"/>
        <w:rPr>
          <w:sz w:val="20"/>
          <w:szCs w:val="20"/>
          <w:color w:val="auto"/>
        </w:rPr>
      </w:pPr>
      <w:r>
        <w:rPr>
          <w:rFonts w:ascii="Arial" w:cs="Arial" w:eastAsia="Arial" w:hAnsi="Arial"/>
          <w:sz w:val="18"/>
          <w:szCs w:val="18"/>
          <w:color w:val="auto"/>
        </w:rPr>
        <w:t>Research and development expenses increased by 43.5% to RMB4,371.4 million in 2017 from RMB3,047.0 million in 2016, primarily due to a combination of the following factors:</w:t>
      </w:r>
    </w:p>
    <w:p>
      <w:pPr>
        <w:spacing w:after="0" w:line="179" w:lineRule="exact"/>
        <w:rPr>
          <w:sz w:val="20"/>
          <w:szCs w:val="20"/>
          <w:color w:val="auto"/>
        </w:rPr>
      </w:pPr>
    </w:p>
    <w:p>
      <w:pPr>
        <w:ind w:left="640" w:right="240" w:hanging="314"/>
        <w:spacing w:after="0" w:line="257" w:lineRule="auto"/>
        <w:tabs>
          <w:tab w:leader="none" w:pos="6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RMB1,067.5 million in 2017, mainly as a result of increased headcount for our online games services, e-commerce services and innovative businesses and other services and higher salaries, bonuses and other benefits paid to our research and development team during 2017, including share based compensation.</w:t>
      </w:r>
    </w:p>
    <w:p>
      <w:pPr>
        <w:spacing w:after="0" w:line="187" w:lineRule="exact"/>
        <w:rPr>
          <w:rFonts w:ascii="Arial" w:cs="Arial" w:eastAsia="Arial" w:hAnsi="Arial"/>
          <w:sz w:val="18"/>
          <w:szCs w:val="18"/>
          <w:color w:val="auto"/>
        </w:rPr>
      </w:pPr>
    </w:p>
    <w:p>
      <w:pPr>
        <w:ind w:left="620" w:hanging="294"/>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technology costs of approximately RMB70.1 million, mainly for game content design.</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increase in other miscellaneous cost of approximately RMB137.1 million such as depreciation and amortization costs, rental and utilities expenses.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5" w:lineRule="exact"/>
        <w:rPr>
          <w:sz w:val="20"/>
          <w:szCs w:val="20"/>
          <w:color w:val="auto"/>
        </w:rPr>
      </w:pPr>
    </w:p>
    <w:p>
      <w:pPr>
        <w:ind w:right="60" w:firstLine="639"/>
        <w:spacing w:after="0" w:line="253" w:lineRule="auto"/>
        <w:rPr>
          <w:sz w:val="20"/>
          <w:szCs w:val="20"/>
          <w:color w:val="auto"/>
        </w:rPr>
      </w:pPr>
      <w:r>
        <w:rPr>
          <w:rFonts w:ascii="Arial" w:cs="Arial" w:eastAsia="Arial" w:hAnsi="Arial"/>
          <w:sz w:val="18"/>
          <w:szCs w:val="18"/>
          <w:color w:val="auto"/>
        </w:rPr>
        <w:t>As of December 31, 2017, the gross accounts receivable balance before any allowance for bad and doubtful accounts was RMB3,704.6 million. After providing for doubtful accounts in the amount of RMB84.9 million, the net balance of accounts receivable was RMB3,619.7 million as of December 31, 2017. The allowances for doubtful accounts represented the provisions of RMB84.9 million as of December 31, 2017, as compared to the provision of RMB24.1 million as of December 31, 2016.</w:t>
      </w:r>
    </w:p>
    <w:p>
      <w:pPr>
        <w:spacing w:after="0" w:line="193" w:lineRule="exact"/>
        <w:rPr>
          <w:sz w:val="20"/>
          <w:szCs w:val="20"/>
          <w:color w:val="auto"/>
        </w:rPr>
      </w:pPr>
    </w:p>
    <w:p>
      <w:pPr>
        <w:ind w:right="400" w:firstLine="639"/>
        <w:spacing w:after="0" w:line="267" w:lineRule="auto"/>
        <w:rPr>
          <w:sz w:val="20"/>
          <w:szCs w:val="20"/>
          <w:color w:val="auto"/>
        </w:rPr>
      </w:pPr>
      <w:r>
        <w:rPr>
          <w:rFonts w:ascii="Arial" w:cs="Arial" w:eastAsia="Arial" w:hAnsi="Arial"/>
          <w:sz w:val="18"/>
          <w:szCs w:val="18"/>
          <w:color w:val="auto"/>
        </w:rPr>
        <w:t>No significant allowance for bad and doubtful accounts was provided in 2017. As of December 31, 2017, we had one distribution channel with a receivable balance exceeding 10% of our total accounts receivable balance.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5" w:lineRule="exact"/>
        <w:rPr>
          <w:sz w:val="20"/>
          <w:szCs w:val="20"/>
          <w:color w:val="auto"/>
        </w:rPr>
      </w:pPr>
    </w:p>
    <w:p>
      <w:pPr>
        <w:ind w:right="800" w:firstLine="639"/>
        <w:spacing w:after="0" w:line="296" w:lineRule="auto"/>
        <w:rPr>
          <w:sz w:val="20"/>
          <w:szCs w:val="20"/>
          <w:color w:val="auto"/>
        </w:rPr>
      </w:pPr>
      <w:r>
        <w:rPr>
          <w:rFonts w:ascii="Arial" w:cs="Arial" w:eastAsia="Arial" w:hAnsi="Arial"/>
          <w:sz w:val="17"/>
          <w:szCs w:val="17"/>
          <w:color w:val="auto"/>
        </w:rPr>
        <w:t>Other income in 2017 mainly consisted of interest income, investment income related to short-term investments, foreign exchange gain and government incentives, offset in part by foreign exchange losses and impairment provisions related to certain equity investments.</w:t>
      </w:r>
    </w:p>
    <w:p>
      <w:pPr>
        <w:spacing w:after="0" w:line="157" w:lineRule="exact"/>
        <w:rPr>
          <w:sz w:val="20"/>
          <w:szCs w:val="20"/>
          <w:color w:val="auto"/>
        </w:rPr>
      </w:pPr>
    </w:p>
    <w:p>
      <w:pPr>
        <w:ind w:firstLine="639"/>
        <w:spacing w:after="0" w:line="257" w:lineRule="auto"/>
        <w:rPr>
          <w:sz w:val="20"/>
          <w:szCs w:val="20"/>
          <w:color w:val="auto"/>
        </w:rPr>
      </w:pPr>
      <w:r>
        <w:rPr>
          <w:rFonts w:ascii="Arial" w:cs="Arial" w:eastAsia="Arial" w:hAnsi="Arial"/>
          <w:sz w:val="18"/>
          <w:szCs w:val="18"/>
          <w:color w:val="auto"/>
        </w:rPr>
        <w:t>Interest income increased to RMB667.3 million in 2017 from RMB542.0 million in 2016, primarily due to an increase in our total cash and cash equivalents and time deposit balance, which increased by 32.0% to RMB33.5 billion as of December 31, 2017 from RMB25.4 billion as of December 31, 2016. We incurred interest expense of RMB92.1 million in 2017 related to our short-term borrowings.</w:t>
      </w:r>
    </w:p>
    <w:p>
      <w:pPr>
        <w:spacing w:after="0" w:line="188" w:lineRule="exact"/>
        <w:rPr>
          <w:sz w:val="20"/>
          <w:szCs w:val="20"/>
          <w:color w:val="auto"/>
        </w:rPr>
      </w:pPr>
    </w:p>
    <w:p>
      <w:pPr>
        <w:ind w:firstLine="639"/>
        <w:spacing w:after="0" w:line="270" w:lineRule="auto"/>
        <w:rPr>
          <w:sz w:val="20"/>
          <w:szCs w:val="20"/>
          <w:color w:val="auto"/>
        </w:rPr>
      </w:pPr>
      <w:r>
        <w:rPr>
          <w:rFonts w:ascii="Arial" w:cs="Arial" w:eastAsia="Arial" w:hAnsi="Arial"/>
          <w:sz w:val="17"/>
          <w:szCs w:val="17"/>
          <w:color w:val="auto"/>
        </w:rPr>
        <w:t>Investment income increased to RMB362.1 million in 2017 from RMB200.3 million in 2016, consisting primarily of (i) investment income related to short-term investments of RMB389.5 million in 2017, compared to RMB303.4 million in 2016, (ii) cash dividend of RMB29.6 million from available-for-sale investments in 2017, compared to RMB21.4 million in 2016, and (iii) net investment income of RMB9.6 million from a partial disposal of an equity investee in 2017, compared to RMB234.1 million in 2016, offset in part by impairment provisions related to certain investments and a net investment loss in associated companies which totaled RMB70.7 million in 2017 compared to RMB364.7 million in 2016.</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2017, we received and recognized unconditional government incentives of approximately RMB252.0 million, compared to RMB346.4 million 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180" w:firstLine="639"/>
        <w:spacing w:after="0" w:line="257" w:lineRule="auto"/>
        <w:rPr>
          <w:sz w:val="20"/>
          <w:szCs w:val="20"/>
          <w:color w:val="auto"/>
        </w:rPr>
      </w:pPr>
      <w:r>
        <w:rPr>
          <w:rFonts w:ascii="Arial" w:cs="Arial" w:eastAsia="Arial" w:hAnsi="Arial"/>
          <w:sz w:val="18"/>
          <w:szCs w:val="18"/>
          <w:color w:val="auto"/>
        </w:rPr>
        <w:t>We also reported net foreign exchange losses of RMB448.8 million in 2017, compared to a net foreign exchange gain of RMB146.5 million in 2016, both of which are primarily due to the translation gains and losses arising from our U.S. dollar-denominated bank deposit and short-term loan balances as the exchange rate of the U.S. dollar against the RMB fluctuated over these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5" w:lineRule="exact"/>
        <w:rPr>
          <w:sz w:val="20"/>
          <w:szCs w:val="20"/>
          <w:color w:val="auto"/>
        </w:rPr>
      </w:pPr>
    </w:p>
    <w:p>
      <w:pPr>
        <w:ind w:right="280" w:firstLine="639"/>
        <w:spacing w:after="0" w:line="267" w:lineRule="auto"/>
        <w:rPr>
          <w:sz w:val="20"/>
          <w:szCs w:val="20"/>
          <w:color w:val="auto"/>
        </w:rPr>
      </w:pPr>
      <w:r>
        <w:rPr>
          <w:rFonts w:ascii="Arial" w:cs="Arial" w:eastAsia="Arial" w:hAnsi="Arial"/>
          <w:sz w:val="18"/>
          <w:szCs w:val="18"/>
          <w:color w:val="auto"/>
        </w:rPr>
        <w:t>Income tax increased to RMB2,162.4 million in 2017 from RMB2,102.5 million in 2016. Our effective tax rate in 2017 was 16.6% compared with 15.1% in 2016. The change in the effective tax rate was mainly due to the higher withholding tax recorded in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5"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color w:val="auto"/>
        </w:rPr>
        <w:t>As a result of the foregoing, net income attributable to our shareholders decreased by 7.7% to RMB10,707.9 million in 2017 from RMB11,604.5 million in 2016.</w:t>
      </w:r>
    </w:p>
    <w:p>
      <w:pPr>
        <w:spacing w:after="0" w:line="173" w:lineRule="exact"/>
        <w:rPr>
          <w:sz w:val="20"/>
          <w:szCs w:val="20"/>
          <w:color w:val="auto"/>
        </w:rPr>
      </w:pPr>
    </w:p>
    <w:p>
      <w:pPr>
        <w:ind w:left="640" w:hanging="633"/>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To date, we have financed our operations primarily through operating cash flows and existing capital resources. As of December 31, 2018, we had RMB5,389.2 million (US$783.8 million) in cash and cash equivalents, RMB33,000.3 million (US$4,799.7 million) in time deposits and RMB11,674.8 million (US$ 1,698.0 million) in short-term investments. We had short-term borrowings of RMB13,658.6 million (US$1,986.6 million) as of December 31, 2018. On August 9, 2018, we entered into a three year US$500.0 million revolving loan facility agreement with a group of four arrangers. The facility was priced at 95 basis points over LIBOR and has a commitment fee of 0.20% on the undrawn portion. As of December 31, 2018, we had an undrawn balance of US$100.0 million under this credit facility.</w:t>
      </w:r>
    </w:p>
    <w:p>
      <w:pPr>
        <w:spacing w:after="0" w:line="193" w:lineRule="exact"/>
        <w:rPr>
          <w:sz w:val="20"/>
          <w:szCs w:val="20"/>
          <w:color w:val="auto"/>
        </w:rPr>
      </w:pPr>
    </w:p>
    <w:p>
      <w:pPr>
        <w:ind w:right="40" w:firstLine="639"/>
        <w:spacing w:after="0" w:line="286" w:lineRule="auto"/>
        <w:rPr>
          <w:sz w:val="20"/>
          <w:szCs w:val="20"/>
          <w:color w:val="auto"/>
        </w:rPr>
      </w:pPr>
      <w:r>
        <w:rPr>
          <w:rFonts w:ascii="Arial" w:cs="Arial" w:eastAsia="Arial" w:hAnsi="Arial"/>
          <w:sz w:val="16"/>
          <w:szCs w:val="16"/>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219" w:lineRule="exact"/>
        <w:rPr>
          <w:sz w:val="20"/>
          <w:szCs w:val="20"/>
          <w:color w:val="auto"/>
        </w:rPr>
      </w:pPr>
    </w:p>
    <w:p>
      <w:pPr>
        <w:ind w:right="60" w:firstLine="639"/>
        <w:spacing w:after="0" w:line="267" w:lineRule="auto"/>
        <w:rPr>
          <w:sz w:val="20"/>
          <w:szCs w:val="20"/>
          <w:color w:val="auto"/>
        </w:rPr>
      </w:pPr>
      <w:r>
        <w:rPr>
          <w:rFonts w:ascii="Arial" w:cs="Arial" w:eastAsia="Arial" w:hAnsi="Arial"/>
          <w:sz w:val="18"/>
          <w:szCs w:val="18"/>
          <w:color w:val="auto"/>
        </w:rPr>
        <w:t>Cash provided by operating activities was RMB13,415.9 million (US$1,951.3 million), RMB11,889.2 million and RMB15,488.3 million for the years ended December 31, 2018, 2017 and 2016,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 ended December 31, 2018, cash provided by operating activities consisted primarily of (i) our net income of RMB6,477.4 million</w:t>
      </w:r>
    </w:p>
    <w:p>
      <w:pPr>
        <w:spacing w:after="0" w:line="1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(US$942.1 million), (ii) share-based compensation cost of RMB2,529.7 million (US$367.9 million), (iii) depreciation and amortization charges of RMB2,083.5 million (US$303.0 million), (iv) an increase in deferred revenue of RMB1,804.6 million (US$262.5 million), (v) an increase in accounts payable and other liabilities of RMB955.4 million (US$139.0 million), including content fees, bandwidth cost, bonuses, marketing expenses and sales of game cards, (vi) an increase in taxes payable of RMB693.6 million (US$100.9 million), (vii) a decrease in inventories of RMB457.1 million (US$66.5 million), (viii) impairment loss for investment of RMB159.7 million (US$23.2 million), and (ix) fair value change of equity security investments and other financial instruments of RMB248.2 million (US$36.1 million), partially offset by (A) an increase in accounts receivable, prepayments and other current assets of RMB1,433.6 million (US$208.5 million), and (B) fair value changes of short-term investments of RMB463.6 million (US$67.4 million).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639"/>
        <w:spacing w:after="0" w:line="267" w:lineRule="auto"/>
        <w:rPr>
          <w:sz w:val="20"/>
          <w:szCs w:val="20"/>
          <w:color w:val="auto"/>
        </w:rPr>
      </w:pPr>
      <w:r>
        <w:rPr>
          <w:rFonts w:ascii="Arial" w:cs="Arial" w:eastAsia="Arial" w:hAnsi="Arial"/>
          <w:sz w:val="17"/>
          <w:szCs w:val="17"/>
          <w:color w:val="auto"/>
        </w:rPr>
        <w:t>For the year ended December 31, 2017, cash provided by operating activities consisted primarily of (i) our net income of RMB10,849.1 million, (ii) an increase in accounts payable and other liabilities of RMB3,392.5 million, including content fees, bandwidth cost, bonuses, marketing expenses and sales of game cards, (iii) share-based compensation cost of RMB2,004.3 million, (iv) depreciation and amortization charges of RMB801.8 million, (v) a decrease in accounts receivable, prepayments and other current assets of RMB449.0 million, (vi) unrealized exchange losses of RMB437.9 million, and (vii) allowance for provision for doubtful debts of RMB60.8 million, partially offset by (A) an increase in inventories of RMB3,896.8 million, (B) a decrease in deferred revenue of RMB1,291.9 million, (C) deferred income taxes of RMB438.0 million, (D) fair value changes of short-term investments of RMB389.8 million, and (E) a decrease in taxes payable of RMB155.9 million.</w:t>
      </w:r>
    </w:p>
    <w:p>
      <w:pPr>
        <w:spacing w:after="0" w:line="183" w:lineRule="exact"/>
        <w:rPr>
          <w:sz w:val="20"/>
          <w:szCs w:val="20"/>
          <w:color w:val="auto"/>
        </w:rPr>
      </w:pPr>
    </w:p>
    <w:p>
      <w:pPr>
        <w:ind w:right="60" w:firstLine="639"/>
        <w:spacing w:after="0" w:line="250" w:lineRule="auto"/>
        <w:rPr>
          <w:sz w:val="20"/>
          <w:szCs w:val="20"/>
          <w:color w:val="auto"/>
        </w:rPr>
      </w:pPr>
      <w:r>
        <w:rPr>
          <w:rFonts w:ascii="Arial" w:cs="Arial" w:eastAsia="Arial" w:hAnsi="Arial"/>
          <w:sz w:val="18"/>
          <w:szCs w:val="18"/>
          <w:color w:val="auto"/>
        </w:rPr>
        <w:t>For the year ended December 31, 2016, cash provided by operating activities consisted primarily of (i) our net income of RMB11,792.9 million, (ii) an increase in deferred revenue of RMB2,879.5 million, (iii) an increase in accounts payable and other liabilities of RMB2,245.8 million, such as content fees, bandwidth cost, bonuses, marketing expenses and sales of game cards, (iv) share-based compensation cost of RMB990.1 million, (v) an increase in tax payable of RMB986.4 million, (vi) depreciation and amortization charges of RMB327.5 million, and (vii) impairment loss for investment of RMB278.9 million, partially offset by (A) an increase in accounts receivable, prepayments and other current assets of RMB2,710.9 million, (B) an increase in inventories of RMB760.4 million, (C) fair value changes in short-term investments of RMB304.6 million, (D) gain on disposal of long-term investment of RMB234.1 million and (E) unrealized exchange gains of RMB166.6 million.</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219" w:lineRule="exact"/>
        <w:rPr>
          <w:sz w:val="20"/>
          <w:szCs w:val="20"/>
          <w:color w:val="auto"/>
        </w:rPr>
      </w:pPr>
    </w:p>
    <w:p>
      <w:pPr>
        <w:ind w:firstLine="639"/>
        <w:spacing w:after="0" w:line="267" w:lineRule="auto"/>
        <w:rPr>
          <w:sz w:val="20"/>
          <w:szCs w:val="20"/>
          <w:color w:val="auto"/>
        </w:rPr>
      </w:pPr>
      <w:r>
        <w:rPr>
          <w:rFonts w:ascii="Arial" w:cs="Arial" w:eastAsia="Arial" w:hAnsi="Arial"/>
          <w:sz w:val="18"/>
          <w:szCs w:val="18"/>
          <w:color w:val="auto"/>
        </w:rPr>
        <w:t>Cash used in investing activities was RMB13,569.5 million (US$1,973.6 million), RMB12,855.3 million and RMB11,861.4 million for the years ended December 31, 2018, 2017 and 2016, respectively.</w:t>
      </w:r>
    </w:p>
    <w:p>
      <w:pPr>
        <w:spacing w:after="0" w:line="179" w:lineRule="exact"/>
        <w:rPr>
          <w:sz w:val="20"/>
          <w:szCs w:val="20"/>
          <w:color w:val="auto"/>
        </w:rPr>
      </w:pPr>
    </w:p>
    <w:p>
      <w:pPr>
        <w:ind w:right="140" w:firstLine="639"/>
        <w:spacing w:after="0" w:line="249" w:lineRule="auto"/>
        <w:rPr>
          <w:sz w:val="20"/>
          <w:szCs w:val="20"/>
          <w:color w:val="auto"/>
        </w:rPr>
      </w:pPr>
      <w:r>
        <w:rPr>
          <w:rFonts w:ascii="Arial" w:cs="Arial" w:eastAsia="Arial" w:hAnsi="Arial"/>
          <w:sz w:val="18"/>
          <w:szCs w:val="18"/>
          <w:color w:val="auto"/>
        </w:rPr>
        <w:t>For the year ended December 31, 2018, cash used in investing activities mainly consisted of (i) placement/rollover of matured time deposits of RMB41,553.4 million (US$6,043.7 million), (ii) purchase of short-term investments of RMB13,423.0 million (US$1,952.3 million), (iii) purchase of property, equipment, software and land use rights of RMB5,536.1 million (US$805.2 million), (iv) acquisitions of other long-term investments of RMB2,751.0 million (US$400.1 million), (v) purchase of intangible assets and licensed copyrights of video content of RMB1,349.9 million (US$196.3 million), (vi) net change in short-term investments with terms of three months or less of RMB1,172.3 million (US$170.5 million), (vii) change in other assets of RMB543.9 million (US$79.1 million), and (viii) investment in equity investees of RMB272.5 million (US$39.6 million), partially offset by (A) proceeds from maturity of time deposits of RMB39,924.5 million (US$5,806.8 million), and (B) proceeds from maturity of short-term investments of RMB13,101.5 million (US$1,905.5 million).</w:t>
      </w:r>
    </w:p>
    <w:p>
      <w:pPr>
        <w:spacing w:after="0" w:line="200" w:lineRule="exact"/>
        <w:rPr>
          <w:sz w:val="20"/>
          <w:szCs w:val="20"/>
          <w:color w:val="auto"/>
        </w:rPr>
      </w:pPr>
    </w:p>
    <w:p>
      <w:pPr>
        <w:ind w:right="220" w:firstLine="639"/>
        <w:spacing w:after="0" w:line="250" w:lineRule="auto"/>
        <w:rPr>
          <w:sz w:val="20"/>
          <w:szCs w:val="20"/>
          <w:color w:val="auto"/>
        </w:rPr>
      </w:pPr>
      <w:r>
        <w:rPr>
          <w:rFonts w:ascii="Arial" w:cs="Arial" w:eastAsia="Arial" w:hAnsi="Arial"/>
          <w:sz w:val="18"/>
          <w:szCs w:val="18"/>
          <w:color w:val="auto"/>
        </w:rPr>
        <w:t>For the year ended December 31, 2017, cash used in investing activities mainly consisted of (i) placement/rollover of matured time deposits of RMB33,984.1 million, (ii) purchase of short-term investments of RMB12,491.0 million, (iii) purchase of property, equipment, software and land use rights of RMB1,849.4 million, (iv) acquisitions of other long-term investments of RMB900.7 million, (v) net change in short-term investments with terms of three months or less of RMB895.3 million, (vi) purchase of intangible assets and licensed copyrights of video content of RMB674.8 million, (vii) investment in associated companies of RMB235.8 million, and (viii) change in other assets of RMB224.1 million, partially offset by (A) proceeds from maturity of time deposits of RMB22,429.6 million, (B) proceeds from maturity of short-term investments of RMB15,615.5 million, and (C) proceeds from disposal of equity investment of RMB350.4 million.</w:t>
      </w:r>
    </w:p>
    <w:p>
      <w:pPr>
        <w:spacing w:after="0" w:line="196"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For the year ended December 31, 2016, cash used in investing activities mainly consisted of (i) placement/rollover of matured time deposits of RMB20,367.4 million, (ii) purchase of short-term investments of RMB12,439.0 million, (iii) net change in short-term investments with terms of three months or less of RMB3,704.3 million, (iv) purchase of property, equipment, software and land use rights of RMB1,140.0 million, (v) investment in associated companies of RMB364.5 million, (vi) acquisitions of other long-term investments of RMB181.1 million, and (vii) change in other assets of RMB173.4 million, partially offset by (A) proceeds from maturity of time deposits of RMB16,377.4 million, (B) proceeds from maturity of short-term investments of RMB9,879.3 million, and (C) proceeds from disposal of long-term investments of RMB249.6 million.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219" w:lineRule="exact"/>
        <w:rPr>
          <w:sz w:val="20"/>
          <w:szCs w:val="20"/>
          <w:color w:val="auto"/>
        </w:rPr>
      </w:pPr>
    </w:p>
    <w:p>
      <w:pPr>
        <w:ind w:right="100" w:firstLine="639"/>
        <w:spacing w:after="0" w:line="267" w:lineRule="auto"/>
        <w:rPr>
          <w:sz w:val="20"/>
          <w:szCs w:val="20"/>
          <w:color w:val="auto"/>
        </w:rPr>
      </w:pPr>
      <w:r>
        <w:rPr>
          <w:rFonts w:ascii="Arial" w:cs="Arial" w:eastAsia="Arial" w:hAnsi="Arial"/>
          <w:sz w:val="18"/>
          <w:szCs w:val="18"/>
          <w:color w:val="auto"/>
        </w:rPr>
        <w:t>Cash provided by financing activities was RMB1,587.4 million (US$230.9 million) for the year ended December 31, 2018, and cash used in financing activities was RMB1,302.7 and RMB2,250.5 million for the years ended December 31, 2018, 2017 and 2016, respectively.</w:t>
      </w:r>
    </w:p>
    <w:p>
      <w:pPr>
        <w:spacing w:after="0" w:line="179" w:lineRule="exact"/>
        <w:rPr>
          <w:sz w:val="20"/>
          <w:szCs w:val="20"/>
          <w:color w:val="auto"/>
        </w:rPr>
      </w:pPr>
    </w:p>
    <w:p>
      <w:pPr>
        <w:ind w:right="20" w:firstLine="639"/>
        <w:spacing w:after="0" w:line="295" w:lineRule="auto"/>
        <w:rPr>
          <w:sz w:val="20"/>
          <w:szCs w:val="20"/>
          <w:color w:val="auto"/>
        </w:rPr>
      </w:pPr>
      <w:r>
        <w:rPr>
          <w:rFonts w:ascii="Arial" w:cs="Arial" w:eastAsia="Arial" w:hAnsi="Arial"/>
          <w:sz w:val="16"/>
          <w:szCs w:val="16"/>
          <w:color w:val="auto"/>
        </w:rPr>
        <w:t>For the year ended December 31, 2018, cash provided by financing activities resulted from (i) net proceeds in short-term loan of RMB6,209.6 million (US$903.2 million) and (ii) proceeds from issurance of redeemable noncontrolling shareholder interests, net of issuance cost of RMB5,294.2 million (US$770.0 million), partially offset by repurchase of shares of RMB7,516.7 million (US$1,093.3 million), dividends paid in the amount of RMB1,440.2 million (US$209.5 million), and repurchase of noncontrolling interest and redeemable noncontrolling interests of RMB975.0 million (US$141.8 million).</w:t>
      </w:r>
    </w:p>
    <w:p>
      <w:pPr>
        <w:spacing w:after="0" w:line="161" w:lineRule="exact"/>
        <w:rPr>
          <w:sz w:val="20"/>
          <w:szCs w:val="20"/>
          <w:color w:val="auto"/>
        </w:rPr>
      </w:pPr>
    </w:p>
    <w:p>
      <w:pPr>
        <w:ind w:right="520" w:firstLine="639"/>
        <w:spacing w:after="0" w:line="296" w:lineRule="auto"/>
        <w:rPr>
          <w:sz w:val="20"/>
          <w:szCs w:val="20"/>
          <w:color w:val="auto"/>
        </w:rPr>
      </w:pPr>
      <w:r>
        <w:rPr>
          <w:rFonts w:ascii="Arial" w:cs="Arial" w:eastAsia="Arial" w:hAnsi="Arial"/>
          <w:sz w:val="17"/>
          <w:szCs w:val="17"/>
          <w:color w:val="auto"/>
        </w:rPr>
        <w:t>For the year ended December 31, 2017, cash used in financing activities resulted from dividends paid in the amount of RMB3,257.6 million and repurchase of shares of RMB2,061.6 million, partially offset by net proceeds of short-term bank loan of RMB3,105.0 million.</w:t>
      </w:r>
    </w:p>
    <w:p>
      <w:pPr>
        <w:spacing w:after="0" w:line="157" w:lineRule="exact"/>
        <w:rPr>
          <w:sz w:val="20"/>
          <w:szCs w:val="20"/>
          <w:color w:val="auto"/>
        </w:rPr>
      </w:pPr>
    </w:p>
    <w:p>
      <w:pPr>
        <w:ind w:right="520" w:firstLine="639"/>
        <w:spacing w:after="0" w:line="330" w:lineRule="auto"/>
        <w:rPr>
          <w:sz w:val="20"/>
          <w:szCs w:val="20"/>
          <w:color w:val="auto"/>
        </w:rPr>
      </w:pPr>
      <w:r>
        <w:rPr>
          <w:rFonts w:ascii="Arial" w:cs="Arial" w:eastAsia="Arial" w:hAnsi="Arial"/>
          <w:sz w:val="16"/>
          <w:szCs w:val="16"/>
          <w:color w:val="auto"/>
        </w:rPr>
        <w:t>For the year ended December 31, 2016, cash used in financing activities resulted from dividends paid in the amount of RMB2,546.2 million and repurchase of shares of RMB1,199.1 million, partially offset by proceeds from net proceeds from short-term bank loan of RMB1,494.8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Resources</w:t>
      </w:r>
    </w:p>
    <w:p>
      <w:pPr>
        <w:spacing w:after="0" w:line="225" w:lineRule="exact"/>
        <w:rPr>
          <w:sz w:val="20"/>
          <w:szCs w:val="20"/>
          <w:color w:val="auto"/>
        </w:rPr>
      </w:pPr>
    </w:p>
    <w:p>
      <w:pPr>
        <w:ind w:right="280" w:firstLine="639"/>
        <w:spacing w:after="0" w:line="286" w:lineRule="auto"/>
        <w:rPr>
          <w:sz w:val="20"/>
          <w:szCs w:val="20"/>
          <w:color w:val="auto"/>
        </w:rPr>
      </w:pPr>
      <w:r>
        <w:rPr>
          <w:rFonts w:ascii="Arial" w:cs="Arial" w:eastAsia="Arial" w:hAnsi="Arial"/>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VIEs in our consolidated financial statements, we do not have direct access to the cash and cash equivalents or future earnings of our subsidiaries and VIEs. As of December 31, 2018, these subsidiaries and VIEs had RMB38.4 billion (US$5.6 billion) in cash and cash equivalents, demand deposits and short-term and long-term time deposits. Our cash and cash equivalents, demand deposits, time deposits and short-term investments held outside of China are mainly denominated in U.S. dollars, Renminbi and Euro.</w:t>
      </w:r>
    </w:p>
    <w:p>
      <w:pPr>
        <w:spacing w:after="0" w:line="170" w:lineRule="exact"/>
        <w:rPr>
          <w:sz w:val="20"/>
          <w:szCs w:val="20"/>
          <w:color w:val="auto"/>
        </w:rPr>
      </w:pPr>
    </w:p>
    <w:p>
      <w:pPr>
        <w:ind w:right="100" w:firstLine="639"/>
        <w:spacing w:after="0" w:line="266" w:lineRule="auto"/>
        <w:rPr>
          <w:sz w:val="20"/>
          <w:szCs w:val="20"/>
          <w:color w:val="auto"/>
        </w:rPr>
      </w:pPr>
      <w:r>
        <w:rPr>
          <w:rFonts w:ascii="Arial" w:cs="Arial" w:eastAsia="Arial" w:hAnsi="Arial"/>
          <w:sz w:val="17"/>
          <w:szCs w:val="17"/>
          <w:color w:val="auto"/>
        </w:rPr>
        <w:t>To fund any cash requirements we may have, we may need to rely on dividends and other distributions on equity paid by our subsidiaries. Since substantially all of our operations are conducted through our PRC subsidiaries and VIEs, our subsidiaries may need to rely on dividends, loans or advances made by another PRC subsidiary or VIE. Certain of these payments are subject to PRC taxes, including sales taxes, which effectively reduce the received amount. In addition, the PRC government could impose restrictions on such payments or change the tax rates applicable to such payments. In 2016 and 2017, we accrued RMB404.8 million and RMB707.1 million withholding tax liabilities, respectively, associated with our quarterly dividends and cash expected to be distributed from our PRC subsidiaries to companies in our corporate group outside of China for general corporate purposes. In 2018, we accrued RMB679.4 million (US$98.8 million) for withholding tax liabilities. We repatriated a portion of these earnings and paid related withholding income tax in 2018. For the foreseeable future, we intend to reinvest all remaining undistributed earnings as at December 31, 2018 in our PRC subsidiaries, and accordingly no other withholding tax is expected to be incurred.</w:t>
      </w:r>
    </w:p>
    <w:p>
      <w:pPr>
        <w:spacing w:after="0" w:line="181"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RMB6.7 billion, or 15% of our total consolidated net assets, as of December 31, 2018. In addition, if any of our PRC subsidiaries incurs debt on its own behalf in the future, the instruments governing the debt may restrict its ability to pay dividends or make other distributions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Furthermore,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VIEs are not permitted under PRC law to directly lend money to one another. 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182" w:lineRule="exact"/>
        <w:rPr>
          <w:sz w:val="20"/>
          <w:szCs w:val="20"/>
          <w:color w:val="auto"/>
        </w:rPr>
      </w:pPr>
    </w:p>
    <w:p>
      <w:pPr>
        <w:ind w:right="160" w:firstLine="639"/>
        <w:spacing w:after="0" w:line="253" w:lineRule="auto"/>
        <w:rPr>
          <w:sz w:val="20"/>
          <w:szCs w:val="20"/>
          <w:color w:val="auto"/>
        </w:rPr>
      </w:pPr>
      <w:r>
        <w:rPr>
          <w:rFonts w:ascii="Arial" w:cs="Arial" w:eastAsia="Arial" w:hAnsi="Arial"/>
          <w:sz w:val="18"/>
          <w:szCs w:val="18"/>
          <w:color w:val="auto"/>
        </w:rPr>
        <w:t>For additional information, see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capital requirements relate primarily to financing:</w:t>
      </w:r>
    </w:p>
    <w:p>
      <w:pPr>
        <w:spacing w:after="0" w:line="219" w:lineRule="exact"/>
        <w:rPr>
          <w:sz w:val="20"/>
          <w:szCs w:val="20"/>
          <w:color w:val="auto"/>
        </w:rPr>
      </w:pPr>
    </w:p>
    <w:p>
      <w:pPr>
        <w:ind w:left="640" w:right="220" w:hanging="314"/>
        <w:spacing w:after="0" w:line="267" w:lineRule="auto"/>
        <w:tabs>
          <w:tab w:leader="none" w:pos="6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our working capital requirements, such as bandwidth and server custody fees, inventory purchase costs, staff costs, sales and marketing expenses and research and development costs; and</w:t>
      </w:r>
    </w:p>
    <w:p>
      <w:pPr>
        <w:spacing w:after="0" w:line="178" w:lineRule="exact"/>
        <w:rPr>
          <w:rFonts w:ascii="Arial" w:cs="Arial" w:eastAsia="Arial" w:hAnsi="Arial"/>
          <w:sz w:val="18"/>
          <w:szCs w:val="18"/>
          <w:color w:val="auto"/>
        </w:rPr>
      </w:pPr>
    </w:p>
    <w:p>
      <w:pPr>
        <w:ind w:left="640" w:right="20" w:hanging="314"/>
        <w:spacing w:after="0" w:line="257" w:lineRule="auto"/>
        <w:tabs>
          <w:tab w:leader="none" w:pos="6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costs incurred for the construction of our new office buildings and warehouses in Zhoushan, Guangzhou, Hangzhou and Ningbo in China, acquisition of new servers in connection with the operation of our self-developed and licensed games, investment in the expansion packages of the aforementioned games, and upgrades of our online service infrastructure.</w:t>
      </w:r>
    </w:p>
    <w:p>
      <w:pPr>
        <w:spacing w:after="0" w:line="181" w:lineRule="exact"/>
        <w:rPr>
          <w:rFonts w:ascii="Arial" w:cs="Arial" w:eastAsia="Arial" w:hAnsi="Arial"/>
          <w:sz w:val="18"/>
          <w:szCs w:val="18"/>
          <w:color w:val="auto"/>
        </w:rPr>
      </w:pPr>
    </w:p>
    <w:p>
      <w:pPr>
        <w:ind w:left="660" w:hanging="653"/>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5" w:lineRule="exact"/>
        <w:rPr>
          <w:sz w:val="20"/>
          <w:szCs w:val="20"/>
          <w:color w:val="auto"/>
        </w:rPr>
      </w:pPr>
    </w:p>
    <w:p>
      <w:pPr>
        <w:ind w:right="80" w:firstLine="639"/>
        <w:spacing w:after="0" w:line="330" w:lineRule="auto"/>
        <w:rPr>
          <w:sz w:val="20"/>
          <w:szCs w:val="20"/>
          <w:color w:val="auto"/>
        </w:rPr>
      </w:pPr>
      <w:r>
        <w:rPr>
          <w:rFonts w:ascii="Arial" w:cs="Arial" w:eastAsia="Arial" w:hAnsi="Arial"/>
          <w:sz w:val="16"/>
          <w:szCs w:val="16"/>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33"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e-commerce services to our users. In addition, we plan to continue to expand our technologies, products and services and registered user base through diverse online community products and services developed internally, particularly with respect to our online games services. We will seek to continually improve and enhance our existing services to respond to rapidly evolving competitive and technological conditions. For the years 2018, 2017 and 2016, we spent RMB7,792.6 million (US$1,133.4 million), RMB4,371.4 million and RMB3,047.0 million, respectively, on research and development activities.</w:t>
      </w:r>
    </w:p>
    <w:p>
      <w:pPr>
        <w:spacing w:after="0" w:line="187" w:lineRule="exact"/>
        <w:rPr>
          <w:sz w:val="20"/>
          <w:szCs w:val="20"/>
          <w:color w:val="auto"/>
        </w:rPr>
      </w:pPr>
    </w:p>
    <w:p>
      <w:pPr>
        <w:ind w:left="660" w:hanging="653"/>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5" w:lineRule="exact"/>
        <w:rPr>
          <w:sz w:val="20"/>
          <w:szCs w:val="20"/>
          <w:color w:val="auto"/>
        </w:rPr>
      </w:pPr>
    </w:p>
    <w:p>
      <w:pPr>
        <w:ind w:right="80" w:firstLine="639"/>
        <w:spacing w:after="0" w:line="279" w:lineRule="auto"/>
        <w:rPr>
          <w:sz w:val="20"/>
          <w:szCs w:val="20"/>
          <w:color w:val="auto"/>
        </w:rPr>
      </w:pPr>
      <w:r>
        <w:rPr>
          <w:rFonts w:ascii="Arial" w:cs="Arial" w:eastAsia="Arial" w:hAnsi="Arial"/>
          <w:sz w:val="17"/>
          <w:szCs w:val="17"/>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165" w:lineRule="exact"/>
        <w:rPr>
          <w:sz w:val="20"/>
          <w:szCs w:val="20"/>
          <w:color w:val="auto"/>
        </w:rPr>
      </w:pPr>
    </w:p>
    <w:p>
      <w:pPr>
        <w:ind w:left="640" w:hanging="633"/>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640" w:hanging="633"/>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5"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We have entered into leasing arrangements relating to our office premises. We also have contractual obligations in respect of the construction of new office buildings and warehouse facilities in Beijing, Hangzhou, Guangzhou, Zhoushan and Ningbo, office rental and capital expenditures related to computer equipment and server custody fees. In addition, we have contractual obligations in connection with the licensing of World of Warcraft, StarCraft II series, Heroes of the Storm, Hearthstone, Diablo III and Overwatch from Blizzard. The following sets forth our contractual obligations for operating leases, server custody fees, long-term payables, capital expenditures and office machine and other obligations related to content and services purchases, including the royalties and minimum marketing expenditure commitment for the games licensed to us by Blizzard, as of December 31,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Server Custody</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Royalties and</w:t>
            </w: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Office Machines</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Rental</w:t>
            </w:r>
          </w:p>
        </w:tc>
        <w:tc>
          <w:tcPr>
            <w:tcW w:w="162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5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Expenditure for</w:t>
            </w:r>
          </w:p>
        </w:tc>
        <w:tc>
          <w:tcPr>
            <w:tcW w:w="15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Fee</w:t>
            </w: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Licensed Content</w:t>
            </w:r>
          </w:p>
        </w:tc>
        <w:tc>
          <w:tcPr>
            <w:tcW w:w="15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and Other</w:t>
            </w:r>
          </w:p>
        </w:tc>
        <w:tc>
          <w:tcPr>
            <w:tcW w:w="12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316"/>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384,395</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134,683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788,755</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2,747,243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79,164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4,134,240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8"/>
                <w:szCs w:val="18"/>
                <w:color w:val="auto"/>
              </w:rPr>
              <w:t>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270,552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43,290</w:t>
            </w:r>
          </w:p>
        </w:tc>
        <w:tc>
          <w:tcPr>
            <w:tcW w:w="1140" w:type="dxa"/>
            <w:vAlign w:val="bottom"/>
          </w:tcPr>
          <w:p>
            <w:pPr>
              <w:jc w:val="right"/>
              <w:spacing w:after="0"/>
              <w:rPr>
                <w:sz w:val="20"/>
                <w:szCs w:val="20"/>
                <w:color w:val="auto"/>
              </w:rPr>
            </w:pPr>
            <w:r>
              <w:rPr>
                <w:rFonts w:ascii="Arial" w:cs="Arial" w:eastAsia="Arial" w:hAnsi="Arial"/>
                <w:sz w:val="18"/>
                <w:szCs w:val="18"/>
                <w:color w:val="auto"/>
              </w:rPr>
              <w:t>719,101</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1,545,167</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60,838</w:t>
            </w:r>
          </w:p>
        </w:tc>
        <w:tc>
          <w:tcPr>
            <w:tcW w:w="1140" w:type="dxa"/>
            <w:vAlign w:val="bottom"/>
          </w:tcPr>
          <w:p>
            <w:pPr>
              <w:jc w:val="right"/>
              <w:spacing w:after="0"/>
              <w:rPr>
                <w:sz w:val="20"/>
                <w:szCs w:val="20"/>
                <w:color w:val="auto"/>
              </w:rPr>
            </w:pPr>
            <w:r>
              <w:rPr>
                <w:rFonts w:ascii="Arial" w:cs="Arial" w:eastAsia="Arial" w:hAnsi="Arial"/>
                <w:sz w:val="18"/>
                <w:szCs w:val="18"/>
                <w:color w:val="auto"/>
              </w:rPr>
              <w:t>2,638,948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204,218</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392,574</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2,128,540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2,785,358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8"/>
                <w:szCs w:val="18"/>
                <w:color w:val="auto"/>
              </w:rPr>
              <w:t>2022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89,263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11,592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1,566,765</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17,529</w:t>
            </w:r>
          </w:p>
        </w:tc>
        <w:tc>
          <w:tcPr>
            <w:tcW w:w="1140" w:type="dxa"/>
            <w:vAlign w:val="bottom"/>
          </w:tcPr>
          <w:p>
            <w:pPr>
              <w:jc w:val="right"/>
              <w:spacing w:after="0"/>
              <w:rPr>
                <w:sz w:val="20"/>
                <w:szCs w:val="20"/>
                <w:color w:val="auto"/>
              </w:rPr>
            </w:pPr>
            <w:r>
              <w:rPr>
                <w:rFonts w:ascii="Arial" w:cs="Arial" w:eastAsia="Arial" w:hAnsi="Arial"/>
                <w:sz w:val="18"/>
                <w:szCs w:val="18"/>
                <w:color w:val="auto"/>
              </w:rPr>
              <w:t>1,685,149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Beyond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64,981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2,277,465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1,013,409</w:t>
            </w:r>
          </w:p>
        </w:tc>
        <w:tc>
          <w:tcPr>
            <w:tcW w:w="2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228,733</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1,900,430</w:t>
            </w:r>
          </w:p>
        </w:tc>
        <w:tc>
          <w:tcPr>
            <w:tcW w:w="2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10,265,180</w:t>
            </w:r>
          </w:p>
        </w:tc>
        <w:tc>
          <w:tcPr>
            <w:tcW w:w="2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178,502</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13,586,254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than the obligations set forth above, we do not have any long-term commitments.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Rate Risk</w:t>
      </w:r>
    </w:p>
    <w:p>
      <w:pPr>
        <w:spacing w:after="0" w:line="219" w:lineRule="exact"/>
        <w:rPr>
          <w:sz w:val="20"/>
          <w:szCs w:val="20"/>
          <w:color w:val="auto"/>
        </w:rPr>
      </w:pPr>
    </w:p>
    <w:p>
      <w:pPr>
        <w:ind w:right="20" w:firstLine="639"/>
        <w:spacing w:after="0" w:line="266" w:lineRule="auto"/>
        <w:rPr>
          <w:sz w:val="20"/>
          <w:szCs w:val="20"/>
          <w:color w:val="auto"/>
        </w:rPr>
      </w:pPr>
      <w:r>
        <w:rPr>
          <w:rFonts w:ascii="Arial" w:cs="Arial" w:eastAsia="Arial" w:hAnsi="Arial"/>
          <w:sz w:val="17"/>
          <w:szCs w:val="17"/>
          <w:color w:val="auto"/>
        </w:rPr>
        <w:t>Our exposure to market rate risk for changes in interest rates relates primarily to the interest income generated by excess cash invested in fixed-rate corporate bonds of well-known Chinese companies and financial products issued by commercial banks in China, as well as interest expenses payable on our short-term bank borrowings. All of our short-term bank borrowings as of December 31, 2018 were at fixed rates. From time to time, we use derivatives, such as interest rate swaps, to manage our interest rate exposure. 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2018, a 10% change in the interest rate would result in an increase or decrease of RMB58.8 million (US$8.5 million) of our total amount of net interest income or of RMB46.4 million (US$6.7 million) of our total amount of investment income from short-term investments in 2018.</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Currency Risk</w:t>
      </w:r>
    </w:p>
    <w:p>
      <w:pPr>
        <w:spacing w:after="0" w:line="219" w:lineRule="exact"/>
        <w:rPr>
          <w:sz w:val="20"/>
          <w:szCs w:val="20"/>
          <w:color w:val="auto"/>
        </w:rPr>
      </w:pPr>
    </w:p>
    <w:p>
      <w:pPr>
        <w:ind w:right="100" w:firstLine="639"/>
        <w:spacing w:after="0" w:line="250" w:lineRule="auto"/>
        <w:rPr>
          <w:sz w:val="20"/>
          <w:szCs w:val="20"/>
          <w:color w:val="auto"/>
        </w:rPr>
      </w:pPr>
      <w:r>
        <w:rPr>
          <w:rFonts w:ascii="Arial" w:cs="Arial" w:eastAsia="Arial" w:hAnsi="Arial"/>
          <w:sz w:val="18"/>
          <w:szCs w:val="18"/>
          <w:color w:val="auto"/>
        </w:rPr>
        <w:t>A significant majority of our revenues and expenses are denominated in Renminbi, but as noted above, a certain portion of our cash is kept in U.S. dollars and Euro. Although we believe that, in general, our exposure to foreign exchange risks should be limited, the value of our ADSs will be affected by the foreign exchange rate between U.S. dollars, Euro and Renminbi. For example, to the extent that we need to convert U.S. dollars or Euro into Renminbi for our operational needs and the Renminbi appreciates against the U.S. dollars or Euro at that time, our financial position and the price of our ADSs may be adversely affected. Conversely, if we decide to convert our Renminbi into U.S. dollars for the purpose of declaring dividends on our ADSs or otherwise and the U.S. dollar or Euro appreciates against the Renminbi, the U.S. dollar equivalent of our earnings from our subsidiaries and controlled entities in China would be reduced.</w:t>
      </w:r>
    </w:p>
    <w:p>
      <w:pPr>
        <w:spacing w:after="0" w:line="196" w:lineRule="exact"/>
        <w:rPr>
          <w:sz w:val="20"/>
          <w:szCs w:val="20"/>
          <w:color w:val="auto"/>
        </w:rPr>
      </w:pPr>
    </w:p>
    <w:p>
      <w:pPr>
        <w:ind w:firstLine="639"/>
        <w:spacing w:after="0" w:line="266" w:lineRule="auto"/>
        <w:rPr>
          <w:sz w:val="20"/>
          <w:szCs w:val="20"/>
          <w:color w:val="auto"/>
        </w:rPr>
      </w:pPr>
      <w:r>
        <w:rPr>
          <w:rFonts w:ascii="Arial" w:cs="Arial" w:eastAsia="Arial" w:hAnsi="Arial"/>
          <w:sz w:val="17"/>
          <w:szCs w:val="17"/>
          <w:color w:val="auto"/>
        </w:rPr>
        <w:t>In July 2005, the Chinese government announced that it is pegging the exchange rate of the Chinese Renminbi against a number of currencies, rather than just the US dollar. This change in policy resulted in an overall appreciation in the value of the Renminbi against the US dollar, although more recently the Renminbi has depreciated against the US dollar. 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losses of RMB113.3 million (US$16.5 million) in 2018, compared to net foreign exchange losses of RMB448.8 million in 2017.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firstLine="639"/>
        <w:spacing w:after="0" w:line="330" w:lineRule="auto"/>
        <w:rPr>
          <w:sz w:val="20"/>
          <w:szCs w:val="20"/>
          <w:color w:val="auto"/>
        </w:rPr>
      </w:pPr>
      <w:r>
        <w:rPr>
          <w:rFonts w:ascii="Arial" w:cs="Arial" w:eastAsia="Arial" w:hAnsi="Arial"/>
          <w:sz w:val="16"/>
          <w:szCs w:val="16"/>
          <w:color w:val="auto"/>
        </w:rPr>
        <w:t>As of December 31, 2018, we had U.S. dollar-denominated debt outstanding of US$1,871.0 million. If the U.S. dollar had appreciated/depreciated by 10% against the Renminbi, our interest payments on this debt in Renminbi terms would have increased/decreased by RMB40.8 million (US$5.9 million).</w:t>
      </w:r>
    </w:p>
    <w:p>
      <w:pPr>
        <w:spacing w:after="0" w:line="133"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As of December 31, 2018, we had U.S. dollar-denominated cash and cash equivalents and time deposits of US$2,726.2 million. If the U.S. dollar had appreciated/depreciated by 10% against the Renminbi, our U.S. dollar-denominated cash and cash equivalents and time deposits as of December 31, 2018 would have increased/decreased by RMB1,874.4 million in Renminbi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19" w:lineRule="exact"/>
        <w:rPr>
          <w:sz w:val="20"/>
          <w:szCs w:val="20"/>
          <w:color w:val="auto"/>
        </w:rPr>
      </w:pPr>
    </w:p>
    <w:p>
      <w:pPr>
        <w:ind w:right="20" w:firstLine="639"/>
        <w:spacing w:after="0" w:line="267" w:lineRule="auto"/>
        <w:rPr>
          <w:sz w:val="20"/>
          <w:szCs w:val="20"/>
          <w:color w:val="auto"/>
        </w:rPr>
      </w:pPr>
      <w:r>
        <w:rPr>
          <w:rFonts w:ascii="Arial" w:cs="Arial" w:eastAsia="Arial" w:hAnsi="Arial"/>
          <w:sz w:val="17"/>
          <w:szCs w:val="17"/>
          <w:color w:val="auto"/>
        </w:rPr>
        <w:t>In May 2014, the FASB issued Accounting Standards Update No. 2014-09 (Topic 606) “Revenue from Contracts with Customers.” Topic 606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to in exchange for those goods or services. We adopted Topic 606 on January 1, 2018 using the modified retrospective method and elected to apply this new revenue accounting standard only to contracts not completed as of the adoption date. We recognized the cumulative effect of initially applying the new revenue accounting standard as an adjustment to the opening balance of retained earnings for the year ended December 31, 2018. The comparative financial statements have not been restated and continue to be reported under the accounting standards in effect for those periods.</w:t>
      </w:r>
    </w:p>
    <w:p>
      <w:pPr>
        <w:spacing w:after="0" w:line="183"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The adoption of Topic 606 primarily impacts the accounting of the recognition of breakage associated with our unused online game points in a personal game account as a result of recording revenue based upon estimates of breakage under the new revenue standard. Under Topic 605, revenue for unused points was not recorded until the points expired. Thus, for unused points, revenue is recorded earlier under the new standard. The cumulative effect adjustment upon adoption includes a reduction of our deferred revenue of approximately RMB81.7 million and a net increase to our retained earnings of approximately RMB27.4 million (net of tax). Revenues of related game points would have been recorded in the consolidated statement of operations and comprehensice income for the year ended December 31, 2018 under Topic 605 based on their actual expiry date. Therefore, the adoption of Topic 606 impacted our consolidated statement of operations and comprehensive income for the year ended December 31, 2018 by reducing revenues by RMB81.7 million (US$11.9 million). The adoption of Topic 606 does not have significant impact on used game points as of December 31,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19" w:lineRule="exact"/>
        <w:rPr>
          <w:sz w:val="20"/>
          <w:szCs w:val="20"/>
          <w:color w:val="auto"/>
        </w:rPr>
      </w:pPr>
    </w:p>
    <w:p>
      <w:pPr>
        <w:ind w:right="60" w:firstLine="639"/>
        <w:spacing w:after="0" w:line="288" w:lineRule="auto"/>
        <w:rPr>
          <w:sz w:val="20"/>
          <w:szCs w:val="20"/>
          <w:color w:val="auto"/>
        </w:rPr>
      </w:pPr>
      <w:r>
        <w:rPr>
          <w:rFonts w:ascii="Arial" w:cs="Arial" w:eastAsia="Arial" w:hAnsi="Arial"/>
          <w:sz w:val="16"/>
          <w:szCs w:val="16"/>
          <w:color w:val="auto"/>
        </w:rPr>
        <w:t>In January 2016, the FASB issued Accounting Standards Update No. 2016-01 (ASU No. 2016-01) “Financial Instruments-Overall (Subtopic 825-10): Recognition and Measurement of Financial Assets and Financial Liabilities.” We adopted this guidance on January 1, 2018 and RMB38.2 million of accumulated other comprehensive income for our available-for-sale equity securities that existed as of December 31, 2017 was reclassified into retained earnings upon the adoption thereof. For equity investments without readily determinable fair value, we elected to measure them at their costs minus impairment (if any), plus or minus changes resulting from observable price changes as evidenced by the same or similar investments in the same issuer. We did not record any changes to the carrying value of equity investments without readily determinable fair value for the year ended December 31, 2018.</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Statement of Cash Flows</w:t>
      </w:r>
    </w:p>
    <w:p>
      <w:pPr>
        <w:spacing w:after="0" w:line="219" w:lineRule="exact"/>
        <w:rPr>
          <w:sz w:val="20"/>
          <w:szCs w:val="20"/>
          <w:color w:val="auto"/>
        </w:rPr>
      </w:pPr>
    </w:p>
    <w:p>
      <w:pPr>
        <w:ind w:right="20" w:firstLine="639"/>
        <w:spacing w:after="0" w:line="286" w:lineRule="auto"/>
        <w:rPr>
          <w:sz w:val="20"/>
          <w:szCs w:val="20"/>
          <w:color w:val="auto"/>
        </w:rPr>
      </w:pPr>
      <w:r>
        <w:rPr>
          <w:rFonts w:ascii="Arial" w:cs="Arial" w:eastAsia="Arial" w:hAnsi="Arial"/>
          <w:sz w:val="16"/>
          <w:szCs w:val="16"/>
          <w:color w:val="auto"/>
        </w:rPr>
        <w:t>In November 2016, the FASB issued ASU 2016-18 “Statement of Cash Flows (Topic 230): Restricted Cash.” The guidance requires that a statement of cash flows explain the change during a period in the aggregate amount of cash, cash equivalents, and amounts generally described as restricted cash or restricted cash equivalents. Therefore, amounts generally described as restricted cash and restricted cash equivalents are to be included with cash and cash equivalents when reconciling the beginning-of-period and end-of-period aggregate amounts shown in the statement of cash flows. The standard should be applied using a retrospective transition method to each period presented. We adopted this guidance on January 1, 2018 with a retrospective transition method. Pursuant to this new guidance, the net change of cash, cash equivalents and restricted cash increased by RMB2,140.6 million and decreased by RMB393.8 million for the years ended December 31, 2016 and 2017, respectively, compared to the amounts presented under previous guidance.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100" w:firstLine="639"/>
        <w:spacing w:after="0" w:line="291" w:lineRule="auto"/>
        <w:rPr>
          <w:sz w:val="20"/>
          <w:szCs w:val="20"/>
          <w:color w:val="auto"/>
        </w:rPr>
      </w:pPr>
      <w:r>
        <w:rPr>
          <w:rFonts w:ascii="Arial" w:cs="Arial" w:eastAsia="Arial" w:hAnsi="Arial"/>
          <w:sz w:val="16"/>
          <w:szCs w:val="16"/>
          <w:color w:val="auto"/>
        </w:rPr>
        <w:t>In February 2016, the FASB issued ASU 2016-02 “Leases” as amended, which generally requires lessees to recognize operating and financing lease liabilities and the corresponding right-of-use assets on the balance sheet and to provide enhanced disclosures surrounding the amount, timing and uncertainty of cash flows arising from leasing arrangements. We will adopt the new standard effective January 1, 2019 on a modified retrospective basis and will not restate comparative periods. We estimate approximately RMB861.5 million may be recognized as total right-of-use assets and total lease liabilities on our consolidated balance sheet as of January 1, 2019. Other than this, we do not expect the new standard to have a material impact on our consolidated financial statements.</w:t>
      </w:r>
    </w:p>
    <w:p>
      <w:pPr>
        <w:spacing w:after="0" w:line="163" w:lineRule="exact"/>
        <w:rPr>
          <w:sz w:val="20"/>
          <w:szCs w:val="20"/>
          <w:color w:val="auto"/>
        </w:rPr>
      </w:pPr>
    </w:p>
    <w:p>
      <w:pPr>
        <w:ind w:right="80" w:firstLine="639"/>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are currently evaluating the impact this standard will have on our consolidated financial statements and related disclosures.</w:t>
      </w:r>
    </w:p>
    <w:p>
      <w:pPr>
        <w:spacing w:after="0" w:line="182" w:lineRule="exact"/>
        <w:rPr>
          <w:sz w:val="20"/>
          <w:szCs w:val="20"/>
          <w:color w:val="auto"/>
        </w:rPr>
      </w:pPr>
    </w:p>
    <w:p>
      <w:pPr>
        <w:ind w:right="420" w:firstLine="639"/>
        <w:spacing w:after="0" w:line="295"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Employee Share-Based Payment Accounting.” The guidance simplifies the accounting for share-based payments made to non-employees so the accounting for such payments is substantially the same as those made to employees. The guidance is effective for fiscal years beginning after December 15, 2018, including interim periods within those fiscal years. We do not expect the adoption of this guidance to have a material impact on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19" w:lineRule="exact"/>
        <w:rPr>
          <w:sz w:val="20"/>
          <w:szCs w:val="20"/>
          <w:color w:val="auto"/>
        </w:rPr>
      </w:pPr>
    </w:p>
    <w:p>
      <w:pPr>
        <w:ind w:left="660" w:hanging="653"/>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names of our directors and executive officers, their ages as of April 1, 2019 and the principal positions with NetEase held by them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0"/>
              </w:rPr>
              <w:t>Age</w:t>
            </w:r>
          </w:p>
        </w:tc>
        <w:tc>
          <w:tcPr>
            <w:tcW w:w="3420" w:type="dxa"/>
            <w:vAlign w:val="bottom"/>
          </w:tcPr>
          <w:p>
            <w:pPr>
              <w:ind w:left="1460"/>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14"/>
                <w:szCs w:val="14"/>
                <w:color w:val="auto"/>
              </w:rPr>
            </w:pPr>
          </w:p>
        </w:tc>
      </w:tr>
      <w:tr>
        <w:trPr>
          <w:trHeight w:val="206"/>
        </w:trPr>
        <w:tc>
          <w:tcPr>
            <w:tcW w:w="4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jc w:val="center"/>
              <w:ind w:right="1013"/>
              <w:spacing w:after="0"/>
              <w:rPr>
                <w:sz w:val="20"/>
                <w:szCs w:val="20"/>
                <w:color w:val="auto"/>
              </w:rPr>
            </w:pPr>
            <w:r>
              <w:rPr>
                <w:rFonts w:ascii="Arial" w:cs="Arial" w:eastAsia="Arial" w:hAnsi="Arial"/>
                <w:sz w:val="18"/>
                <w:szCs w:val="18"/>
                <w:color w:val="auto"/>
                <w:w w:val="79"/>
              </w:rPr>
              <w:t>47</w:t>
            </w:r>
          </w:p>
        </w:tc>
        <w:tc>
          <w:tcPr>
            <w:tcW w:w="22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c>
          <w:tcPr>
            <w:tcW w:w="40" w:type="dxa"/>
            <w:vAlign w:val="bottom"/>
          </w:tcPr>
          <w:p>
            <w:pPr>
              <w:spacing w:after="0"/>
              <w:rPr>
                <w:sz w:val="17"/>
                <w:szCs w:val="17"/>
                <w:color w:val="auto"/>
              </w:rPr>
            </w:pPr>
          </w:p>
        </w:tc>
      </w:tr>
      <w:tr>
        <w:trPr>
          <w:trHeight w:val="213"/>
        </w:trPr>
        <w:tc>
          <w:tcPr>
            <w:tcW w:w="5440" w:type="dxa"/>
            <w:vAlign w:val="bottom"/>
            <w:gridSpan w:val="5"/>
          </w:tcPr>
          <w:p>
            <w:pPr>
              <w:spacing w:after="0"/>
              <w:rPr>
                <w:sz w:val="20"/>
                <w:szCs w:val="20"/>
                <w:color w:val="auto"/>
              </w:rPr>
            </w:pPr>
            <w:r>
              <w:rPr>
                <w:rFonts w:ascii="Arial" w:cs="Arial" w:eastAsia="Arial" w:hAnsi="Arial"/>
                <w:sz w:val="18"/>
                <w:szCs w:val="18"/>
                <w:color w:val="auto"/>
              </w:rPr>
              <w:t>Charles Zhaoxuan Yang</w:t>
            </w:r>
          </w:p>
        </w:tc>
        <w:tc>
          <w:tcPr>
            <w:tcW w:w="2340" w:type="dxa"/>
            <w:vAlign w:val="bottom"/>
          </w:tcPr>
          <w:p>
            <w:pPr>
              <w:jc w:val="center"/>
              <w:ind w:right="1013"/>
              <w:spacing w:after="0"/>
              <w:rPr>
                <w:sz w:val="20"/>
                <w:szCs w:val="20"/>
                <w:color w:val="auto"/>
              </w:rPr>
            </w:pPr>
            <w:r>
              <w:rPr>
                <w:rFonts w:ascii="Arial" w:cs="Arial" w:eastAsia="Arial" w:hAnsi="Arial"/>
                <w:sz w:val="18"/>
                <w:szCs w:val="18"/>
                <w:color w:val="auto"/>
                <w:w w:val="79"/>
              </w:rPr>
              <w:t>36</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3"/>
        </w:trPr>
        <w:tc>
          <w:tcPr>
            <w:tcW w:w="5440" w:type="dxa"/>
            <w:vAlign w:val="bottom"/>
            <w:gridSpan w:val="5"/>
            <w:shd w:val="clear" w:color="auto" w:fill="CCEEFF"/>
          </w:tcPr>
          <w:p>
            <w:pPr>
              <w:spacing w:after="0" w:line="213" w:lineRule="exact"/>
              <w:rPr>
                <w:sz w:val="20"/>
                <w:szCs w:val="20"/>
                <w:color w:val="auto"/>
              </w:rPr>
            </w:pPr>
            <w:r>
              <w:rPr>
                <w:rFonts w:ascii="Arial" w:cs="Arial" w:eastAsia="Arial" w:hAnsi="Arial"/>
                <w:sz w:val="18"/>
                <w:szCs w:val="18"/>
                <w:color w:val="auto"/>
              </w:rPr>
              <w:t xml:space="preserve">Alice Cheng </w:t>
            </w:r>
            <w:r>
              <w:rPr>
                <w:rFonts w:ascii="Arial" w:cs="Arial" w:eastAsia="Arial" w:hAnsi="Arial"/>
                <w:sz w:val="23"/>
                <w:szCs w:val="23"/>
                <w:color w:val="auto"/>
                <w:vertAlign w:val="superscript"/>
              </w:rPr>
              <w:t>(1)</w:t>
            </w:r>
          </w:p>
        </w:tc>
        <w:tc>
          <w:tcPr>
            <w:tcW w:w="2340" w:type="dxa"/>
            <w:vAlign w:val="bottom"/>
            <w:shd w:val="clear" w:color="auto" w:fill="CCEEFF"/>
          </w:tcPr>
          <w:p>
            <w:pPr>
              <w:jc w:val="center"/>
              <w:ind w:right="1013"/>
              <w:spacing w:after="0"/>
              <w:rPr>
                <w:sz w:val="20"/>
                <w:szCs w:val="20"/>
                <w:color w:val="auto"/>
              </w:rPr>
            </w:pPr>
            <w:r>
              <w:rPr>
                <w:rFonts w:ascii="Arial" w:cs="Arial" w:eastAsia="Arial" w:hAnsi="Arial"/>
                <w:sz w:val="18"/>
                <w:szCs w:val="18"/>
                <w:color w:val="auto"/>
                <w:w w:val="79"/>
              </w:rPr>
              <w:t>57</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3"/>
        </w:trPr>
        <w:tc>
          <w:tcPr>
            <w:tcW w:w="5440" w:type="dxa"/>
            <w:vAlign w:val="bottom"/>
            <w:gridSpan w:val="5"/>
          </w:tcPr>
          <w:p>
            <w:pPr>
              <w:spacing w:after="0"/>
              <w:rPr>
                <w:sz w:val="20"/>
                <w:szCs w:val="20"/>
                <w:color w:val="auto"/>
              </w:rPr>
            </w:pPr>
            <w:r>
              <w:rPr>
                <w:rFonts w:ascii="Arial" w:cs="Arial" w:eastAsia="Arial" w:hAnsi="Arial"/>
                <w:sz w:val="18"/>
                <w:szCs w:val="18"/>
                <w:color w:val="auto"/>
              </w:rPr>
              <w:t>Denny Lee</w:t>
            </w:r>
          </w:p>
        </w:tc>
        <w:tc>
          <w:tcPr>
            <w:tcW w:w="2340" w:type="dxa"/>
            <w:vAlign w:val="bottom"/>
          </w:tcPr>
          <w:p>
            <w:pPr>
              <w:jc w:val="center"/>
              <w:ind w:right="1013"/>
              <w:spacing w:after="0"/>
              <w:rPr>
                <w:sz w:val="20"/>
                <w:szCs w:val="20"/>
                <w:color w:val="auto"/>
              </w:rPr>
            </w:pPr>
            <w:r>
              <w:rPr>
                <w:rFonts w:ascii="Arial" w:cs="Arial" w:eastAsia="Arial" w:hAnsi="Arial"/>
                <w:sz w:val="18"/>
                <w:szCs w:val="18"/>
                <w:color w:val="auto"/>
                <w:w w:val="79"/>
              </w:rPr>
              <w:t>51</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3"/>
        </w:trPr>
        <w:tc>
          <w:tcPr>
            <w:tcW w:w="5440" w:type="dxa"/>
            <w:vAlign w:val="bottom"/>
            <w:gridSpan w:val="5"/>
            <w:shd w:val="clear" w:color="auto" w:fill="CCEEFF"/>
          </w:tcPr>
          <w:p>
            <w:pPr>
              <w:spacing w:after="0" w:line="213" w:lineRule="exact"/>
              <w:rPr>
                <w:sz w:val="20"/>
                <w:szCs w:val="20"/>
                <w:color w:val="auto"/>
              </w:rPr>
            </w:pPr>
            <w:r>
              <w:rPr>
                <w:rFonts w:ascii="Arial" w:cs="Arial" w:eastAsia="Arial" w:hAnsi="Arial"/>
                <w:sz w:val="18"/>
                <w:szCs w:val="18"/>
                <w:color w:val="auto"/>
              </w:rPr>
              <w:t xml:space="preserve">Joseph Tong </w:t>
            </w:r>
            <w:r>
              <w:rPr>
                <w:rFonts w:ascii="Arial" w:cs="Arial" w:eastAsia="Arial" w:hAnsi="Arial"/>
                <w:sz w:val="23"/>
                <w:szCs w:val="23"/>
                <w:color w:val="auto"/>
                <w:vertAlign w:val="superscript"/>
              </w:rPr>
              <w:t>(1)</w:t>
            </w:r>
          </w:p>
        </w:tc>
        <w:tc>
          <w:tcPr>
            <w:tcW w:w="2340" w:type="dxa"/>
            <w:vAlign w:val="bottom"/>
            <w:shd w:val="clear" w:color="auto" w:fill="CCEEFF"/>
          </w:tcPr>
          <w:p>
            <w:pPr>
              <w:jc w:val="center"/>
              <w:ind w:right="1013"/>
              <w:spacing w:after="0"/>
              <w:rPr>
                <w:sz w:val="20"/>
                <w:szCs w:val="20"/>
                <w:color w:val="auto"/>
              </w:rPr>
            </w:pPr>
            <w:r>
              <w:rPr>
                <w:rFonts w:ascii="Arial" w:cs="Arial" w:eastAsia="Arial" w:hAnsi="Arial"/>
                <w:sz w:val="18"/>
                <w:szCs w:val="18"/>
                <w:color w:val="auto"/>
                <w:w w:val="79"/>
              </w:rPr>
              <w:t>56</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3"/>
        </w:trPr>
        <w:tc>
          <w:tcPr>
            <w:tcW w:w="5440" w:type="dxa"/>
            <w:vAlign w:val="bottom"/>
            <w:gridSpan w:val="5"/>
          </w:tcPr>
          <w:p>
            <w:pPr>
              <w:spacing w:after="0"/>
              <w:rPr>
                <w:sz w:val="20"/>
                <w:szCs w:val="20"/>
                <w:color w:val="auto"/>
              </w:rPr>
            </w:pPr>
            <w:r>
              <w:rPr>
                <w:rFonts w:ascii="Arial" w:cs="Arial" w:eastAsia="Arial" w:hAnsi="Arial"/>
                <w:sz w:val="18"/>
                <w:szCs w:val="18"/>
                <w:color w:val="auto"/>
              </w:rPr>
              <w:t>Lun Feng</w:t>
            </w:r>
          </w:p>
        </w:tc>
        <w:tc>
          <w:tcPr>
            <w:tcW w:w="2340" w:type="dxa"/>
            <w:vAlign w:val="bottom"/>
          </w:tcPr>
          <w:p>
            <w:pPr>
              <w:jc w:val="center"/>
              <w:ind w:right="1013"/>
              <w:spacing w:after="0"/>
              <w:rPr>
                <w:sz w:val="20"/>
                <w:szCs w:val="20"/>
                <w:color w:val="auto"/>
              </w:rPr>
            </w:pPr>
            <w:r>
              <w:rPr>
                <w:rFonts w:ascii="Arial" w:cs="Arial" w:eastAsia="Arial" w:hAnsi="Arial"/>
                <w:sz w:val="18"/>
                <w:szCs w:val="18"/>
                <w:color w:val="auto"/>
                <w:w w:val="79"/>
              </w:rPr>
              <w:t>59</w:t>
            </w: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13"/>
        </w:trPr>
        <w:tc>
          <w:tcPr>
            <w:tcW w:w="5440" w:type="dxa"/>
            <w:vAlign w:val="bottom"/>
            <w:gridSpan w:val="5"/>
            <w:shd w:val="clear" w:color="auto" w:fill="CCEEFF"/>
          </w:tcPr>
          <w:p>
            <w:pPr>
              <w:spacing w:after="0" w:line="213" w:lineRule="exact"/>
              <w:rPr>
                <w:sz w:val="20"/>
                <w:szCs w:val="20"/>
                <w:color w:val="auto"/>
              </w:rPr>
            </w:pPr>
            <w:r>
              <w:rPr>
                <w:rFonts w:ascii="Arial" w:cs="Arial" w:eastAsia="Arial" w:hAnsi="Arial"/>
                <w:sz w:val="18"/>
                <w:szCs w:val="18"/>
                <w:color w:val="auto"/>
              </w:rPr>
              <w:t xml:space="preserve">Michael Leung </w:t>
            </w:r>
            <w:r>
              <w:rPr>
                <w:rFonts w:ascii="Arial" w:cs="Arial" w:eastAsia="Arial" w:hAnsi="Arial"/>
                <w:sz w:val="23"/>
                <w:szCs w:val="23"/>
                <w:color w:val="auto"/>
                <w:vertAlign w:val="superscript"/>
              </w:rPr>
              <w:t>(1)</w:t>
            </w:r>
          </w:p>
        </w:tc>
        <w:tc>
          <w:tcPr>
            <w:tcW w:w="2340" w:type="dxa"/>
            <w:vAlign w:val="bottom"/>
            <w:shd w:val="clear" w:color="auto" w:fill="CCEEFF"/>
          </w:tcPr>
          <w:p>
            <w:pPr>
              <w:jc w:val="center"/>
              <w:ind w:right="1013"/>
              <w:spacing w:after="0"/>
              <w:rPr>
                <w:sz w:val="20"/>
                <w:szCs w:val="20"/>
                <w:color w:val="auto"/>
              </w:rPr>
            </w:pPr>
            <w:r>
              <w:rPr>
                <w:rFonts w:ascii="Arial" w:cs="Arial" w:eastAsia="Arial" w:hAnsi="Arial"/>
                <w:sz w:val="18"/>
                <w:szCs w:val="18"/>
                <w:color w:val="auto"/>
                <w:w w:val="79"/>
              </w:rPr>
              <w:t>65</w:t>
            </w:r>
          </w:p>
        </w:tc>
        <w:tc>
          <w:tcPr>
            <w:tcW w:w="2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r>
      <w:tr>
        <w:trPr>
          <w:trHeight w:val="224"/>
        </w:trPr>
        <w:tc>
          <w:tcPr>
            <w:tcW w:w="5440" w:type="dxa"/>
            <w:vAlign w:val="bottom"/>
            <w:gridSpan w:val="5"/>
          </w:tcPr>
          <w:p>
            <w:pPr>
              <w:spacing w:after="0"/>
              <w:rPr>
                <w:sz w:val="20"/>
                <w:szCs w:val="20"/>
                <w:color w:val="auto"/>
              </w:rPr>
            </w:pPr>
            <w:r>
              <w:rPr>
                <w:rFonts w:ascii="Arial" w:cs="Arial" w:eastAsia="Arial" w:hAnsi="Arial"/>
                <w:sz w:val="18"/>
                <w:szCs w:val="18"/>
                <w:color w:val="auto"/>
              </w:rPr>
              <w:t>Michael Tong</w:t>
            </w:r>
          </w:p>
        </w:tc>
        <w:tc>
          <w:tcPr>
            <w:tcW w:w="2340" w:type="dxa"/>
            <w:vAlign w:val="bottom"/>
          </w:tcPr>
          <w:p>
            <w:pPr>
              <w:jc w:val="center"/>
              <w:ind w:right="1013"/>
              <w:spacing w:after="0"/>
              <w:rPr>
                <w:sz w:val="20"/>
                <w:szCs w:val="20"/>
                <w:color w:val="auto"/>
              </w:rPr>
            </w:pPr>
            <w:r>
              <w:rPr>
                <w:rFonts w:ascii="Arial" w:cs="Arial" w:eastAsia="Arial" w:hAnsi="Arial"/>
                <w:sz w:val="18"/>
                <w:szCs w:val="18"/>
                <w:color w:val="auto"/>
                <w:w w:val="79"/>
              </w:rPr>
              <w:t>47</w:t>
            </w:r>
          </w:p>
        </w:tc>
        <w:tc>
          <w:tcPr>
            <w:tcW w:w="2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9"/>
                <w:szCs w:val="19"/>
                <w:color w:val="auto"/>
              </w:rPr>
            </w:pPr>
          </w:p>
        </w:tc>
      </w:tr>
      <w:tr>
        <w:trPr>
          <w:trHeight w:val="309"/>
        </w:trPr>
        <w:tc>
          <w:tcPr>
            <w:tcW w:w="5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560" w:type="dxa"/>
            <w:vAlign w:val="bottom"/>
            <w:gridSpan w:val="3"/>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2"/>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940" w:type="dxa"/>
            <w:vAlign w:val="bottom"/>
            <w:gridSpan w:val="4"/>
          </w:tcPr>
          <w:p>
            <w:pPr>
              <w:ind w:left="160"/>
              <w:spacing w:after="0"/>
              <w:rPr>
                <w:sz w:val="20"/>
                <w:szCs w:val="20"/>
                <w:color w:val="auto"/>
              </w:rPr>
            </w:pPr>
            <w:r>
              <w:rPr>
                <w:rFonts w:ascii="Arial" w:cs="Arial" w:eastAsia="Arial" w:hAnsi="Arial"/>
                <w:sz w:val="18"/>
                <w:szCs w:val="18"/>
                <w:color w:val="auto"/>
                <w:w w:val="92"/>
              </w:rPr>
              <w:t>Member of the audit, compensation and nominating committees.</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tcPr>
          <w:p>
            <w:pPr>
              <w:jc w:val="right"/>
              <w:ind w:right="1893"/>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5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225" w:lineRule="exact"/>
        <w:rPr>
          <w:sz w:val="20"/>
          <w:szCs w:val="20"/>
          <w:color w:val="auto"/>
        </w:rPr>
      </w:pPr>
    </w:p>
    <w:p>
      <w:pPr>
        <w:ind w:right="80" w:firstLine="639"/>
        <w:spacing w:after="0" w:line="251" w:lineRule="auto"/>
        <w:rPr>
          <w:sz w:val="20"/>
          <w:szCs w:val="20"/>
          <w:color w:val="auto"/>
        </w:rPr>
      </w:pPr>
      <w:r>
        <w:rPr>
          <w:rFonts w:ascii="Arial" w:cs="Arial" w:eastAsia="Arial" w:hAnsi="Arial"/>
          <w:sz w:val="18"/>
          <w:szCs w:val="18"/>
          <w:i w:val="1"/>
          <w:iCs w:val="1"/>
          <w:color w:val="auto"/>
        </w:rPr>
        <w:t>William Lei Ding</w:t>
      </w:r>
      <w:r>
        <w:rPr>
          <w:rFonts w:ascii="Arial" w:cs="Arial" w:eastAsia="Arial" w:hAnsi="Arial"/>
          <w:sz w:val="18"/>
          <w:szCs w:val="18"/>
          <w:color w:val="auto"/>
        </w:rPr>
        <w:t>, our founder, has served as a director since July 1999 and as our Chief Executive Officer since November 2005. From March 2001</w:t>
      </w:r>
      <w:r>
        <w:rPr>
          <w:rFonts w:ascii="Arial" w:cs="Arial" w:eastAsia="Arial" w:hAnsi="Arial"/>
          <w:sz w:val="18"/>
          <w:szCs w:val="18"/>
          <w:i w:val="1"/>
          <w:iCs w:val="1"/>
          <w:color w:val="auto"/>
        </w:rPr>
        <w:t xml:space="preserve"> </w:t>
      </w:r>
      <w:r>
        <w:rPr>
          <w:rFonts w:ascii="Arial" w:cs="Arial" w:eastAsia="Arial" w:hAnsi="Arial"/>
          <w:sz w:val="18"/>
          <w:szCs w:val="18"/>
          <w:color w:val="auto"/>
        </w:rPr>
        <w:t>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established Guangzhou NetEase and Shanghai EaseNet, our affiliates, in May 1997 and January 2008. Mr. Ding holds a Bachelor of Science degree in Communication Technology from the University of Electronic Science and Technology of China.</w:t>
      </w:r>
    </w:p>
    <w:p>
      <w:pPr>
        <w:spacing w:after="0" w:line="193"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i w:val="1"/>
          <w:iCs w:val="1"/>
          <w:color w:val="auto"/>
        </w:rPr>
        <w:t xml:space="preserve">Charles Zhaoxuan Yang </w:t>
      </w:r>
      <w:r>
        <w:rPr>
          <w:rFonts w:ascii="Arial" w:cs="Arial" w:eastAsia="Arial" w:hAnsi="Arial"/>
          <w:sz w:val="17"/>
          <w:szCs w:val="17"/>
          <w:color w:val="auto"/>
        </w:rPr>
        <w:t>has served as our Chief Financial Officer since June 30, 2017. Prior to joining us, Mr. Yang was an executive director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China technology, media and telecommunications, and corporate finance team at J.P. Morgan Securities (Asia Pacific) Limited based in Hong Kong for almost a decade. Mr. Yang holds a master’s degree in Business Administration from the University of Hong Kong and a bachelor’s degree from Wesleyan University with majors in Economics and Mathematics. Mr. Yang is a Certified Public Accountant licensed in the State of Michigan.</w:t>
      </w:r>
    </w:p>
    <w:p>
      <w:pPr>
        <w:spacing w:after="0" w:line="176" w:lineRule="exact"/>
        <w:rPr>
          <w:sz w:val="20"/>
          <w:szCs w:val="20"/>
          <w:color w:val="auto"/>
        </w:rPr>
      </w:pPr>
    </w:p>
    <w:p>
      <w:pPr>
        <w:ind w:right="200" w:firstLine="639"/>
        <w:spacing w:after="0" w:line="286" w:lineRule="auto"/>
        <w:rPr>
          <w:sz w:val="20"/>
          <w:szCs w:val="20"/>
          <w:color w:val="auto"/>
        </w:rPr>
      </w:pPr>
      <w:r>
        <w:rPr>
          <w:rFonts w:ascii="Arial" w:cs="Arial" w:eastAsia="Arial" w:hAnsi="Arial"/>
          <w:sz w:val="16"/>
          <w:szCs w:val="16"/>
          <w:i w:val="1"/>
          <w:iCs w:val="1"/>
          <w:color w:val="auto"/>
        </w:rPr>
        <w:t xml:space="preserve">Alice Cheng </w:t>
      </w:r>
      <w:r>
        <w:rPr>
          <w:rFonts w:ascii="Arial" w:cs="Arial" w:eastAsia="Arial" w:hAnsi="Arial"/>
          <w:sz w:val="16"/>
          <w:szCs w:val="16"/>
          <w:color w:val="auto"/>
        </w:rPr>
        <w:t>has served as a director since June 2007. Ms. Cheng has been the Chief Financial Officer of BBK Electronics Corp., Ltd., a PRC-based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of audio/visual equipment, since May 2005. From October 2010 to April 2013, she served as a supervisor of Wistron Information Technology Corporation in Taiwan, an information technology company with operations in Taiwan, China and Japan.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pacing w:after="0" w:line="170"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i w:val="1"/>
          <w:iCs w:val="1"/>
          <w:color w:val="auto"/>
        </w:rPr>
        <w:t xml:space="preserve">Denny Lee </w:t>
      </w:r>
      <w:r>
        <w:rPr>
          <w:rFonts w:ascii="Arial" w:cs="Arial" w:eastAsia="Arial" w:hAnsi="Arial"/>
          <w:sz w:val="18"/>
          <w:szCs w:val="18"/>
          <w:color w:val="auto"/>
        </w:rPr>
        <w:t>has served as a director since April 2002. Mr. Lee previously served as our Chief Financial Officer from April 2002 until June 2007 and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Financial Controller from November 2001 until April 2002. Prior to joining our company, Mr. Lee worked in the Hong Kong office of KPMG for more than ten years. Mr. Lee graduated from the Hong Kong Polytechnic University and is a member of the Hong Kong Institute of Certified Public Accountants and the Association of Chartered Certified Accountants. Mr. Lee currently serves as the chairman of the audit committees and an independent non-executive director on the boards of New Oriental Education &amp; Technology Group Inc., Concord Medical Services Holdings Limited, NIO Inc. and Jianpu Technology Inc., which are listed on the New York Stock Exchange, as well as China Metal Resources Utilization Ltd., which is listed on The Stock Exchange of Hong Kong Limited.</w:t>
      </w:r>
    </w:p>
    <w:p>
      <w:pPr>
        <w:spacing w:after="0" w:line="196" w:lineRule="exact"/>
        <w:rPr>
          <w:sz w:val="20"/>
          <w:szCs w:val="20"/>
          <w:color w:val="auto"/>
        </w:rPr>
      </w:pPr>
    </w:p>
    <w:p>
      <w:pPr>
        <w:ind w:right="120" w:firstLine="639"/>
        <w:spacing w:after="0" w:line="266" w:lineRule="auto"/>
        <w:rPr>
          <w:sz w:val="20"/>
          <w:szCs w:val="20"/>
          <w:color w:val="auto"/>
        </w:rPr>
      </w:pPr>
      <w:r>
        <w:rPr>
          <w:rFonts w:ascii="Arial" w:cs="Arial" w:eastAsia="Arial" w:hAnsi="Arial"/>
          <w:sz w:val="17"/>
          <w:szCs w:val="17"/>
          <w:i w:val="1"/>
          <w:iCs w:val="1"/>
          <w:color w:val="auto"/>
        </w:rPr>
        <w:t xml:space="preserve">Joseph Tong </w:t>
      </w:r>
      <w:r>
        <w:rPr>
          <w:rFonts w:ascii="Arial" w:cs="Arial" w:eastAsia="Arial" w:hAnsi="Arial"/>
          <w:sz w:val="17"/>
          <w:szCs w:val="17"/>
          <w:color w:val="auto"/>
        </w:rPr>
        <w:t>has been a director of Parworld Investment Management Limited, which provides financial and investment advisory services, since</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2004.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 Universal Music Limited where he was responsible for forming e-business development strategies and overseeing new promotional opportunities. Mr. Tong currently serves as the chairman of the audit committee and an independent director on the board of Crosby Capital Limited, which is listed on The Stock Exchange of Hong Kong Limited.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 and has served as a director since March 2003.</w:t>
      </w:r>
    </w:p>
    <w:p>
      <w:pPr>
        <w:spacing w:after="0" w:line="181"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i w:val="1"/>
          <w:iCs w:val="1"/>
          <w:color w:val="auto"/>
        </w:rPr>
        <w:t xml:space="preserve">Lun Feng </w:t>
      </w:r>
      <w:r>
        <w:rPr>
          <w:rFonts w:ascii="Arial" w:cs="Arial" w:eastAsia="Arial" w:hAnsi="Arial"/>
          <w:sz w:val="18"/>
          <w:szCs w:val="18"/>
          <w:color w:val="auto"/>
        </w:rPr>
        <w:t>has served as a director since July 2005. He has been the Chairman of Vantone Holdings Co., Ltd., a private real estate investment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China, since 1993. Mr. Feng has a Juris Doctor from the Chinese Academy of Social Sciences, a Masters of Law degree from the Party School of the Chinese Communist Party and a Bachelor of Arts in Economics from Northwest University.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639"/>
        <w:spacing w:after="0" w:line="266" w:lineRule="auto"/>
        <w:rPr>
          <w:sz w:val="20"/>
          <w:szCs w:val="20"/>
          <w:color w:val="auto"/>
        </w:rPr>
      </w:pPr>
      <w:r>
        <w:rPr>
          <w:rFonts w:ascii="Arial" w:cs="Arial" w:eastAsia="Arial" w:hAnsi="Arial"/>
          <w:sz w:val="17"/>
          <w:szCs w:val="17"/>
          <w:i w:val="1"/>
          <w:iCs w:val="1"/>
          <w:color w:val="auto"/>
        </w:rPr>
        <w:t xml:space="preserve">Michael Leung </w:t>
      </w:r>
      <w:r>
        <w:rPr>
          <w:rFonts w:ascii="Arial" w:cs="Arial" w:eastAsia="Arial" w:hAnsi="Arial"/>
          <w:sz w:val="17"/>
          <w:szCs w:val="17"/>
          <w:color w:val="auto"/>
        </w:rPr>
        <w:t>has served as a director since July 2002. Mr. Leung held senior positions with Peregrine Capital (China) Limited, SG Securities (HK)</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and an independent non-executive director of Anhui Expressway Company Limited, Junefield Department Store Group Limited and China Huiyuan Juice Group Limited, all of which are companies listed on The Stock Exchange of Hong Kong Limited. Mr. Leung currently serves as an independent non-executive director for China Ting Group Holdings Limited, Orange Sky Golden Harvest Entertainment (Holdings) Limited, Optics Valley Union Holding Company Limited and Luye Pharma Group Ltd., all of which are companies listed on The Stock Exchange of Hong Kong Limited. Mr. Leung received a Bachelor’s Degree in Social Sciences from the University of Hong Kong with a major in Accounting, Management and Statistics.</w:t>
      </w:r>
    </w:p>
    <w:p>
      <w:pPr>
        <w:spacing w:after="0" w:line="181" w:lineRule="exact"/>
        <w:rPr>
          <w:sz w:val="20"/>
          <w:szCs w:val="20"/>
          <w:color w:val="auto"/>
        </w:rPr>
      </w:pPr>
    </w:p>
    <w:p>
      <w:pPr>
        <w:ind w:right="40" w:firstLine="639"/>
        <w:spacing w:after="0" w:line="268" w:lineRule="auto"/>
        <w:rPr>
          <w:sz w:val="20"/>
          <w:szCs w:val="20"/>
          <w:color w:val="auto"/>
        </w:rPr>
      </w:pPr>
      <w:r>
        <w:rPr>
          <w:rFonts w:ascii="Arial" w:cs="Arial" w:eastAsia="Arial" w:hAnsi="Arial"/>
          <w:sz w:val="17"/>
          <w:szCs w:val="17"/>
          <w:i w:val="1"/>
          <w:iCs w:val="1"/>
          <w:color w:val="auto"/>
        </w:rPr>
        <w:t xml:space="preserve">Michael Tong </w:t>
      </w:r>
      <w:r>
        <w:rPr>
          <w:rFonts w:ascii="Arial" w:cs="Arial" w:eastAsia="Arial" w:hAnsi="Arial"/>
          <w:sz w:val="17"/>
          <w:szCs w:val="17"/>
          <w:color w:val="auto"/>
        </w:rPr>
        <w:t>has served as a director of our company since December 1999. He joined our company as an executive in May 2003 and later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our Co-Chief Operating Officer from July 2004 to March 2009. Before joining our company as an executive, Mr. Tong had approximately seven years of experience in the investment industry working in several venture capital and private equity firms, including Techpacific Venture Capital Limited, Softbank China Venture Investments Limited and Nomura China Venture Investment Limited. Mr. Tong is an independent non-executive director on the board of Beijing New Oriental Online Technology Co., Ltd. Mr. Tong graduated with a Bachelor of Business Administration from the University of Wisconsin, Madison with a major in Accounting and an extra concentration in Computer Science in 1993.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Among Directors or Executive Officers; Right to Nominate Directors</w:t>
      </w:r>
    </w:p>
    <w:p>
      <w:pPr>
        <w:spacing w:after="0" w:line="225" w:lineRule="exact"/>
        <w:rPr>
          <w:sz w:val="20"/>
          <w:szCs w:val="20"/>
          <w:color w:val="auto"/>
        </w:rPr>
      </w:pPr>
    </w:p>
    <w:p>
      <w:pPr>
        <w:ind w:right="20" w:firstLine="639"/>
        <w:spacing w:after="0" w:line="267" w:lineRule="auto"/>
        <w:rPr>
          <w:sz w:val="20"/>
          <w:szCs w:val="20"/>
          <w:color w:val="auto"/>
        </w:rPr>
      </w:pPr>
      <w:r>
        <w:rPr>
          <w:rFonts w:ascii="Arial" w:cs="Arial" w:eastAsia="Arial" w:hAnsi="Arial"/>
          <w:sz w:val="18"/>
          <w:szCs w:val="18"/>
          <w:color w:val="auto"/>
        </w:rPr>
        <w:t>There are no family relationships among any of the directors or executive officers of our company. None of our directors were nominated pursuant to a contractual or other right.</w:t>
      </w:r>
    </w:p>
    <w:p>
      <w:pPr>
        <w:spacing w:after="0" w:line="173" w:lineRule="exact"/>
        <w:rPr>
          <w:sz w:val="20"/>
          <w:szCs w:val="20"/>
          <w:color w:val="auto"/>
        </w:rPr>
      </w:pPr>
    </w:p>
    <w:p>
      <w:pPr>
        <w:jc w:val="both"/>
        <w:ind w:right="9640" w:firstLine="7"/>
        <w:spacing w:after="0" w:line="559" w:lineRule="auto"/>
        <w:tabs>
          <w:tab w:leader="none" w:pos="64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Director Compensation</w:t>
      </w:r>
    </w:p>
    <w:p>
      <w:pPr>
        <w:spacing w:after="0" w:line="1"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In 2018, we paid an aggregate amount of RMB1.7 million (US$244,410) in compensation for the services of our independent non-executive directors. On February 13, 2018, we also granted restricted share unit awards under our RSU Plan (described below) to each of our independent non-executive directors which vested on March 1, 2019. ADRs, representing less than 1% of our total outstanding ordinary shares, were given to the directors in settlement of such awards upon vesting.</w:t>
      </w:r>
    </w:p>
    <w:p>
      <w:pPr>
        <w:spacing w:after="0" w:line="193" w:lineRule="exact"/>
        <w:rPr>
          <w:sz w:val="20"/>
          <w:szCs w:val="20"/>
          <w:color w:val="auto"/>
        </w:rPr>
      </w:pPr>
    </w:p>
    <w:p>
      <w:pPr>
        <w:ind w:right="40" w:firstLine="639"/>
        <w:spacing w:after="0" w:line="304" w:lineRule="auto"/>
        <w:rPr>
          <w:sz w:val="20"/>
          <w:szCs w:val="20"/>
          <w:color w:val="auto"/>
        </w:rPr>
      </w:pPr>
      <w:r>
        <w:rPr>
          <w:rFonts w:ascii="Arial" w:cs="Arial" w:eastAsia="Arial" w:hAnsi="Arial"/>
          <w:sz w:val="16"/>
          <w:szCs w:val="16"/>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have service contracts with any of our directors which provide for benefits upon termination.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25" w:lineRule="exact"/>
        <w:rPr>
          <w:sz w:val="20"/>
          <w:szCs w:val="20"/>
          <w:color w:val="auto"/>
        </w:rPr>
      </w:pPr>
    </w:p>
    <w:p>
      <w:pPr>
        <w:ind w:right="480" w:firstLine="639"/>
        <w:spacing w:after="0" w:line="330" w:lineRule="auto"/>
        <w:rPr>
          <w:sz w:val="20"/>
          <w:szCs w:val="20"/>
          <w:color w:val="auto"/>
        </w:rPr>
      </w:pPr>
      <w:r>
        <w:rPr>
          <w:rFonts w:ascii="Arial" w:cs="Arial" w:eastAsia="Arial" w:hAnsi="Arial"/>
          <w:sz w:val="16"/>
          <w:szCs w:val="16"/>
          <w:color w:val="auto"/>
        </w:rPr>
        <w:t>In 2018, we paid our executive officers aggregate cash compensation of RMB5.5 million (US$0.8 million). We also granted restricted share unit awards under our RSU Plan to our Chief Financial Officer, which will represent less than 1% of our total outstanding ordinary shares upon vesting.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ind w:firstLine="639"/>
        <w:spacing w:after="0" w:line="273" w:lineRule="auto"/>
        <w:rPr>
          <w:sz w:val="20"/>
          <w:szCs w:val="20"/>
          <w:color w:val="auto"/>
        </w:rPr>
      </w:pPr>
      <w:r>
        <w:rPr>
          <w:rFonts w:ascii="Arial" w:cs="Arial" w:eastAsia="Arial" w:hAnsi="Arial"/>
          <w:sz w:val="17"/>
          <w:szCs w:val="17"/>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Restricted Share Unit Plan</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700" w:firstLine="639"/>
        <w:spacing w:after="0" w:line="296" w:lineRule="auto"/>
        <w:rPr>
          <w:sz w:val="20"/>
          <w:szCs w:val="20"/>
          <w:color w:val="auto"/>
        </w:rPr>
      </w:pPr>
      <w:r>
        <w:rPr>
          <w:rFonts w:ascii="Arial" w:cs="Arial" w:eastAsia="Arial" w:hAnsi="Arial"/>
          <w:sz w:val="17"/>
          <w:szCs w:val="17"/>
          <w:color w:val="auto"/>
        </w:rPr>
        <w:t>Our board approved our 2009 Restricted Share Unit Plan, or the RSU Plan, in November 2009. The RSU Plan was adopted by our board as a replacement for our Amended and Restated 2000 Stock Incentive Plan, which expired in February 2010 under its terms.</w:t>
      </w:r>
    </w:p>
    <w:p>
      <w:pPr>
        <w:spacing w:after="0" w:line="157" w:lineRule="exact"/>
        <w:rPr>
          <w:sz w:val="20"/>
          <w:szCs w:val="20"/>
          <w:color w:val="auto"/>
        </w:rPr>
      </w:pPr>
    </w:p>
    <w:p>
      <w:pPr>
        <w:ind w:firstLine="639"/>
        <w:spacing w:after="0" w:line="279" w:lineRule="auto"/>
        <w:rPr>
          <w:sz w:val="20"/>
          <w:szCs w:val="20"/>
          <w:color w:val="auto"/>
        </w:rPr>
      </w:pPr>
      <w:r>
        <w:rPr>
          <w:rFonts w:ascii="Arial" w:cs="Arial" w:eastAsia="Arial" w:hAnsi="Arial"/>
          <w:sz w:val="17"/>
          <w:szCs w:val="17"/>
          <w:color w:val="auto"/>
        </w:rPr>
        <w:t>The purpose of the RSU Plan is to attract and retain the best available personnel, to provide additional incentive to employees, directors and consultants and to promote the success of our business. The RSU Plan provides for the granting of incentive awards of restricted share units, which may or may not be granted with dividend equivalent rights. Participants under the RSU Plan will not receive any account status reports.</w:t>
      </w:r>
    </w:p>
    <w:p>
      <w:pPr>
        <w:spacing w:after="0" w:line="171" w:lineRule="exact"/>
        <w:rPr>
          <w:sz w:val="20"/>
          <w:szCs w:val="20"/>
          <w:color w:val="auto"/>
        </w:rPr>
      </w:pPr>
    </w:p>
    <w:p>
      <w:pPr>
        <w:ind w:right="120" w:firstLine="639"/>
        <w:spacing w:after="0" w:line="267" w:lineRule="auto"/>
        <w:rPr>
          <w:sz w:val="20"/>
          <w:szCs w:val="20"/>
          <w:color w:val="auto"/>
        </w:rPr>
      </w:pPr>
      <w:r>
        <w:rPr>
          <w:rFonts w:ascii="Arial" w:cs="Arial" w:eastAsia="Arial" w:hAnsi="Arial"/>
          <w:sz w:val="18"/>
          <w:szCs w:val="18"/>
          <w:color w:val="auto"/>
        </w:rPr>
        <w:t>The RSU Plan is not subject to the Employee Retirement Income Security Act of 1974, as amended, nor is the RSU Plan a “qualified plan” within the meaning of Section 401(a) of the Internal Revenue Code of 1986, as amended.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Plan Administration</w:t>
      </w:r>
    </w:p>
    <w:p>
      <w:pPr>
        <w:spacing w:after="0" w:line="225" w:lineRule="exact"/>
        <w:rPr>
          <w:sz w:val="20"/>
          <w:szCs w:val="20"/>
          <w:color w:val="auto"/>
        </w:rPr>
      </w:pPr>
    </w:p>
    <w:p>
      <w:pPr>
        <w:ind w:right="320" w:firstLine="639"/>
        <w:spacing w:after="0" w:line="267" w:lineRule="auto"/>
        <w:rPr>
          <w:sz w:val="20"/>
          <w:szCs w:val="20"/>
          <w:color w:val="auto"/>
        </w:rPr>
      </w:pPr>
      <w:r>
        <w:rPr>
          <w:rFonts w:ascii="Arial" w:cs="Arial" w:eastAsia="Arial" w:hAnsi="Arial"/>
          <w:sz w:val="18"/>
          <w:szCs w:val="18"/>
          <w:color w:val="auto"/>
        </w:rPr>
        <w:t>Our board has designated our compensation committee to administer the RSU Plan, and it may designate one or more of our officers to exercise its authority thereunder from time to time.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Securities Subject to the RSU Plan</w:t>
      </w:r>
    </w:p>
    <w:p>
      <w:pPr>
        <w:spacing w:after="0" w:line="225" w:lineRule="exact"/>
        <w:rPr>
          <w:sz w:val="20"/>
          <w:szCs w:val="20"/>
          <w:color w:val="auto"/>
        </w:rPr>
      </w:pPr>
    </w:p>
    <w:p>
      <w:pPr>
        <w:ind w:right="160" w:firstLine="639"/>
        <w:spacing w:after="0" w:line="253" w:lineRule="auto"/>
        <w:rPr>
          <w:sz w:val="20"/>
          <w:szCs w:val="20"/>
          <w:color w:val="auto"/>
        </w:rPr>
      </w:pPr>
      <w:r>
        <w:rPr>
          <w:rFonts w:ascii="Arial" w:cs="Arial" w:eastAsia="Arial" w:hAnsi="Arial"/>
          <w:sz w:val="18"/>
          <w:szCs w:val="18"/>
          <w:color w:val="auto"/>
        </w:rPr>
        <w:t>The maximum aggregate number of our ordinary shares which may be issued pursuant to all awards under the RSU Plan is 323,694,050 ordinary shares. Such ordinary shares may, in whole or in part, be authorized but unissued shares or shares that will have been or may be reacquired by us. It is anticipated that all future awards to our employees, directors and consultants will be granted pursuant to the RSU Plan or any other future plan adopted by our board and, if appropriate, our shareholders.</w:t>
      </w:r>
    </w:p>
    <w:p>
      <w:pPr>
        <w:spacing w:after="0" w:line="193" w:lineRule="exact"/>
        <w:rPr>
          <w:sz w:val="20"/>
          <w:szCs w:val="20"/>
          <w:color w:val="auto"/>
        </w:rPr>
      </w:pPr>
    </w:p>
    <w:p>
      <w:pPr>
        <w:ind w:right="40" w:firstLine="639"/>
        <w:spacing w:after="0" w:line="268" w:lineRule="auto"/>
        <w:rPr>
          <w:sz w:val="20"/>
          <w:szCs w:val="20"/>
          <w:color w:val="auto"/>
        </w:rPr>
      </w:pPr>
      <w:r>
        <w:rPr>
          <w:rFonts w:ascii="Arial" w:cs="Arial" w:eastAsia="Arial" w:hAnsi="Arial"/>
          <w:sz w:val="17"/>
          <w:szCs w:val="17"/>
          <w:color w:val="auto"/>
        </w:rPr>
        <w:t>The RSU Plan provides that in the event of certain corporate transactions, including specified types of mergers and acquisition transactions, each outstanding award granted under the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RSU Plan.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Eligibility</w:t>
      </w:r>
    </w:p>
    <w:p>
      <w:pPr>
        <w:spacing w:after="0" w:line="225" w:lineRule="exact"/>
        <w:rPr>
          <w:sz w:val="20"/>
          <w:szCs w:val="20"/>
          <w:color w:val="auto"/>
        </w:rPr>
      </w:pPr>
    </w:p>
    <w:p>
      <w:pPr>
        <w:ind w:right="40" w:firstLine="639"/>
        <w:spacing w:after="0" w:line="267" w:lineRule="auto"/>
        <w:rPr>
          <w:sz w:val="20"/>
          <w:szCs w:val="20"/>
          <w:color w:val="auto"/>
        </w:rPr>
      </w:pPr>
      <w:r>
        <w:rPr>
          <w:rFonts w:ascii="Arial" w:cs="Arial" w:eastAsia="Arial" w:hAnsi="Arial"/>
          <w:sz w:val="18"/>
          <w:szCs w:val="18"/>
          <w:color w:val="auto"/>
        </w:rPr>
        <w:t>Under the RSU Plan, awards can be issued to participants in the RSU Plan, which include employees, directors or consultants of us, our subsidiaries or our VIEs.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Awards under the RSU Plan</w:t>
      </w:r>
    </w:p>
    <w:p>
      <w:pPr>
        <w:spacing w:after="0" w:line="225" w:lineRule="exact"/>
        <w:rPr>
          <w:sz w:val="20"/>
          <w:szCs w:val="20"/>
          <w:color w:val="auto"/>
        </w:rPr>
      </w:pPr>
    </w:p>
    <w:p>
      <w:pPr>
        <w:jc w:val="both"/>
        <w:ind w:right="120" w:firstLine="639"/>
        <w:spacing w:after="0" w:line="257" w:lineRule="auto"/>
        <w:rPr>
          <w:sz w:val="20"/>
          <w:szCs w:val="20"/>
          <w:color w:val="auto"/>
        </w:rPr>
      </w:pPr>
      <w:r>
        <w:rPr>
          <w:rFonts w:ascii="Arial" w:cs="Arial" w:eastAsia="Arial" w:hAnsi="Arial"/>
          <w:sz w:val="18"/>
          <w:szCs w:val="18"/>
          <w:color w:val="auto"/>
        </w:rPr>
        <w:t>Awards under the RSU Plan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88" w:lineRule="exact"/>
        <w:rPr>
          <w:sz w:val="20"/>
          <w:szCs w:val="20"/>
          <w:color w:val="auto"/>
        </w:rPr>
      </w:pPr>
    </w:p>
    <w:p>
      <w:pPr>
        <w:ind w:right="60" w:firstLine="639"/>
        <w:spacing w:after="0" w:line="268" w:lineRule="auto"/>
        <w:rPr>
          <w:sz w:val="20"/>
          <w:szCs w:val="20"/>
          <w:color w:val="auto"/>
        </w:rPr>
      </w:pPr>
      <w:r>
        <w:rPr>
          <w:rFonts w:ascii="Arial" w:cs="Arial" w:eastAsia="Arial" w:hAnsi="Arial"/>
          <w:sz w:val="17"/>
          <w:szCs w:val="17"/>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purchase price, if any, for an award shall be determined by our board. The units can ultimately be paid in cash or ordinary shares, as our board determines.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Conditions of Awards</w:t>
      </w:r>
    </w:p>
    <w:p>
      <w:pPr>
        <w:spacing w:after="0" w:line="225" w:lineRule="exact"/>
        <w:rPr>
          <w:sz w:val="20"/>
          <w:szCs w:val="20"/>
          <w:color w:val="auto"/>
        </w:rPr>
      </w:pPr>
    </w:p>
    <w:p>
      <w:pPr>
        <w:ind w:right="240" w:firstLine="639"/>
        <w:spacing w:after="0" w:line="295" w:lineRule="auto"/>
        <w:rPr>
          <w:sz w:val="20"/>
          <w:szCs w:val="20"/>
          <w:color w:val="auto"/>
        </w:rPr>
      </w:pPr>
      <w:r>
        <w:rPr>
          <w:rFonts w:ascii="Arial" w:cs="Arial" w:eastAsia="Arial" w:hAnsi="Arial"/>
          <w:sz w:val="16"/>
          <w:szCs w:val="16"/>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Termination of Service</w:t>
      </w:r>
    </w:p>
    <w:p>
      <w:pPr>
        <w:spacing w:after="0" w:line="225" w:lineRule="exact"/>
        <w:rPr>
          <w:sz w:val="20"/>
          <w:szCs w:val="20"/>
          <w:color w:val="auto"/>
        </w:rPr>
      </w:pPr>
    </w:p>
    <w:p>
      <w:pPr>
        <w:ind w:right="80" w:firstLine="639"/>
        <w:spacing w:after="0" w:line="279" w:lineRule="auto"/>
        <w:rPr>
          <w:sz w:val="20"/>
          <w:szCs w:val="20"/>
          <w:color w:val="auto"/>
        </w:rPr>
      </w:pPr>
      <w:r>
        <w:rPr>
          <w:rFonts w:ascii="Arial" w:cs="Arial" w:eastAsia="Arial" w:hAnsi="Arial"/>
          <w:sz w:val="17"/>
          <w:szCs w:val="17"/>
          <w:color w:val="auto"/>
        </w:rPr>
        <w:t>In the event of the termination of the participant’s employment or service with us for any reason prior to the vesting of any restricted share units, such unvested units held by the participant shall be automatically forfeited as of the date of termination. Neither the participant nor any of the participant’s successors, heirs, assigns or personal representatives shall have any rights or interests in any restricted share units that are so forfeited.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Amendment; Termination</w:t>
      </w:r>
    </w:p>
    <w:p>
      <w:pPr>
        <w:spacing w:after="0" w:line="225" w:lineRule="exact"/>
        <w:rPr>
          <w:sz w:val="20"/>
          <w:szCs w:val="20"/>
          <w:color w:val="auto"/>
        </w:rPr>
      </w:pPr>
    </w:p>
    <w:p>
      <w:pPr>
        <w:jc w:val="both"/>
        <w:ind w:right="120" w:firstLine="639"/>
        <w:spacing w:after="0" w:line="304" w:lineRule="auto"/>
        <w:rPr>
          <w:sz w:val="20"/>
          <w:szCs w:val="20"/>
          <w:color w:val="auto"/>
        </w:rPr>
      </w:pPr>
      <w:r>
        <w:rPr>
          <w:rFonts w:ascii="Arial" w:cs="Arial" w:eastAsia="Arial" w:hAnsi="Arial"/>
          <w:sz w:val="16"/>
          <w:szCs w:val="16"/>
          <w:color w:val="auto"/>
        </w:rPr>
        <w:t>Under the RSU Plan, our board may at any time terminate, suspend, or amend the RSU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RSU Plan will expire in November 2019.</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Non-Transferability of Awards</w:t>
      </w:r>
    </w:p>
    <w:p>
      <w:pPr>
        <w:spacing w:after="0" w:line="225"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Under the RSU Plan, awards may not be sold, assigned, transferred, pledged, hypothecated or otherwise disposed of, except by will or by the laws of descent and distribution and during the lifetime of the participants, to the extent and in the manner provided in the award agreement. The RSU Plan permits the designation of beneficiaries by holders of awards in the event of the participant’s death. After any such transfer, the original recipient shall continue to remain subject to the withholding tax requirements described below.</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Payment of Taxes</w:t>
      </w:r>
    </w:p>
    <w:p>
      <w:pPr>
        <w:spacing w:after="0" w:line="225" w:lineRule="exact"/>
        <w:rPr>
          <w:sz w:val="20"/>
          <w:szCs w:val="20"/>
          <w:color w:val="auto"/>
        </w:rPr>
      </w:pPr>
    </w:p>
    <w:p>
      <w:pPr>
        <w:ind w:firstLine="639"/>
        <w:spacing w:after="0" w:line="257" w:lineRule="auto"/>
        <w:rPr>
          <w:sz w:val="20"/>
          <w:szCs w:val="20"/>
          <w:color w:val="auto"/>
        </w:rPr>
      </w:pPr>
      <w:r>
        <w:rPr>
          <w:rFonts w:ascii="Arial" w:cs="Arial" w:eastAsia="Arial" w:hAnsi="Arial"/>
          <w:sz w:val="18"/>
          <w:szCs w:val="18"/>
          <w:color w:val="auto"/>
        </w:rPr>
        <w:t>No ordinary shares shall be delivered under the RSU Plan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Incentive Plans</w:t>
      </w:r>
    </w:p>
    <w:p>
      <w:pPr>
        <w:spacing w:after="0" w:line="225" w:lineRule="exact"/>
        <w:rPr>
          <w:sz w:val="20"/>
          <w:szCs w:val="20"/>
          <w:color w:val="auto"/>
        </w:rPr>
      </w:pPr>
    </w:p>
    <w:p>
      <w:pPr>
        <w:ind w:right="220" w:firstLine="639"/>
        <w:spacing w:after="0" w:line="253" w:lineRule="auto"/>
        <w:rPr>
          <w:sz w:val="20"/>
          <w:szCs w:val="20"/>
          <w:color w:val="auto"/>
        </w:rPr>
      </w:pPr>
      <w:r>
        <w:rPr>
          <w:rFonts w:ascii="Arial" w:cs="Arial" w:eastAsia="Arial" w:hAnsi="Arial"/>
          <w:sz w:val="18"/>
          <w:szCs w:val="18"/>
          <w:color w:val="auto"/>
        </w:rPr>
        <w:t>Certain of our subsidiaries have adopted their own equity incentive plans, which allow the relevant subsidiaries to grant options or other awards to certain of our employees. The options expire in five to seven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w:t>
      </w:r>
    </w:p>
    <w:p>
      <w:pPr>
        <w:spacing w:after="0" w:line="187" w:lineRule="exact"/>
        <w:rPr>
          <w:sz w:val="20"/>
          <w:szCs w:val="20"/>
          <w:color w:val="auto"/>
        </w:rPr>
      </w:pPr>
    </w:p>
    <w:p>
      <w:pPr>
        <w:ind w:left="660" w:hanging="653"/>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5" w:lineRule="exact"/>
        <w:rPr>
          <w:sz w:val="20"/>
          <w:szCs w:val="20"/>
          <w:color w:val="auto"/>
        </w:rPr>
      </w:pPr>
    </w:p>
    <w:p>
      <w:pPr>
        <w:ind w:firstLine="639"/>
        <w:spacing w:after="0" w:line="252" w:lineRule="auto"/>
        <w:rPr>
          <w:sz w:val="20"/>
          <w:szCs w:val="20"/>
          <w:color w:val="auto"/>
        </w:rPr>
      </w:pPr>
      <w:r>
        <w:rPr>
          <w:rFonts w:ascii="Arial" w:cs="Arial" w:eastAsia="Arial" w:hAnsi="Arial"/>
          <w:sz w:val="18"/>
          <w:szCs w:val="18"/>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September 7, 2018.</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60" w:firstLine="639"/>
        <w:spacing w:after="0" w:line="267" w:lineRule="auto"/>
        <w:rPr>
          <w:sz w:val="20"/>
          <w:szCs w:val="20"/>
          <w:color w:val="auto"/>
        </w:rPr>
      </w:pPr>
      <w:r>
        <w:rPr>
          <w:rFonts w:ascii="Arial" w:cs="Arial" w:eastAsia="Arial" w:hAnsi="Arial"/>
          <w:sz w:val="18"/>
          <w:szCs w:val="18"/>
          <w:color w:val="auto"/>
        </w:rPr>
        <w:t>Our board has three committees, the audit committee, the compensation committee and the nominating committee. Alice Cheng, Joseph Tong and Michael Leung are currently the members of each of these committees.</w:t>
      </w:r>
    </w:p>
    <w:p>
      <w:pPr>
        <w:spacing w:after="0" w:line="179" w:lineRule="exact"/>
        <w:rPr>
          <w:sz w:val="20"/>
          <w:szCs w:val="20"/>
          <w:color w:val="auto"/>
        </w:rPr>
      </w:pPr>
    </w:p>
    <w:p>
      <w:pPr>
        <w:ind w:right="100" w:firstLine="639"/>
        <w:spacing w:after="0" w:line="295" w:lineRule="auto"/>
        <w:rPr>
          <w:sz w:val="20"/>
          <w:szCs w:val="20"/>
          <w:color w:val="auto"/>
        </w:rPr>
      </w:pPr>
      <w:r>
        <w:rPr>
          <w:rFonts w:ascii="Arial" w:cs="Arial" w:eastAsia="Arial" w:hAnsi="Arial"/>
          <w:sz w:val="16"/>
          <w:szCs w:val="16"/>
          <w:color w:val="auto"/>
        </w:rPr>
        <w:t>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61" w:lineRule="exact"/>
        <w:rPr>
          <w:sz w:val="20"/>
          <w:szCs w:val="20"/>
          <w:color w:val="auto"/>
        </w:rPr>
      </w:pPr>
    </w:p>
    <w:p>
      <w:pPr>
        <w:ind w:right="40" w:firstLine="639"/>
        <w:spacing w:after="0" w:line="266" w:lineRule="auto"/>
        <w:rPr>
          <w:sz w:val="20"/>
          <w:szCs w:val="20"/>
          <w:color w:val="auto"/>
        </w:rPr>
      </w:pPr>
      <w:r>
        <w:rPr>
          <w:rFonts w:ascii="Arial" w:cs="Arial" w:eastAsia="Arial" w:hAnsi="Arial"/>
          <w:sz w:val="17"/>
          <w:szCs w:val="17"/>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85"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88"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w:t>
      </w:r>
    </w:p>
    <w:p>
      <w:pPr>
        <w:spacing w:after="0"/>
        <w:rPr>
          <w:sz w:val="20"/>
          <w:szCs w:val="20"/>
          <w:color w:val="auto"/>
        </w:rPr>
      </w:pPr>
      <w:r>
        <w:rPr>
          <w:rFonts w:ascii="Arial" w:cs="Arial" w:eastAsia="Arial" w:hAnsi="Arial"/>
          <w:sz w:val="18"/>
          <w:szCs w:val="18"/>
          <w:color w:val="auto"/>
        </w:rPr>
        <w:t>(2).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5" w:lineRule="exact"/>
        <w:rPr>
          <w:sz w:val="20"/>
          <w:szCs w:val="20"/>
          <w:color w:val="auto"/>
        </w:rPr>
      </w:pPr>
    </w:p>
    <w:p>
      <w:pPr>
        <w:ind w:right="440" w:firstLine="639"/>
        <w:spacing w:after="0" w:line="267" w:lineRule="auto"/>
        <w:rPr>
          <w:sz w:val="20"/>
          <w:szCs w:val="20"/>
          <w:color w:val="auto"/>
        </w:rPr>
      </w:pPr>
      <w:r>
        <w:rPr>
          <w:rFonts w:ascii="Arial" w:cs="Arial" w:eastAsia="Arial" w:hAnsi="Arial"/>
          <w:sz w:val="18"/>
          <w:szCs w:val="18"/>
          <w:color w:val="auto"/>
        </w:rPr>
        <w:t>No interlocking relationships have existed between our board of directors or compensation committee and the board of directors or compensation committee of any other company.</w:t>
      </w:r>
    </w:p>
    <w:p>
      <w:pPr>
        <w:spacing w:after="0" w:line="173" w:lineRule="exact"/>
        <w:rPr>
          <w:sz w:val="20"/>
          <w:szCs w:val="20"/>
          <w:color w:val="auto"/>
        </w:rPr>
      </w:pPr>
    </w:p>
    <w:p>
      <w:pPr>
        <w:ind w:left="660" w:hanging="653"/>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5" w:lineRule="exact"/>
        <w:rPr>
          <w:rFonts w:ascii="Arial" w:cs="Arial" w:eastAsia="Arial" w:hAnsi="Arial"/>
          <w:sz w:val="18"/>
          <w:szCs w:val="18"/>
          <w:b w:val="1"/>
          <w:bCs w:val="1"/>
          <w:color w:val="auto"/>
        </w:rPr>
      </w:pPr>
    </w:p>
    <w:p>
      <w:pPr>
        <w:ind w:left="640" w:right="28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2017 and 2018, we had 15,748, 18,129 and 22,726 full-time employees, respectively. The following table sets forth information regarding our staff as of December 31,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Online game</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8,197</w:t>
            </w:r>
          </w:p>
        </w:tc>
      </w:tr>
      <w:tr>
        <w:trPr>
          <w:trHeight w:val="213"/>
        </w:trPr>
        <w:tc>
          <w:tcPr>
            <w:tcW w:w="9960" w:type="dxa"/>
            <w:vAlign w:val="bottom"/>
          </w:tcPr>
          <w:p>
            <w:pPr>
              <w:spacing w:after="0"/>
              <w:rPr>
                <w:sz w:val="20"/>
                <w:szCs w:val="20"/>
                <w:color w:val="auto"/>
              </w:rPr>
            </w:pPr>
            <w:r>
              <w:rPr>
                <w:rFonts w:ascii="Arial" w:cs="Arial" w:eastAsia="Arial" w:hAnsi="Arial"/>
                <w:sz w:val="18"/>
                <w:szCs w:val="18"/>
                <w:color w:val="auto"/>
              </w:rPr>
              <w:t>Online Game Customer service</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r>
      <w:tr>
        <w:trPr>
          <w:trHeight w:val="213"/>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w:t>
            </w:r>
          </w:p>
        </w:tc>
      </w:tr>
      <w:tr>
        <w:trPr>
          <w:trHeight w:val="213"/>
        </w:trPr>
        <w:tc>
          <w:tcPr>
            <w:tcW w:w="9960" w:type="dxa"/>
            <w:vAlign w:val="bottom"/>
          </w:tcPr>
          <w:p>
            <w:pPr>
              <w:spacing w:after="0"/>
              <w:rPr>
                <w:sz w:val="20"/>
                <w:szCs w:val="20"/>
                <w:color w:val="auto"/>
              </w:rPr>
            </w:pPr>
            <w:r>
              <w:rPr>
                <w:rFonts w:ascii="Arial" w:cs="Arial" w:eastAsia="Arial" w:hAnsi="Arial"/>
                <w:sz w:val="18"/>
                <w:szCs w:val="18"/>
                <w:color w:val="auto"/>
              </w:rPr>
              <w:t>Advertising services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r>
      <w:tr>
        <w:trPr>
          <w:trHeight w:val="213"/>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r>
      <w:tr>
        <w:trPr>
          <w:trHeight w:val="213"/>
        </w:trPr>
        <w:tc>
          <w:tcPr>
            <w:tcW w:w="9960" w:type="dxa"/>
            <w:vAlign w:val="bottom"/>
          </w:tcPr>
          <w:p>
            <w:pPr>
              <w:spacing w:after="0"/>
              <w:rPr>
                <w:sz w:val="20"/>
                <w:szCs w:val="20"/>
                <w:color w:val="auto"/>
              </w:rPr>
            </w:pPr>
            <w:r>
              <w:rPr>
                <w:rFonts w:ascii="Arial" w:cs="Arial" w:eastAsia="Arial" w:hAnsi="Arial"/>
                <w:sz w:val="18"/>
                <w:szCs w:val="18"/>
                <w:color w:val="auto"/>
              </w:rPr>
              <w:t>E-mail</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3"/>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r>
      <w:tr>
        <w:trPr>
          <w:trHeight w:val="213"/>
        </w:trPr>
        <w:tc>
          <w:tcPr>
            <w:tcW w:w="9960" w:type="dxa"/>
            <w:vAlign w:val="bottom"/>
          </w:tcPr>
          <w:p>
            <w:pPr>
              <w:spacing w:after="0"/>
              <w:rPr>
                <w:sz w:val="20"/>
                <w:szCs w:val="20"/>
                <w:color w:val="auto"/>
              </w:rPr>
            </w:pPr>
            <w:r>
              <w:rPr>
                <w:rFonts w:ascii="Arial" w:cs="Arial" w:eastAsia="Arial" w:hAnsi="Arial"/>
                <w:sz w:val="18"/>
                <w:szCs w:val="18"/>
                <w:color w:val="auto"/>
              </w:rPr>
              <w:t>Others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06"/>
        </w:trPr>
        <w:tc>
          <w:tcPr>
            <w:tcW w:w="99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as of December 31, 2018, we had approximately 1,922 part-time employees.</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employees are represented by a labor union.</w:t>
      </w:r>
    </w:p>
    <w:p>
      <w:pPr>
        <w:spacing w:after="0" w:line="219" w:lineRule="exact"/>
        <w:rPr>
          <w:sz w:val="20"/>
          <w:szCs w:val="20"/>
          <w:color w:val="auto"/>
        </w:rPr>
      </w:pPr>
    </w:p>
    <w:p>
      <w:pPr>
        <w:jc w:val="both"/>
        <w:ind w:right="460" w:firstLine="639"/>
        <w:spacing w:after="0" w:line="257" w:lineRule="auto"/>
        <w:rPr>
          <w:sz w:val="20"/>
          <w:szCs w:val="20"/>
          <w:color w:val="auto"/>
        </w:rPr>
      </w:pPr>
      <w:r>
        <w:rPr>
          <w:rFonts w:ascii="Arial" w:cs="Arial" w:eastAsia="Arial" w:hAnsi="Arial"/>
          <w:sz w:val="18"/>
          <w:szCs w:val="18"/>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82" w:lineRule="exact"/>
        <w:rPr>
          <w:sz w:val="20"/>
          <w:szCs w:val="20"/>
          <w:color w:val="auto"/>
        </w:rPr>
      </w:pPr>
    </w:p>
    <w:p>
      <w:pPr>
        <w:ind w:left="640" w:hanging="633"/>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5" w:lineRule="exact"/>
        <w:rPr>
          <w:sz w:val="20"/>
          <w:szCs w:val="20"/>
          <w:color w:val="auto"/>
        </w:rPr>
      </w:pPr>
    </w:p>
    <w:p>
      <w:pPr>
        <w:ind w:right="80" w:firstLine="639"/>
        <w:spacing w:after="0" w:line="267" w:lineRule="auto"/>
        <w:rPr>
          <w:sz w:val="20"/>
          <w:szCs w:val="20"/>
          <w:color w:val="auto"/>
        </w:rPr>
      </w:pPr>
      <w:r>
        <w:rPr>
          <w:rFonts w:ascii="Arial" w:cs="Arial" w:eastAsia="Arial" w:hAnsi="Arial"/>
          <w:sz w:val="18"/>
          <w:szCs w:val="18"/>
          <w:color w:val="auto"/>
        </w:rPr>
        <w:t>The table in this section sets forth certain information known to us with respect to the beneficial ownership as of December 31, 2018 (unless otherwise indicated) by:</w:t>
      </w:r>
    </w:p>
    <w:p>
      <w:pPr>
        <w:spacing w:after="0" w:line="179" w:lineRule="exact"/>
        <w:rPr>
          <w:sz w:val="20"/>
          <w:szCs w:val="20"/>
          <w:color w:val="auto"/>
        </w:rPr>
      </w:pPr>
    </w:p>
    <w:p>
      <w:pPr>
        <w:ind w:left="620" w:hanging="294"/>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persons who are beneficial owners of 5% or more of our ordinary shares,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Chief Executive Officer and Chief Financial Officer,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19"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As of December 31, 2018, 3,199,018,406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Number of Shares</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7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gridSpan w:val="7"/>
          </w:tcPr>
          <w:p>
            <w:pPr>
              <w:jc w:val="right"/>
              <w:ind w:right="1480"/>
              <w:spacing w:after="0"/>
              <w:rPr>
                <w:sz w:val="20"/>
                <w:szCs w:val="20"/>
                <w:color w:val="auto"/>
              </w:rPr>
            </w:pPr>
            <w:r>
              <w:rPr>
                <w:rFonts w:ascii="Arial" w:cs="Arial" w:eastAsia="Arial" w:hAnsi="Arial"/>
                <w:sz w:val="14"/>
                <w:szCs w:val="14"/>
                <w:b w:val="1"/>
                <w:bCs w:val="1"/>
                <w:color w:val="auto"/>
              </w:rPr>
              <w:t>Beneficially Owned</w:t>
            </w:r>
          </w:p>
        </w:tc>
      </w:tr>
      <w:tr>
        <w:trPr>
          <w:trHeight w:val="140"/>
        </w:trPr>
        <w:tc>
          <w:tcPr>
            <w:tcW w:w="7780" w:type="dxa"/>
            <w:vAlign w:val="bottom"/>
          </w:tcPr>
          <w:p>
            <w:pPr>
              <w:spacing w:after="0"/>
              <w:rPr>
                <w:sz w:val="12"/>
                <w:szCs w:val="12"/>
                <w:color w:val="auto"/>
              </w:rPr>
            </w:pPr>
          </w:p>
        </w:tc>
        <w:tc>
          <w:tcPr>
            <w:tcW w:w="2120" w:type="dxa"/>
            <w:vAlign w:val="bottom"/>
            <w:tcBorders>
              <w:top w:val="single" w:sz="8" w:color="auto"/>
            </w:tcBorders>
            <w:gridSpan w:val="5"/>
          </w:tcPr>
          <w:p>
            <w:pPr>
              <w:jc w:val="right"/>
              <w:ind w:right="1180"/>
              <w:spacing w:after="0" w:line="140" w:lineRule="exact"/>
              <w:rPr>
                <w:sz w:val="20"/>
                <w:szCs w:val="20"/>
                <w:color w:val="auto"/>
              </w:rPr>
            </w:pPr>
            <w:r>
              <w:rPr>
                <w:rFonts w:ascii="Arial" w:cs="Arial" w:eastAsia="Arial" w:hAnsi="Arial"/>
                <w:sz w:val="14"/>
                <w:szCs w:val="14"/>
                <w:b w:val="1"/>
                <w:bCs w:val="1"/>
                <w:color w:val="auto"/>
              </w:rPr>
              <w:t>Number</w:t>
            </w:r>
          </w:p>
        </w:tc>
        <w:tc>
          <w:tcPr>
            <w:tcW w:w="1020" w:type="dxa"/>
            <w:vAlign w:val="bottom"/>
            <w:tcBorders>
              <w:top w:val="single" w:sz="8" w:color="auto"/>
            </w:tcBorders>
          </w:tcPr>
          <w:p>
            <w:pPr>
              <w:jc w:val="right"/>
              <w:ind w:right="274"/>
              <w:spacing w:after="0" w:line="140" w:lineRule="exact"/>
              <w:rPr>
                <w:sz w:val="20"/>
                <w:szCs w:val="20"/>
                <w:color w:val="auto"/>
              </w:rPr>
            </w:pPr>
            <w:r>
              <w:rPr>
                <w:rFonts w:ascii="Arial" w:cs="Arial" w:eastAsia="Arial" w:hAnsi="Arial"/>
                <w:sz w:val="14"/>
                <w:szCs w:val="14"/>
                <w:b w:val="1"/>
                <w:bCs w:val="1"/>
                <w:color w:val="auto"/>
                <w:w w:val="84"/>
              </w:rPr>
              <w:t>Percentage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3"/>
        </w:trPr>
        <w:tc>
          <w:tcPr>
            <w:tcW w:w="77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5% Shareholder</w:t>
            </w:r>
          </w:p>
        </w:tc>
        <w:tc>
          <w:tcPr>
            <w:tcW w:w="4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01"/>
        </w:trPr>
        <w:tc>
          <w:tcPr>
            <w:tcW w:w="7780" w:type="dxa"/>
            <w:vAlign w:val="bottom"/>
          </w:tcPr>
          <w:p>
            <w:pPr>
              <w:spacing w:after="0" w:line="201" w:lineRule="exact"/>
              <w:rPr>
                <w:sz w:val="20"/>
                <w:szCs w:val="20"/>
                <w:color w:val="auto"/>
              </w:rPr>
            </w:pPr>
            <w:r>
              <w:rPr>
                <w:rFonts w:ascii="Arial" w:cs="Arial" w:eastAsia="Arial" w:hAnsi="Arial"/>
                <w:sz w:val="18"/>
                <w:szCs w:val="18"/>
                <w:color w:val="auto"/>
              </w:rPr>
              <w:t>Shining Globe International Limited/William Lei Ding</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c/o NetEase, Inc., Building No. 7, West</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7780" w:type="dxa"/>
            <w:vAlign w:val="bottom"/>
          </w:tcPr>
          <w:p>
            <w:pPr>
              <w:ind w:left="180"/>
              <w:spacing w:after="0"/>
              <w:rPr>
                <w:sz w:val="20"/>
                <w:szCs w:val="20"/>
                <w:color w:val="auto"/>
              </w:rPr>
            </w:pPr>
            <w:r>
              <w:rPr>
                <w:rFonts w:ascii="Arial" w:cs="Arial" w:eastAsia="Arial" w:hAnsi="Arial"/>
                <w:sz w:val="18"/>
                <w:szCs w:val="18"/>
                <w:color w:val="auto"/>
              </w:rPr>
              <w:t>Zone, Zhongguancun Software Park (Phase II), No. 10 Xibeiwang East Road, Haidian District,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7780" w:type="dxa"/>
            <w:vAlign w:val="bottom"/>
          </w:tcPr>
          <w:p>
            <w:pPr>
              <w:ind w:left="180"/>
              <w:spacing w:after="0"/>
              <w:rPr>
                <w:sz w:val="20"/>
                <w:szCs w:val="20"/>
                <w:color w:val="auto"/>
              </w:rPr>
            </w:pPr>
            <w:r>
              <w:rPr>
                <w:rFonts w:ascii="Arial" w:cs="Arial" w:eastAsia="Arial" w:hAnsi="Arial"/>
                <w:sz w:val="18"/>
                <w:szCs w:val="18"/>
                <w:color w:val="auto"/>
              </w:rPr>
              <w:t>Beijing, People’s Republic of China 100193.</w:t>
            </w:r>
          </w:p>
        </w:tc>
        <w:tc>
          <w:tcPr>
            <w:tcW w:w="1760" w:type="dxa"/>
            <w:vAlign w:val="bottom"/>
            <w:gridSpan w:val="3"/>
          </w:tcPr>
          <w:p>
            <w:pPr>
              <w:jc w:val="right"/>
              <w:ind w:right="329"/>
              <w:spacing w:after="0"/>
              <w:rPr>
                <w:sz w:val="20"/>
                <w:szCs w:val="20"/>
                <w:color w:val="auto"/>
              </w:rPr>
            </w:pPr>
            <w:r>
              <w:rPr>
                <w:rFonts w:ascii="Arial" w:cs="Arial" w:eastAsia="Arial" w:hAnsi="Arial"/>
                <w:sz w:val="18"/>
                <w:szCs w:val="18"/>
                <w:color w:val="auto"/>
              </w:rPr>
              <w:t>1,456,000,000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9"/>
                <w:szCs w:val="19"/>
                <w:color w:val="auto"/>
              </w:rPr>
            </w:pPr>
          </w:p>
        </w:tc>
      </w:tr>
      <w:tr>
        <w:trPr>
          <w:trHeight w:val="201"/>
        </w:trPr>
        <w:tc>
          <w:tcPr>
            <w:tcW w:w="7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Orbis Investment Management Limited and Orbis Asset Management Limited c/o Orbis House, 25</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Front Street, Hamilton HM 11, Bermuda</w:t>
            </w:r>
          </w:p>
        </w:tc>
        <w:tc>
          <w:tcPr>
            <w:tcW w:w="1760" w:type="dxa"/>
            <w:vAlign w:val="bottom"/>
            <w:gridSpan w:val="3"/>
            <w:shd w:val="clear" w:color="auto" w:fill="CCEEFF"/>
          </w:tcPr>
          <w:p>
            <w:pPr>
              <w:jc w:val="right"/>
              <w:ind w:right="189"/>
              <w:spacing w:after="0"/>
              <w:rPr>
                <w:sz w:val="20"/>
                <w:szCs w:val="20"/>
                <w:color w:val="auto"/>
              </w:rPr>
            </w:pPr>
            <w:r>
              <w:rPr>
                <w:rFonts w:ascii="Arial" w:cs="Arial" w:eastAsia="Arial" w:hAnsi="Arial"/>
                <w:sz w:val="18"/>
                <w:szCs w:val="18"/>
                <w:color w:val="auto"/>
              </w:rPr>
              <w:t>250,714,200</w:t>
            </w:r>
            <w:r>
              <w:rPr>
                <w:rFonts w:ascii="Arial" w:cs="Arial" w:eastAsia="Arial" w:hAnsi="Arial"/>
                <w:sz w:val="11"/>
                <w:szCs w:val="11"/>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line="225" w:lineRule="exact"/>
              <w:rPr>
                <w:sz w:val="20"/>
                <w:szCs w:val="20"/>
                <w:color w:val="auto"/>
              </w:rPr>
            </w:pPr>
            <w:r>
              <w:rPr>
                <w:rFonts w:ascii="Arial" w:cs="Arial" w:eastAsia="Arial" w:hAnsi="Arial"/>
                <w:sz w:val="18"/>
                <w:szCs w:val="18"/>
                <w:color w:val="auto"/>
              </w:rPr>
              <w:t>7.8%</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r>
      <w:tr>
        <w:trPr>
          <w:trHeight w:val="337"/>
        </w:trPr>
        <w:tc>
          <w:tcPr>
            <w:tcW w:w="7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96"/>
              </w:rPr>
              <w:t>Number of Shares</w:t>
            </w:r>
          </w:p>
        </w:tc>
      </w:tr>
      <w:tr>
        <w:trPr>
          <w:trHeight w:val="169"/>
        </w:trPr>
        <w:tc>
          <w:tcPr>
            <w:tcW w:w="7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w w:val="93"/>
              </w:rPr>
              <w:t>Beneficially Owned</w:t>
            </w:r>
          </w:p>
        </w:tc>
      </w:tr>
      <w:tr>
        <w:trPr>
          <w:trHeight w:val="140"/>
        </w:trPr>
        <w:tc>
          <w:tcPr>
            <w:tcW w:w="7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Borders>
              <w:top w:val="single" w:sz="8" w:color="auto"/>
            </w:tcBorders>
            <w:gridSpan w:val="4"/>
          </w:tcPr>
          <w:p>
            <w:pPr>
              <w:jc w:val="right"/>
              <w:ind w:right="700"/>
              <w:spacing w:after="0" w:line="140" w:lineRule="exact"/>
              <w:rPr>
                <w:sz w:val="20"/>
                <w:szCs w:val="20"/>
                <w:color w:val="auto"/>
              </w:rPr>
            </w:pPr>
            <w:r>
              <w:rPr>
                <w:rFonts w:ascii="Arial" w:cs="Arial" w:eastAsia="Arial" w:hAnsi="Arial"/>
                <w:sz w:val="14"/>
                <w:szCs w:val="14"/>
                <w:b w:val="1"/>
                <w:bCs w:val="1"/>
                <w:color w:val="auto"/>
              </w:rPr>
              <w:t>Number</w:t>
            </w:r>
          </w:p>
        </w:tc>
        <w:tc>
          <w:tcPr>
            <w:tcW w:w="1360" w:type="dxa"/>
            <w:vAlign w:val="bottom"/>
            <w:tcBorders>
              <w:top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2"/>
                <w:szCs w:val="12"/>
                <w:color w:val="auto"/>
              </w:rPr>
            </w:pPr>
          </w:p>
        </w:tc>
      </w:tr>
      <w:tr>
        <w:trPr>
          <w:trHeight w:val="193"/>
        </w:trPr>
        <w:tc>
          <w:tcPr>
            <w:tcW w:w="77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Executive Officers and Directors</w:t>
            </w:r>
            <w:r>
              <w:rPr>
                <w:rFonts w:ascii="Arial" w:cs="Arial" w:eastAsia="Arial" w:hAnsi="Arial"/>
                <w:sz w:val="22"/>
                <w:szCs w:val="22"/>
                <w:color w:val="auto"/>
                <w:vertAlign w:val="superscript"/>
              </w:rPr>
              <w:t>(3)</w:t>
            </w:r>
          </w:p>
        </w:tc>
        <w:tc>
          <w:tcPr>
            <w:tcW w:w="4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3"/>
        </w:trPr>
        <w:tc>
          <w:tcPr>
            <w:tcW w:w="7780" w:type="dxa"/>
            <w:vAlign w:val="bottom"/>
          </w:tcPr>
          <w:p>
            <w:pPr>
              <w:spacing w:after="0"/>
              <w:rPr>
                <w:sz w:val="20"/>
                <w:szCs w:val="20"/>
                <w:color w:val="auto"/>
              </w:rPr>
            </w:pPr>
            <w:r>
              <w:rPr>
                <w:rFonts w:ascii="Arial" w:cs="Arial" w:eastAsia="Arial" w:hAnsi="Arial"/>
                <w:sz w:val="18"/>
                <w:szCs w:val="18"/>
                <w:color w:val="auto"/>
              </w:rPr>
              <w:t>Charles Zhaoxuan Yang</w:t>
            </w:r>
          </w:p>
        </w:tc>
        <w:tc>
          <w:tcPr>
            <w:tcW w:w="21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Alice Cheng</w:t>
            </w:r>
          </w:p>
        </w:tc>
        <w:tc>
          <w:tcPr>
            <w:tcW w:w="2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tcPr>
          <w:p>
            <w:pPr>
              <w:spacing w:after="0"/>
              <w:rPr>
                <w:sz w:val="20"/>
                <w:szCs w:val="20"/>
                <w:color w:val="auto"/>
              </w:rPr>
            </w:pPr>
            <w:r>
              <w:rPr>
                <w:rFonts w:ascii="Arial" w:cs="Arial" w:eastAsia="Arial" w:hAnsi="Arial"/>
                <w:sz w:val="18"/>
                <w:szCs w:val="18"/>
                <w:color w:val="auto"/>
              </w:rPr>
              <w:t>Denny Lee</w:t>
            </w:r>
          </w:p>
        </w:tc>
        <w:tc>
          <w:tcPr>
            <w:tcW w:w="21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Joseph Tong</w:t>
            </w:r>
          </w:p>
        </w:tc>
        <w:tc>
          <w:tcPr>
            <w:tcW w:w="2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tcPr>
          <w:p>
            <w:pPr>
              <w:spacing w:after="0"/>
              <w:rPr>
                <w:sz w:val="20"/>
                <w:szCs w:val="20"/>
                <w:color w:val="auto"/>
              </w:rPr>
            </w:pPr>
            <w:r>
              <w:rPr>
                <w:rFonts w:ascii="Arial" w:cs="Arial" w:eastAsia="Arial" w:hAnsi="Arial"/>
                <w:sz w:val="18"/>
                <w:szCs w:val="18"/>
                <w:color w:val="auto"/>
              </w:rPr>
              <w:t>Lun Feng</w:t>
            </w:r>
          </w:p>
        </w:tc>
        <w:tc>
          <w:tcPr>
            <w:tcW w:w="21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Michael Leung</w:t>
            </w:r>
          </w:p>
        </w:tc>
        <w:tc>
          <w:tcPr>
            <w:tcW w:w="2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tcPr>
          <w:p>
            <w:pPr>
              <w:spacing w:after="0"/>
              <w:rPr>
                <w:sz w:val="20"/>
                <w:szCs w:val="20"/>
                <w:color w:val="auto"/>
              </w:rPr>
            </w:pPr>
            <w:r>
              <w:rPr>
                <w:rFonts w:ascii="Arial" w:cs="Arial" w:eastAsia="Arial" w:hAnsi="Arial"/>
                <w:sz w:val="18"/>
                <w:szCs w:val="18"/>
                <w:color w:val="auto"/>
              </w:rPr>
              <w:t>Michael Tong</w:t>
            </w:r>
          </w:p>
        </w:tc>
        <w:tc>
          <w:tcPr>
            <w:tcW w:w="21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3"/>
        </w:trPr>
        <w:tc>
          <w:tcPr>
            <w:tcW w:w="778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23"/>
                <w:szCs w:val="23"/>
                <w:color w:val="auto"/>
                <w:vertAlign w:val="superscript"/>
              </w:rPr>
              <w:t>(4)</w:t>
            </w:r>
          </w:p>
        </w:tc>
        <w:tc>
          <w:tcPr>
            <w:tcW w:w="2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1,456,826,575</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1826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20" w:hanging="713"/>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19" w:lineRule="exact"/>
        <w:rPr>
          <w:rFonts w:ascii="Arial" w:cs="Arial" w:eastAsia="Arial" w:hAnsi="Arial"/>
          <w:sz w:val="18"/>
          <w:szCs w:val="18"/>
          <w:color w:val="auto"/>
        </w:rPr>
      </w:pPr>
    </w:p>
    <w:p>
      <w:pPr>
        <w:ind w:right="120" w:firstLine="646"/>
        <w:spacing w:after="0" w:line="252" w:lineRule="auto"/>
        <w:tabs>
          <w:tab w:leader="none" w:pos="1334" w:val="left"/>
        </w:tabs>
        <w:numPr>
          <w:ilvl w:val="1"/>
          <w:numId w:val="51"/>
        </w:numPr>
        <w:rPr>
          <w:rFonts w:ascii="Arial" w:cs="Arial" w:eastAsia="Arial" w:hAnsi="Arial"/>
          <w:sz w:val="18"/>
          <w:szCs w:val="18"/>
          <w:color w:val="auto"/>
        </w:rPr>
      </w:pPr>
      <w:r>
        <w:rPr>
          <w:rFonts w:ascii="Arial" w:cs="Arial" w:eastAsia="Arial" w:hAnsi="Arial"/>
          <w:sz w:val="18"/>
          <w:szCs w:val="18"/>
          <w:color w:val="auto"/>
        </w:rPr>
        <w:t>Shining Globe International Limited is the record owner of 1,456,000,000 ordinary shares, consisting of 1,406,000,000 ordinary shares and 2,000,000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520" w:firstLine="646"/>
        <w:spacing w:after="0" w:line="267" w:lineRule="auto"/>
        <w:tabs>
          <w:tab w:leader="none" w:pos="13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information included in Form 13-F dated October 31, 2018, filed by Orbis Investment Management Limited and Orbis Asset Management Limited.</w:t>
      </w:r>
    </w:p>
    <w:p>
      <w:pPr>
        <w:spacing w:after="0" w:line="178" w:lineRule="exact"/>
        <w:rPr>
          <w:rFonts w:ascii="Arial" w:cs="Arial" w:eastAsia="Arial" w:hAnsi="Arial"/>
          <w:sz w:val="18"/>
          <w:szCs w:val="18"/>
          <w:color w:val="auto"/>
        </w:rPr>
      </w:pPr>
    </w:p>
    <w:p>
      <w:pPr>
        <w:ind w:right="380" w:firstLine="646"/>
        <w:spacing w:after="0" w:line="257" w:lineRule="auto"/>
        <w:tabs>
          <w:tab w:leader="none" w:pos="13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are c/o Building No. 7, West Zone, Zhongguancun Software Park (Phase II), No. 10 Xibeiwang East Road, Haidian District, Beijing, People’s Republic of China 100193 and c/o NetEase Building, No. 599 Wangshang Road, Binjiang District, Hangzhou, People’s Republic of China 310052.</w:t>
      </w:r>
    </w:p>
    <w:p>
      <w:pPr>
        <w:spacing w:after="0" w:line="187" w:lineRule="exact"/>
        <w:rPr>
          <w:rFonts w:ascii="Arial" w:cs="Arial" w:eastAsia="Arial" w:hAnsi="Arial"/>
          <w:sz w:val="18"/>
          <w:szCs w:val="18"/>
          <w:color w:val="auto"/>
        </w:rPr>
      </w:pPr>
    </w:p>
    <w:p>
      <w:pPr>
        <w:ind w:right="40" w:firstLine="646"/>
        <w:spacing w:after="0" w:line="296" w:lineRule="auto"/>
        <w:tabs>
          <w:tab w:leader="none" w:pos="13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Shares owned by all of our current directors and executive officers as a group includes shares beneficially owned by William Lei Ding. Such amount includes ordinary shares and ordinary shares issuable upon vesting of RSUs held by our directors and executive officers as a group.</w:t>
      </w:r>
    </w:p>
    <w:p>
      <w:pPr>
        <w:spacing w:after="0" w:line="157" w:lineRule="exact"/>
        <w:rPr>
          <w:sz w:val="20"/>
          <w:szCs w:val="20"/>
          <w:color w:val="auto"/>
        </w:rPr>
      </w:pPr>
    </w:p>
    <w:p>
      <w:pPr>
        <w:ind w:right="180" w:firstLine="639"/>
        <w:spacing w:after="0" w:line="267" w:lineRule="auto"/>
        <w:rPr>
          <w:sz w:val="20"/>
          <w:szCs w:val="20"/>
          <w:color w:val="auto"/>
        </w:rPr>
      </w:pPr>
      <w:r>
        <w:rPr>
          <w:rFonts w:ascii="Arial" w:cs="Arial" w:eastAsia="Arial" w:hAnsi="Arial"/>
          <w:sz w:val="18"/>
          <w:szCs w:val="18"/>
          <w:color w:val="auto"/>
        </w:rPr>
        <w:t>As of December 31, 2018, based on public filings with the SEC, there are no major shareholders holding 5% or more of our ordinary shares or ADSs representing ordinary shares, except as described above.</w:t>
      </w:r>
    </w:p>
    <w:p>
      <w:pPr>
        <w:spacing w:after="0" w:line="179"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color w:val="auto"/>
        </w:rPr>
        <w:t>As of December 31, 2018, there were five ordinary shareholders of record with an address in the United States, including The Bank of New York Mellon, depositary of our ADS program, which held 1,793,357,765 ordinary shares as of that date.</w:t>
      </w:r>
    </w:p>
    <w:p>
      <w:pPr>
        <w:spacing w:after="0" w:line="179" w:lineRule="exact"/>
        <w:rPr>
          <w:sz w:val="20"/>
          <w:szCs w:val="20"/>
          <w:color w:val="auto"/>
        </w:rPr>
      </w:pPr>
    </w:p>
    <w:p>
      <w:pPr>
        <w:ind w:firstLine="639"/>
        <w:spacing w:after="0" w:line="267" w:lineRule="auto"/>
        <w:rPr>
          <w:sz w:val="20"/>
          <w:szCs w:val="20"/>
          <w:color w:val="auto"/>
        </w:rPr>
      </w:pPr>
      <w:r>
        <w:rPr>
          <w:rFonts w:ascii="Arial" w:cs="Arial" w:eastAsia="Arial" w:hAnsi="Arial"/>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our knowledge, there are no arrangements the operation of which may at a subsequent date result in us undergoing a change in control.</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major shareholders do not have different voting rights than any of our other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19" w:lineRule="exact"/>
        <w:rPr>
          <w:sz w:val="20"/>
          <w:szCs w:val="20"/>
          <w:color w:val="auto"/>
        </w:rPr>
      </w:pPr>
    </w:p>
    <w:p>
      <w:pPr>
        <w:ind w:left="660" w:hanging="653"/>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Please refer to Item 6.E. “Directors, Senior Management and Employees—Share Ownership.”</w:t>
      </w:r>
    </w:p>
    <w:p>
      <w:pPr>
        <w:spacing w:after="0" w:line="213" w:lineRule="exact"/>
        <w:rPr>
          <w:rFonts w:ascii="Arial" w:cs="Arial" w:eastAsia="Arial" w:hAnsi="Arial"/>
          <w:sz w:val="18"/>
          <w:szCs w:val="18"/>
          <w:b w:val="1"/>
          <w:bCs w:val="1"/>
          <w:color w:val="auto"/>
        </w:rPr>
      </w:pPr>
    </w:p>
    <w:p>
      <w:pPr>
        <w:ind w:left="640" w:hanging="633"/>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right="120" w:firstLine="639"/>
        <w:spacing w:after="0" w:line="285" w:lineRule="auto"/>
        <w:rPr>
          <w:sz w:val="20"/>
          <w:szCs w:val="20"/>
          <w:color w:val="auto"/>
        </w:rPr>
      </w:pPr>
      <w:r>
        <w:rPr>
          <w:rFonts w:ascii="Arial" w:cs="Arial" w:eastAsia="Arial" w:hAnsi="Arial"/>
          <w:sz w:val="16"/>
          <w:szCs w:val="16"/>
          <w:color w:val="auto"/>
        </w:rPr>
        <w:t>NetEase, Inc. and certain of its wholly owned subsidiaries have entered into a series of agreements with Guangzhou NetEase, NetEase Advertising, Hangzhou Leihuo, Youdao Computer and certain other affiliated entities and the shareholders of these entities, under which we provide our Internet and e-commerce applications, services and technologies and advertising services to Guangzhou NetEase, NetEase Advertising, Hangzhou Leihuo Youdao Computer and certain other affiliated entities, and they in turn provide certain of our online games and operate the NetEase websites, our e-commerce platforms, our online advertising business, and e-mail and certain of our other fee-based premium services. We believe that the terms of each agreement are no less favorable than the terms that we could obtain from disinterested third parties and that the shareholders of Guangzhou NetEase, NetEase Advertising, Hangzhou Leihuo, Youdao Computer and certain other affiliated entities will not receive material benefits from these agreements except as shareholders of NetEase. The agreements with Guangzhou NetEase, NetEase Advertising, Hangzhou Leihuo and Youdao Computer are described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Agreements relating to Guangzhou NetEase</w:t>
      </w:r>
    </w:p>
    <w:p>
      <w:pPr>
        <w:spacing w:after="0" w:line="219" w:lineRule="exact"/>
        <w:rPr>
          <w:sz w:val="20"/>
          <w:szCs w:val="20"/>
          <w:color w:val="auto"/>
        </w:rPr>
      </w:pPr>
    </w:p>
    <w:p>
      <w:pPr>
        <w:ind w:right="100" w:firstLine="639"/>
        <w:spacing w:after="0" w:line="267" w:lineRule="auto"/>
        <w:rPr>
          <w:sz w:val="20"/>
          <w:szCs w:val="20"/>
          <w:color w:val="auto"/>
        </w:rPr>
      </w:pPr>
      <w:r>
        <w:rPr>
          <w:rFonts w:ascii="Arial" w:cs="Arial" w:eastAsia="Arial" w:hAnsi="Arial"/>
          <w:sz w:val="18"/>
          <w:szCs w:val="18"/>
          <w:color w:val="auto"/>
        </w:rPr>
        <w:t>William Lei Ding, our Chief Executive Officer, and Xiaojun Hui, our vice president of game development, own 99.0% and 1.0% of the equity interest in Guangzhou NetEase, respectively.</w:t>
      </w:r>
    </w:p>
    <w:p>
      <w:pPr>
        <w:spacing w:after="0" w:line="179" w:lineRule="exact"/>
        <w:rPr>
          <w:sz w:val="20"/>
          <w:szCs w:val="20"/>
          <w:color w:val="auto"/>
        </w:rPr>
      </w:pPr>
    </w:p>
    <w:p>
      <w:pPr>
        <w:jc w:val="both"/>
        <w:ind w:left="640" w:hanging="314"/>
        <w:spacing w:after="0" w:line="257" w:lineRule="auto"/>
        <w:tabs>
          <w:tab w:leader="none" w:pos="60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Domain Name License Agreement between NetEase and Guangzhou NetEase. </w:t>
      </w:r>
      <w:r>
        <w:rPr>
          <w:rFonts w:ascii="Arial" w:cs="Arial" w:eastAsia="Arial" w:hAnsi="Arial"/>
          <w:sz w:val="18"/>
          <w:szCs w:val="18"/>
          <w:color w:val="auto"/>
        </w:rPr>
        <w:t>NetEase granted Guangzhou NetEase the right to use the domain names</w:t>
      </w:r>
      <w:r>
        <w:rPr>
          <w:rFonts w:ascii="Arial" w:cs="Arial" w:eastAsia="Arial" w:hAnsi="Arial"/>
          <w:sz w:val="18"/>
          <w:szCs w:val="18"/>
          <w:i w:val="1"/>
          <w:iCs w:val="1"/>
          <w:color w:val="auto"/>
        </w:rPr>
        <w:t xml:space="preserve"> </w:t>
      </w:r>
      <w:r>
        <w:rPr>
          <w:rFonts w:ascii="Arial" w:cs="Arial" w:eastAsia="Arial" w:hAnsi="Arial"/>
          <w:sz w:val="18"/>
          <w:szCs w:val="18"/>
          <w:color w:val="auto"/>
        </w:rPr>
        <w:t>“netease.com,” “163.com,” “126.com,” “yeah.net” and “nease.net” on the NetEase websites in China for license fees of RMB10,000 per year. NetEase may waive this fee at any time.</w:t>
      </w:r>
    </w:p>
    <w:p>
      <w:pPr>
        <w:spacing w:after="0" w:line="187" w:lineRule="exact"/>
        <w:rPr>
          <w:rFonts w:ascii="Arial" w:cs="Arial" w:eastAsia="Arial" w:hAnsi="Arial"/>
          <w:sz w:val="18"/>
          <w:szCs w:val="18"/>
          <w:color w:val="auto"/>
        </w:rPr>
      </w:pPr>
    </w:p>
    <w:p>
      <w:pPr>
        <w:ind w:left="640" w:right="580" w:hanging="314"/>
        <w:spacing w:after="0" w:line="330" w:lineRule="auto"/>
        <w:tabs>
          <w:tab w:leader="none" w:pos="60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Copyright License Agreement between NetEase Beijing and Guangzhou NetEase. </w:t>
      </w:r>
      <w:r>
        <w:rPr>
          <w:rFonts w:ascii="Arial" w:cs="Arial" w:eastAsia="Arial" w:hAnsi="Arial"/>
          <w:sz w:val="16"/>
          <w:szCs w:val="16"/>
          <w:color w:val="auto"/>
        </w:rPr>
        <w:t>NetEase Beijing granted Guangzhou NetEase the right to use</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Beijing’s web page layout in China for a royalty of RMB10,000 per year. NetEase Beijing may waive this fee at any time.</w:t>
      </w:r>
    </w:p>
    <w:p>
      <w:pPr>
        <w:spacing w:after="0" w:line="133" w:lineRule="exact"/>
        <w:rPr>
          <w:rFonts w:ascii="Arial" w:cs="Arial" w:eastAsia="Arial" w:hAnsi="Arial"/>
          <w:sz w:val="16"/>
          <w:szCs w:val="16"/>
          <w:color w:val="auto"/>
        </w:rPr>
      </w:pPr>
    </w:p>
    <w:p>
      <w:pPr>
        <w:ind w:left="640" w:right="220" w:hanging="314"/>
        <w:spacing w:after="0" w:line="257" w:lineRule="auto"/>
        <w:tabs>
          <w:tab w:leader="none" w:pos="60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between NetEase Beijing and Guangzhou NetEase. </w:t>
      </w:r>
      <w:r>
        <w:rPr>
          <w:rFonts w:ascii="Arial" w:cs="Arial" w:eastAsia="Arial" w:hAnsi="Arial"/>
          <w:sz w:val="18"/>
          <w:szCs w:val="18"/>
          <w:color w:val="auto"/>
        </w:rPr>
        <w:t>NetEase Beijing granted Guangzhou NetEase a license to use</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Beijing’s registered trademarks on the NetEase websites in China for license fees of RMB10,000 per year. NetEase Beijing may waive this fee at any time.</w:t>
      </w:r>
    </w:p>
    <w:p>
      <w:pPr>
        <w:spacing w:after="0" w:line="187" w:lineRule="exact"/>
        <w:rPr>
          <w:rFonts w:ascii="Arial" w:cs="Arial" w:eastAsia="Arial" w:hAnsi="Arial"/>
          <w:sz w:val="18"/>
          <w:szCs w:val="18"/>
          <w:color w:val="auto"/>
        </w:rPr>
      </w:pPr>
    </w:p>
    <w:p>
      <w:pPr>
        <w:ind w:left="640" w:right="80" w:hanging="314"/>
        <w:spacing w:after="0" w:line="267" w:lineRule="auto"/>
        <w:tabs>
          <w:tab w:leader="none" w:pos="60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t>
      </w:r>
      <w:r>
        <w:rPr>
          <w:rFonts w:ascii="Arial" w:cs="Arial" w:eastAsia="Arial" w:hAnsi="Arial"/>
          <w:sz w:val="18"/>
          <w:szCs w:val="18"/>
          <w:color w:val="auto"/>
        </w:rPr>
        <w:t>Guangzhou NetEase has entered into cooperative agreements with each of NetEase Beijing, Boguan and NetEase Hangzhou</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such subsidiaries have agreed to provide the following services:</w:t>
      </w:r>
    </w:p>
    <w:p>
      <w:pPr>
        <w:spacing w:after="0" w:line="178" w:lineRule="exact"/>
        <w:rPr>
          <w:rFonts w:ascii="Arial" w:cs="Arial" w:eastAsia="Arial" w:hAnsi="Arial"/>
          <w:sz w:val="18"/>
          <w:szCs w:val="18"/>
          <w:color w:val="auto"/>
        </w:rPr>
      </w:pPr>
    </w:p>
    <w:p>
      <w:pPr>
        <w:ind w:left="960" w:right="160" w:hanging="314"/>
        <w:spacing w:after="0" w:line="267" w:lineRule="auto"/>
        <w:tabs>
          <w:tab w:leader="none" w:pos="9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online games software) and technical support and maintenance for the operation of computer software;</w:t>
      </w:r>
    </w:p>
    <w:p>
      <w:pPr>
        <w:spacing w:after="0" w:line="178" w:lineRule="exact"/>
        <w:rPr>
          <w:rFonts w:ascii="Arial" w:cs="Arial" w:eastAsia="Arial" w:hAnsi="Arial"/>
          <w:sz w:val="18"/>
          <w:szCs w:val="18"/>
          <w:color w:val="auto"/>
        </w:rPr>
      </w:pPr>
    </w:p>
    <w:p>
      <w:pPr>
        <w:ind w:left="960" w:right="40" w:hanging="314"/>
        <w:spacing w:after="0" w:line="267" w:lineRule="auto"/>
        <w:tabs>
          <w:tab w:leader="none" w:pos="9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8" w:lineRule="exact"/>
        <w:rPr>
          <w:rFonts w:ascii="Arial" w:cs="Arial" w:eastAsia="Arial" w:hAnsi="Arial"/>
          <w:sz w:val="18"/>
          <w:szCs w:val="18"/>
          <w:color w:val="auto"/>
        </w:rPr>
      </w:pPr>
    </w:p>
    <w:p>
      <w:pPr>
        <w:ind w:left="940" w:hanging="294"/>
        <w:spacing w:after="0"/>
        <w:tabs>
          <w:tab w:leader="none" w:pos="9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19" w:lineRule="exact"/>
        <w:rPr>
          <w:sz w:val="20"/>
          <w:szCs w:val="20"/>
          <w:color w:val="auto"/>
        </w:rPr>
      </w:pPr>
    </w:p>
    <w:p>
      <w:pPr>
        <w:ind w:right="40" w:firstLine="639"/>
        <w:spacing w:after="0" w:line="364" w:lineRule="auto"/>
        <w:rPr>
          <w:sz w:val="20"/>
          <w:szCs w:val="20"/>
          <w:color w:val="auto"/>
        </w:rPr>
      </w:pPr>
      <w:r>
        <w:rPr>
          <w:rFonts w:ascii="Arial" w:cs="Arial" w:eastAsia="Arial" w:hAnsi="Arial"/>
          <w:sz w:val="14"/>
          <w:szCs w:val="14"/>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20" w:lineRule="exact"/>
        <w:rPr>
          <w:sz w:val="20"/>
          <w:szCs w:val="20"/>
          <w:color w:val="auto"/>
        </w:rPr>
      </w:pPr>
    </w:p>
    <w:p>
      <w:pPr>
        <w:ind w:left="640" w:hanging="314"/>
        <w:spacing w:after="0" w:line="304" w:lineRule="auto"/>
        <w:tabs>
          <w:tab w:leader="none" w:pos="60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Online Advertising Agreement between Guangzhou NetEase and NetEase Advertising. </w:t>
      </w:r>
      <w:r>
        <w:rPr>
          <w:rFonts w:ascii="Arial" w:cs="Arial" w:eastAsia="Arial" w:hAnsi="Arial"/>
          <w:sz w:val="16"/>
          <w:szCs w:val="16"/>
          <w:color w:val="auto"/>
        </w:rPr>
        <w:t>Guangzhou NetEase sells all of the banner space on the NetEase</w:t>
      </w:r>
      <w:r>
        <w:rPr>
          <w:rFonts w:ascii="Arial" w:cs="Arial" w:eastAsia="Arial" w:hAnsi="Arial"/>
          <w:sz w:val="16"/>
          <w:szCs w:val="16"/>
          <w:i w:val="1"/>
          <w:iCs w:val="1"/>
          <w:color w:val="auto"/>
        </w:rPr>
        <w:t xml:space="preserve"> </w:t>
      </w:r>
      <w:r>
        <w:rPr>
          <w:rFonts w:ascii="Arial" w:cs="Arial" w:eastAsia="Arial" w:hAnsi="Arial"/>
          <w:sz w:val="16"/>
          <w:szCs w:val="16"/>
          <w:color w:val="auto"/>
        </w:rPr>
        <w:t>websites to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of the foregoing agreement is automatically renewable for successive one year term.</w:t>
      </w:r>
    </w:p>
    <w:p>
      <w:pPr>
        <w:spacing w:after="0" w:line="219" w:lineRule="exact"/>
        <w:rPr>
          <w:sz w:val="20"/>
          <w:szCs w:val="20"/>
          <w:color w:val="auto"/>
        </w:rPr>
      </w:pPr>
    </w:p>
    <w:p>
      <w:pPr>
        <w:ind w:left="640" w:right="700" w:hanging="314"/>
        <w:spacing w:after="0" w:line="267" w:lineRule="auto"/>
        <w:tabs>
          <w:tab w:leader="none" w:pos="60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Trademark Transfer Agreement between Guangzhou NetEase and NetEase Beijing. </w:t>
      </w:r>
      <w:r>
        <w:rPr>
          <w:rFonts w:ascii="Arial" w:cs="Arial" w:eastAsia="Arial" w:hAnsi="Arial"/>
          <w:sz w:val="18"/>
          <w:szCs w:val="18"/>
          <w:color w:val="auto"/>
        </w:rPr>
        <w:t>Under this agreement, Guangzhou NetEase transferred its</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trademarks to NetEase Beijing.</w:t>
      </w:r>
    </w:p>
    <w:p>
      <w:pPr>
        <w:spacing w:after="0" w:line="178" w:lineRule="exact"/>
        <w:rPr>
          <w:rFonts w:ascii="Arial" w:cs="Arial" w:eastAsia="Arial" w:hAnsi="Arial"/>
          <w:sz w:val="18"/>
          <w:szCs w:val="18"/>
          <w:color w:val="auto"/>
        </w:rPr>
      </w:pPr>
    </w:p>
    <w:p>
      <w:pPr>
        <w:ind w:left="640" w:right="540" w:hanging="314"/>
        <w:spacing w:after="0" w:line="411" w:lineRule="auto"/>
        <w:tabs>
          <w:tab w:leader="none" w:pos="605"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 xml:space="preserve">Supplemental Agreement between NetEase Beijing and Guangzhou NetEase. </w:t>
      </w:r>
      <w:r>
        <w:rPr>
          <w:rFonts w:ascii="Arial" w:cs="Arial" w:eastAsia="Arial" w:hAnsi="Arial"/>
          <w:sz w:val="14"/>
          <w:szCs w:val="14"/>
          <w:color w:val="auto"/>
        </w:rPr>
        <w:t>NetEase Beijing may not grant the license to use its domain name,</w:t>
      </w:r>
      <w:r>
        <w:rPr>
          <w:rFonts w:ascii="Arial" w:cs="Arial" w:eastAsia="Arial" w:hAnsi="Arial"/>
          <w:sz w:val="14"/>
          <w:szCs w:val="14"/>
          <w:i w:val="1"/>
          <w:iCs w:val="1"/>
          <w:color w:val="auto"/>
        </w:rPr>
        <w:t xml:space="preserve"> </w:t>
      </w:r>
      <w:r>
        <w:rPr>
          <w:rFonts w:ascii="Arial" w:cs="Arial" w:eastAsia="Arial" w:hAnsi="Arial"/>
          <w:sz w:val="14"/>
          <w:szCs w:val="14"/>
          <w:color w:val="auto"/>
        </w:rPr>
        <w:t>copyright and trademark to any third party without Guangzhou NetEase’s consent and may not provide technical service to any third party.</w:t>
      </w:r>
    </w:p>
    <w:p>
      <w:pPr>
        <w:spacing w:after="0" w:line="87" w:lineRule="exact"/>
        <w:rPr>
          <w:rFonts w:ascii="Arial" w:cs="Arial" w:eastAsia="Arial" w:hAnsi="Arial"/>
          <w:sz w:val="14"/>
          <w:szCs w:val="14"/>
          <w:color w:val="auto"/>
        </w:rPr>
      </w:pPr>
    </w:p>
    <w:p>
      <w:pPr>
        <w:ind w:left="640" w:right="280" w:hanging="314"/>
        <w:spacing w:after="0" w:line="291" w:lineRule="auto"/>
        <w:tabs>
          <w:tab w:leader="none" w:pos="60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Voting Rights Trust Agreement among NetEase Beijing and the Individual Shareholders of Guangzhou NetEase. </w:t>
      </w:r>
      <w:r>
        <w:rPr>
          <w:rFonts w:ascii="Arial" w:cs="Arial" w:eastAsia="Arial" w:hAnsi="Arial"/>
          <w:sz w:val="16"/>
          <w:szCs w:val="16"/>
          <w:color w:val="auto"/>
        </w:rPr>
        <w:t>William Lei 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20" w:hanging="294"/>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Agreement between NetEase Beijing and Guangzhou NetEase. </w:t>
      </w:r>
      <w:r>
        <w:rPr>
          <w:rFonts w:ascii="Arial" w:cs="Arial" w:eastAsia="Arial" w:hAnsi="Arial"/>
          <w:sz w:val="17"/>
          <w:szCs w:val="17"/>
          <w:color w:val="auto"/>
        </w:rPr>
        <w:t>NetEase Beijing agrees to pay the operating costs of Guangzhou NetEase.</w:t>
      </w:r>
    </w:p>
    <w:p>
      <w:pPr>
        <w:spacing w:after="0" w:line="230" w:lineRule="exact"/>
        <w:rPr>
          <w:rFonts w:ascii="Arial" w:cs="Arial" w:eastAsia="Arial" w:hAnsi="Arial"/>
          <w:sz w:val="17"/>
          <w:szCs w:val="17"/>
          <w:color w:val="auto"/>
        </w:rPr>
      </w:pPr>
    </w:p>
    <w:p>
      <w:pPr>
        <w:ind w:left="640" w:right="80" w:hanging="314"/>
        <w:spacing w:after="0" w:line="284" w:lineRule="auto"/>
        <w:tabs>
          <w:tab w:leader="none" w:pos="605"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Letter of Agreement. </w:t>
      </w:r>
      <w:r>
        <w:rPr>
          <w:rFonts w:ascii="Arial" w:cs="Arial" w:eastAsia="Arial" w:hAnsi="Arial"/>
          <w:sz w:val="16"/>
          <w:szCs w:val="16"/>
          <w:color w:val="auto"/>
        </w:rPr>
        <w:t>Each of William Lei Ding and Xiaojun Hui have agreed that any amendments to be made to the Shareholder Voting Rights Trust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 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71" w:lineRule="exact"/>
        <w:rPr>
          <w:rFonts w:ascii="Arial" w:cs="Arial" w:eastAsia="Arial" w:hAnsi="Arial"/>
          <w:sz w:val="16"/>
          <w:szCs w:val="16"/>
          <w:color w:val="auto"/>
        </w:rPr>
      </w:pPr>
    </w:p>
    <w:p>
      <w:pPr>
        <w:ind w:left="640" w:hanging="314"/>
        <w:spacing w:after="0" w:line="283" w:lineRule="auto"/>
        <w:tabs>
          <w:tab w:leader="none" w:pos="605"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Loan Agreement and Equity Pledge Agreement</w:t>
      </w:r>
      <w:r>
        <w:rPr>
          <w:rFonts w:ascii="Arial" w:cs="Arial" w:eastAsia="Arial" w:hAnsi="Arial"/>
          <w:sz w:val="16"/>
          <w:szCs w:val="16"/>
          <w:color w:val="auto"/>
        </w:rPr>
        <w:t>. Concurrent with Mr. Hui’s acquisition of his equity interest in Guangzhou NetEase from a prior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Mr. Hui entered into a Loan Agreement and Equity Pledge Agreement with NetEase Beijing, each dated May 1, 2014. Under the Loan Agreement, NetEase Beijing provided Mr. Hui with an interest-free loan in the principal amount of RMB0.2 million (US$32,000)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Agreements relating to NetEase Advertising</w:t>
      </w:r>
    </w:p>
    <w:p>
      <w:pPr>
        <w:spacing w:after="0" w:line="219" w:lineRule="exact"/>
        <w:rPr>
          <w:sz w:val="20"/>
          <w:szCs w:val="20"/>
          <w:color w:val="auto"/>
        </w:rPr>
      </w:pPr>
    </w:p>
    <w:p>
      <w:pPr>
        <w:ind w:right="720" w:firstLine="639"/>
        <w:spacing w:after="0" w:line="267" w:lineRule="auto"/>
        <w:rPr>
          <w:sz w:val="20"/>
          <w:szCs w:val="20"/>
          <w:color w:val="auto"/>
        </w:rPr>
      </w:pPr>
      <w:r>
        <w:rPr>
          <w:rFonts w:ascii="Arial" w:cs="Arial" w:eastAsia="Arial" w:hAnsi="Arial"/>
          <w:sz w:val="18"/>
          <w:szCs w:val="18"/>
          <w:color w:val="auto"/>
        </w:rPr>
        <w:t>William Lei Ding and Li Li, the chief executive officer of our Internet media business, own 99.0% and 1.0% of the equity interest in NetEase Advertising, respectively.</w:t>
      </w:r>
    </w:p>
    <w:p>
      <w:pPr>
        <w:spacing w:after="0" w:line="179" w:lineRule="exact"/>
        <w:rPr>
          <w:sz w:val="20"/>
          <w:szCs w:val="20"/>
          <w:color w:val="auto"/>
        </w:rPr>
      </w:pPr>
    </w:p>
    <w:p>
      <w:pPr>
        <w:ind w:left="620" w:hanging="294"/>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Loan Agreements and Equity Pledge Agreements between Media Beijing and each of the ultimate shareholders of NetEase Advertising</w:t>
      </w:r>
      <w:r>
        <w:rPr>
          <w:rFonts w:ascii="Arial" w:cs="Arial" w:eastAsia="Arial" w:hAnsi="Arial"/>
          <w:sz w:val="16"/>
          <w:szCs w:val="16"/>
          <w:color w:val="auto"/>
        </w:rPr>
        <w:t>. Each of</w:t>
      </w:r>
    </w:p>
    <w:p>
      <w:pPr>
        <w:spacing w:after="0" w:line="40" w:lineRule="exact"/>
        <w:rPr>
          <w:sz w:val="20"/>
          <w:szCs w:val="20"/>
          <w:color w:val="auto"/>
        </w:rPr>
      </w:pPr>
    </w:p>
    <w:p>
      <w:pPr>
        <w:ind w:left="640" w:right="60"/>
        <w:spacing w:after="0" w:line="281" w:lineRule="auto"/>
        <w:rPr>
          <w:sz w:val="20"/>
          <w:szCs w:val="20"/>
          <w:color w:val="auto"/>
        </w:rPr>
      </w:pPr>
      <w:r>
        <w:rPr>
          <w:rFonts w:ascii="Arial" w:cs="Arial" w:eastAsia="Arial" w:hAnsi="Arial"/>
          <w:sz w:val="16"/>
          <w:szCs w:val="16"/>
          <w:color w:val="auto"/>
        </w:rPr>
        <w:t>Mr. Ding and Ms. Li has entered into a Loan Agreement and an Equity Pledge Agreement with Media Beijing, each dated November 30, 2015. Under the Loan Agreements, Media Beijing provided each of Mr. Ding and Ms. Li with an interest-free loan in the principal amount of approximately RMB7.7 million (US$1.1 million) and RMB98,000 (US$14,254), which funds were used by each of Mr. Ding and Ms. Li to pay the consideration to acquire their 79.0% and 1.0% of the equity interests in NetEase Advertising, respectively. Each loan can be repaid by transferring the ultimate shareholder’s equity interest in NetEase Advertising to Media Beijing or its designee or through such other method as Media Beijing shall determine. The term of each Loan Agreement is 10 years from the date of the agreement and will be automatically extended for further 10 year terms unless otherwise decided by Media Beijing. Under the Equity Pledge Agreements, each of Mr. Ding and Ms. Li pledges his/her equity interest in NetEase Advertising to Media Beijing to secure his/her respective obligations under the Loan Agreement as well as the Exclusive Purchase Option Agreement, the Shareholder Voting Rights Trust Agreement and the Operating Agreement. Each of Mr. Ding and Ms. Li agrees he/she shall not transfer, assign or pledge his/her equity interest in NetEase Advertising without the prior written consent of Media Beijing. The Equity Pledge Agreements will remain binding until the pledgor discharges all his/her obligations under the above-mentioned agreements.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hanging="314"/>
        <w:spacing w:after="0" w:line="266" w:lineRule="auto"/>
        <w:tabs>
          <w:tab w:leader="none" w:pos="605"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Exclusive Purchase Option Agreements among Media Beijing, NetEase Advertising and each of the ultimate shareholders of NetEase Advertising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Exclusive Purchase Option Agreements, each dated November 30, 2015, each of Mr. Ding and Ms. Li has granted Media Beijing an option to purchase all or a portion of his/her equity interest in NetEase Advertising at a price equal to the original paid-in capital paid by the ultimate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ultimate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81" w:lineRule="exact"/>
        <w:rPr>
          <w:rFonts w:ascii="Arial" w:cs="Arial" w:eastAsia="Arial" w:hAnsi="Arial"/>
          <w:sz w:val="17"/>
          <w:szCs w:val="17"/>
          <w:color w:val="auto"/>
        </w:rPr>
      </w:pPr>
    </w:p>
    <w:p>
      <w:pPr>
        <w:ind w:left="640" w:right="40" w:hanging="314"/>
        <w:spacing w:after="0" w:line="295" w:lineRule="auto"/>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Voting Rights Trust Agreement between Media Beijing and each of the Individual Shareholders of NetEase Advertising. </w:t>
      </w:r>
      <w:r>
        <w:rPr>
          <w:rFonts w:ascii="Arial" w:cs="Arial" w:eastAsia="Arial" w:hAnsi="Arial"/>
          <w:sz w:val="16"/>
          <w:szCs w:val="16"/>
          <w:color w:val="auto"/>
        </w:rPr>
        <w:t>Each of Mr. 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Ms. Li agreed to irrevocably entrust a person designated by Media Beijing to represent him or her to exercise all the voting rights and other shareholders’ rights to which he/she is entitled as a shareholder of NetEase Advertising. Each agreement shall remain effective for as long as Mr. Ding or Ms. Li remains a shareholder of NetEase Advertising unless Media Beijing unilaterally terminates the agreement by written notice.</w:t>
      </w:r>
    </w:p>
    <w:p>
      <w:pPr>
        <w:spacing w:after="0" w:line="160" w:lineRule="exact"/>
        <w:rPr>
          <w:rFonts w:ascii="Arial" w:cs="Arial" w:eastAsia="Arial" w:hAnsi="Arial"/>
          <w:sz w:val="16"/>
          <w:szCs w:val="16"/>
          <w:color w:val="auto"/>
        </w:rPr>
      </w:pPr>
    </w:p>
    <w:p>
      <w:pPr>
        <w:ind w:left="640" w:right="40" w:hanging="314"/>
        <w:spacing w:after="0" w:line="285" w:lineRule="auto"/>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Media Beijing, NetEase Advertising and the ultimate shareholders of NetEase Advertising.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NetEase Advertising and its ultimate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ultimate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70" w:lineRule="exact"/>
        <w:rPr>
          <w:rFonts w:ascii="Arial" w:cs="Arial" w:eastAsia="Arial" w:hAnsi="Arial"/>
          <w:sz w:val="16"/>
          <w:szCs w:val="16"/>
          <w:color w:val="auto"/>
        </w:rPr>
      </w:pPr>
    </w:p>
    <w:p>
      <w:pPr>
        <w:ind w:left="640" w:right="160" w:hanging="314"/>
        <w:spacing w:after="0" w:line="267" w:lineRule="auto"/>
        <w:tabs>
          <w:tab w:leader="none" w:pos="60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Media Beijing and NetEase Advertising. </w:t>
      </w:r>
      <w:r>
        <w:rPr>
          <w:rFonts w:ascii="Arial" w:cs="Arial" w:eastAsia="Arial" w:hAnsi="Arial"/>
          <w:sz w:val="18"/>
          <w:szCs w:val="18"/>
          <w:color w:val="auto"/>
        </w:rPr>
        <w:t>Under this cooperative agreement, Media Beijing has agreed to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services:</w:t>
      </w:r>
    </w:p>
    <w:p>
      <w:pPr>
        <w:spacing w:after="0" w:line="178" w:lineRule="exact"/>
        <w:rPr>
          <w:rFonts w:ascii="Arial" w:cs="Arial" w:eastAsia="Arial" w:hAnsi="Arial"/>
          <w:sz w:val="18"/>
          <w:szCs w:val="18"/>
          <w:color w:val="auto"/>
        </w:rPr>
      </w:pPr>
    </w:p>
    <w:p>
      <w:pPr>
        <w:ind w:left="960" w:right="180" w:hanging="314"/>
        <w:spacing w:after="0" w:line="267" w:lineRule="auto"/>
        <w:tabs>
          <w:tab w:leader="none" w:pos="9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the production, distribution, monitoring and management software of online advertisement) and technical support and maintenance for the operation of computer software;</w:t>
      </w:r>
    </w:p>
    <w:p>
      <w:pPr>
        <w:spacing w:after="0" w:line="178" w:lineRule="exact"/>
        <w:rPr>
          <w:rFonts w:ascii="Arial" w:cs="Arial" w:eastAsia="Arial" w:hAnsi="Arial"/>
          <w:sz w:val="18"/>
          <w:szCs w:val="18"/>
          <w:color w:val="auto"/>
        </w:rPr>
      </w:pPr>
    </w:p>
    <w:p>
      <w:pPr>
        <w:ind w:left="940" w:hanging="294"/>
        <w:spacing w:after="0"/>
        <w:tabs>
          <w:tab w:leader="none" w:pos="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 development, update and upgrade of advertisement distribution platform;</w:t>
      </w:r>
    </w:p>
    <w:p>
      <w:pPr>
        <w:spacing w:after="0" w:line="219" w:lineRule="exact"/>
        <w:rPr>
          <w:rFonts w:ascii="Arial" w:cs="Arial" w:eastAsia="Arial" w:hAnsi="Arial"/>
          <w:sz w:val="18"/>
          <w:szCs w:val="18"/>
          <w:color w:val="auto"/>
        </w:rPr>
      </w:pPr>
    </w:p>
    <w:p>
      <w:pPr>
        <w:ind w:left="960" w:right="60" w:hanging="314"/>
        <w:spacing w:after="0" w:line="267" w:lineRule="auto"/>
        <w:tabs>
          <w:tab w:leader="none" w:pos="9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8" w:lineRule="exact"/>
        <w:rPr>
          <w:rFonts w:ascii="Arial" w:cs="Arial" w:eastAsia="Arial" w:hAnsi="Arial"/>
          <w:sz w:val="18"/>
          <w:szCs w:val="18"/>
          <w:color w:val="auto"/>
        </w:rPr>
      </w:pPr>
    </w:p>
    <w:p>
      <w:pPr>
        <w:ind w:left="940" w:hanging="294"/>
        <w:spacing w:after="0"/>
        <w:tabs>
          <w:tab w:leader="none" w:pos="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19" w:lineRule="exact"/>
        <w:rPr>
          <w:sz w:val="20"/>
          <w:szCs w:val="20"/>
          <w:color w:val="auto"/>
        </w:rPr>
      </w:pPr>
    </w:p>
    <w:p>
      <w:pPr>
        <w:ind w:right="180" w:firstLine="639"/>
        <w:spacing w:after="0" w:line="330" w:lineRule="auto"/>
        <w:rPr>
          <w:sz w:val="20"/>
          <w:szCs w:val="20"/>
          <w:color w:val="auto"/>
        </w:rPr>
      </w:pPr>
      <w:r>
        <w:rPr>
          <w:rFonts w:ascii="Arial" w:cs="Arial" w:eastAsia="Arial" w:hAnsi="Arial"/>
          <w:sz w:val="16"/>
          <w:szCs w:val="16"/>
          <w:color w:val="auto"/>
        </w:rPr>
        <w:t>NetEase Advertising has agreed to pay a monthly service fee to Media Beijing in accordance with a formula based on its expenses incurred. This agreement was effective from October 1, 2013 and will continue to be effective unless any one of the two parties terminates such agreement by written notice.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Agreements relating to Hangzhou Leihuo</w:t>
      </w:r>
    </w:p>
    <w:p>
      <w:pPr>
        <w:spacing w:after="0" w:line="219"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Zhipeng Hu and Tianlei Hu, two of our employees, each owned 50.0% of the equity interest in Hangzhou Leihuo. On April 18, 2019, pursuant to a supplementary agreement of assignment, the equity interest in Hangzhou Leihuo owned by Tianlei Hu and the contractual obligations described below were assigned to Long Cheng, another employee of ours. As of the date of this annual report, each of Zhipeng Hu and Long Cheng owns 50.0% of the equity interest in Hangzhou Leihuo.</w:t>
      </w:r>
    </w:p>
    <w:p>
      <w:pPr>
        <w:spacing w:after="0" w:line="193" w:lineRule="exact"/>
        <w:rPr>
          <w:sz w:val="20"/>
          <w:szCs w:val="20"/>
          <w:color w:val="auto"/>
        </w:rPr>
      </w:pPr>
    </w:p>
    <w:p>
      <w:pPr>
        <w:ind w:left="640" w:hanging="314"/>
        <w:spacing w:after="0" w:line="264" w:lineRule="auto"/>
        <w:tabs>
          <w:tab w:leader="none" w:pos="60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Loan Agreements and Equity Pledge Agreements between NetEase Hangzhou and each of the ultimate shareholders of Hangzhou Leihuo</w:t>
      </w:r>
      <w:r>
        <w:rPr>
          <w:rFonts w:ascii="Arial" w:cs="Arial" w:eastAsia="Arial" w:hAnsi="Arial"/>
          <w:sz w:val="17"/>
          <w:szCs w:val="17"/>
          <w:color w:val="auto"/>
        </w:rPr>
        <w:t>.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(US$0.7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 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88" w:lineRule="exact"/>
        <w:rPr>
          <w:rFonts w:ascii="Arial" w:cs="Arial" w:eastAsia="Arial" w:hAnsi="Arial"/>
          <w:sz w:val="17"/>
          <w:szCs w:val="17"/>
          <w:color w:val="auto"/>
        </w:rPr>
      </w:pPr>
    </w:p>
    <w:p>
      <w:pPr>
        <w:ind w:left="640" w:right="20" w:hanging="314"/>
        <w:spacing w:after="0" w:line="284" w:lineRule="auto"/>
        <w:tabs>
          <w:tab w:leader="none" w:pos="60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Exclusive Purchase Option Agreements among NetEase Hangzhou, Hangzhou Leihuo and each of the ultimate shareholders of Hangzhou Leihuo</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Exclusive Purchase Option Agreements, each dated December 1, 2015, each of the ultimate shareholders of Hangzhou Leihuo has granted NetEase Hangzhou an option to purchase all or a portion of his equity interest in Hangzhou Leihuo at a price equal to the original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71" w:lineRule="exact"/>
        <w:rPr>
          <w:rFonts w:ascii="Arial" w:cs="Arial" w:eastAsia="Arial" w:hAnsi="Arial"/>
          <w:sz w:val="16"/>
          <w:szCs w:val="16"/>
          <w:color w:val="auto"/>
        </w:rPr>
      </w:pPr>
    </w:p>
    <w:p>
      <w:pPr>
        <w:ind w:left="640" w:right="20" w:hanging="314"/>
        <w:spacing w:after="0" w:line="270" w:lineRule="auto"/>
        <w:tabs>
          <w:tab w:leader="none" w:pos="60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Shareholder Voting Rights Trust Agreement between NetEase Hangzhou and each of the ultimate shareholders of Hangzhou Leihuo</w:t>
      </w:r>
      <w:r>
        <w:rPr>
          <w:rFonts w:ascii="Arial" w:cs="Arial" w:eastAsia="Arial" w:hAnsi="Arial"/>
          <w:sz w:val="17"/>
          <w:szCs w:val="17"/>
          <w:color w:val="auto"/>
        </w:rPr>
        <w:t>. Under these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79" w:lineRule="exact"/>
        <w:rPr>
          <w:rFonts w:ascii="Arial" w:cs="Arial" w:eastAsia="Arial" w:hAnsi="Arial"/>
          <w:sz w:val="17"/>
          <w:szCs w:val="17"/>
          <w:color w:val="auto"/>
        </w:rPr>
      </w:pPr>
    </w:p>
    <w:p>
      <w:pPr>
        <w:ind w:left="640" w:right="60" w:hanging="314"/>
        <w:spacing w:after="0" w:line="285" w:lineRule="auto"/>
        <w:tabs>
          <w:tab w:leader="none" w:pos="60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Hangzhou, Hangzhou Leihuo and the ultimate shareholders of Hangzhou Leihuo.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right="360" w:hanging="314"/>
        <w:spacing w:after="0" w:line="267" w:lineRule="auto"/>
        <w:tabs>
          <w:tab w:leader="none" w:pos="60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Cooperation Agreement between NetEase Hangzhou and Hangzhou Leihuo. </w:t>
      </w:r>
      <w:r>
        <w:rPr>
          <w:rFonts w:ascii="Arial" w:cs="Arial" w:eastAsia="Arial" w:hAnsi="Arial"/>
          <w:sz w:val="18"/>
          <w:szCs w:val="18"/>
          <w:color w:val="auto"/>
        </w:rPr>
        <w:t>Under this Cooperation Agreement, NetEase Hangzhou has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following services:</w:t>
      </w:r>
    </w:p>
    <w:p>
      <w:pPr>
        <w:spacing w:after="0" w:line="178" w:lineRule="exact"/>
        <w:rPr>
          <w:rFonts w:ascii="Arial" w:cs="Arial" w:eastAsia="Arial" w:hAnsi="Arial"/>
          <w:sz w:val="18"/>
          <w:szCs w:val="18"/>
          <w:color w:val="auto"/>
        </w:rPr>
      </w:pPr>
    </w:p>
    <w:p>
      <w:pPr>
        <w:ind w:left="960" w:right="120" w:hanging="314"/>
        <w:spacing w:after="0" w:line="267" w:lineRule="auto"/>
        <w:tabs>
          <w:tab w:leader="none" w:pos="9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development of computer software (including, but not limited to, online games) and technical support and maintenance for computer software operation;</w:t>
      </w:r>
    </w:p>
    <w:p>
      <w:pPr>
        <w:spacing w:after="0" w:line="178" w:lineRule="exact"/>
        <w:rPr>
          <w:rFonts w:ascii="Arial" w:cs="Arial" w:eastAsia="Arial" w:hAnsi="Arial"/>
          <w:sz w:val="18"/>
          <w:szCs w:val="18"/>
          <w:color w:val="auto"/>
        </w:rPr>
      </w:pPr>
    </w:p>
    <w:p>
      <w:pPr>
        <w:ind w:left="940" w:hanging="294"/>
        <w:spacing w:after="0"/>
        <w:tabs>
          <w:tab w:leader="none" w:pos="9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provision of broadband Internet access and other operational support; and</w:t>
      </w:r>
    </w:p>
    <w:p>
      <w:pPr>
        <w:spacing w:after="0" w:line="219" w:lineRule="exact"/>
        <w:rPr>
          <w:rFonts w:ascii="Arial" w:cs="Arial" w:eastAsia="Arial" w:hAnsi="Arial"/>
          <w:sz w:val="18"/>
          <w:szCs w:val="18"/>
          <w:color w:val="auto"/>
        </w:rPr>
      </w:pPr>
    </w:p>
    <w:p>
      <w:pPr>
        <w:ind w:left="960" w:right="380" w:hanging="314"/>
        <w:spacing w:after="0" w:line="267" w:lineRule="auto"/>
        <w:tabs>
          <w:tab w:leader="none" w:pos="9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jointly with Hangzhou Leihuo, the provision of value-added telecommunication and other services to users of the Leihuo website and relevant products.</w:t>
      </w:r>
    </w:p>
    <w:p>
      <w:pPr>
        <w:spacing w:after="0" w:line="179" w:lineRule="exact"/>
        <w:rPr>
          <w:sz w:val="20"/>
          <w:szCs w:val="20"/>
          <w:color w:val="auto"/>
        </w:rPr>
      </w:pPr>
    </w:p>
    <w:p>
      <w:pPr>
        <w:jc w:val="both"/>
        <w:ind w:right="260" w:firstLine="639"/>
        <w:spacing w:after="0" w:line="257" w:lineRule="auto"/>
        <w:rPr>
          <w:sz w:val="20"/>
          <w:szCs w:val="20"/>
          <w:color w:val="auto"/>
        </w:rPr>
      </w:pPr>
      <w:r>
        <w:rPr>
          <w:rFonts w:ascii="Arial" w:cs="Arial" w:eastAsia="Arial" w:hAnsi="Arial"/>
          <w:sz w:val="18"/>
          <w:szCs w:val="18"/>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Agreements relating to Youdao Computer</w:t>
      </w:r>
    </w:p>
    <w:p>
      <w:pPr>
        <w:spacing w:after="0" w:line="219" w:lineRule="exact"/>
        <w:rPr>
          <w:sz w:val="20"/>
          <w:szCs w:val="20"/>
          <w:color w:val="auto"/>
        </w:rPr>
      </w:pPr>
    </w:p>
    <w:p>
      <w:pPr>
        <w:ind w:right="20" w:firstLine="639"/>
        <w:spacing w:after="0" w:line="253" w:lineRule="auto"/>
        <w:rPr>
          <w:sz w:val="20"/>
          <w:szCs w:val="20"/>
          <w:color w:val="auto"/>
        </w:rPr>
      </w:pPr>
      <w:r>
        <w:rPr>
          <w:rFonts w:ascii="Arial" w:cs="Arial" w:eastAsia="Arial" w:hAnsi="Arial"/>
          <w:sz w:val="18"/>
          <w:szCs w:val="18"/>
          <w:color w:val="auto"/>
        </w:rPr>
        <w:t>Prior to November 20, 2017, William Lei Ding and certain employees or former employees of Youdao Computer owned 71.1% and 28.9% of the equity interest in Youdao Computer, respectively. As a result of an internal reorganization completed on November 20, 2017, Zhou Feng, one of our employees, became the holder of the 28.9% equity interest in Youdao Computer, with William Lei Ding continuing to hold 71.1% of the equity interest in Youdao Computer.</w:t>
      </w:r>
    </w:p>
    <w:p>
      <w:pPr>
        <w:spacing w:after="0" w:line="193" w:lineRule="exact"/>
        <w:rPr>
          <w:sz w:val="20"/>
          <w:szCs w:val="20"/>
          <w:color w:val="auto"/>
        </w:rPr>
      </w:pPr>
    </w:p>
    <w:p>
      <w:pPr>
        <w:ind w:left="640" w:hanging="314"/>
        <w:spacing w:after="0" w:line="266" w:lineRule="auto"/>
        <w:tabs>
          <w:tab w:leader="none" w:pos="605"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Loan Agreements between Youdao Information and each of William Lei Ding and Zhou Feng</w:t>
      </w:r>
      <w:r>
        <w:rPr>
          <w:rFonts w:ascii="Arial" w:cs="Arial" w:eastAsia="Arial" w:hAnsi="Arial"/>
          <w:sz w:val="17"/>
          <w:szCs w:val="17"/>
          <w:color w:val="auto"/>
        </w:rPr>
        <w:t>. Each of William Lei Ding and Zhou Feng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Loan Agreement with Youdao Information, dated September 26, 2016 and November 20, 2017, respectively. Under these Loan Agreements, Youdao Information provided each of William Lei Ding and Zhou Feng with an interest-free loan in the principal amount of approximately RMB3.6 million (US$0.5 million) and RMB1.4 million (US$0.2 million), respectively. These funds were used by each of William Lei Ding and Zhou Feng to pay the consideration to acquire his respective equity interest in Youdao Computer. Such loans can be repaid by transferring each of William Lei Ding and Zhou Feng’s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184" w:lineRule="exact"/>
        <w:rPr>
          <w:rFonts w:ascii="Arial" w:cs="Arial" w:eastAsia="Arial" w:hAnsi="Arial"/>
          <w:sz w:val="17"/>
          <w:szCs w:val="17"/>
          <w:color w:val="auto"/>
        </w:rPr>
      </w:pPr>
    </w:p>
    <w:p>
      <w:pPr>
        <w:ind w:left="640" w:right="60" w:hanging="314"/>
        <w:spacing w:after="0" w:line="286" w:lineRule="auto"/>
        <w:tabs>
          <w:tab w:leader="none" w:pos="605"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Equity Pledge Agreements between Youdao Information and each of William Lei Ding and Zhou Feng</w:t>
      </w:r>
      <w:r>
        <w:rPr>
          <w:rFonts w:ascii="Arial" w:cs="Arial" w:eastAsia="Arial" w:hAnsi="Arial"/>
          <w:sz w:val="16"/>
          <w:szCs w:val="16"/>
          <w:color w:val="auto"/>
        </w:rPr>
        <w:t>. Each of William Lei Ding and Zhou Feng</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an Equity Pledge Agreement with Youdao Information, dated September 26, 2016 and November 20, 2017, respectively. Under such Equity Pledge Agreements, each of William Lei Ding and Zhou Feng pledged his respective equity interest in Youdao Computer to Youdao Information to secure his obligations under the applicable Loan Agreement, Exclusive Purchase Option Agreement, Shareholder Voting Rights Trust Agreement, and Operating Agreement. Each of William Lei Ding and Zhou Feng further agreed to not transfer or pledge his respective equity interest in Youdao Computer without the prior written consent of Youdao Information. Each of the Equity Pledge Agreement will remain binding until the respective pledger, William Lei Ding or Zhou Feng, as the case may be, discharges all his obligations under the above-mentioned agreements.</w:t>
      </w:r>
    </w:p>
    <w:p>
      <w:pPr>
        <w:spacing w:after="0" w:line="170" w:lineRule="exact"/>
        <w:rPr>
          <w:rFonts w:ascii="Arial" w:cs="Arial" w:eastAsia="Arial" w:hAnsi="Arial"/>
          <w:sz w:val="16"/>
          <w:szCs w:val="16"/>
          <w:color w:val="auto"/>
        </w:rPr>
      </w:pPr>
    </w:p>
    <w:p>
      <w:pPr>
        <w:ind w:left="640" w:hanging="314"/>
        <w:spacing w:after="0" w:line="284" w:lineRule="auto"/>
        <w:tabs>
          <w:tab w:leader="none" w:pos="605"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Exclusive Purchase Option Agreements</w:t>
      </w:r>
      <w:r>
        <w:rPr>
          <w:rFonts w:ascii="Arial" w:cs="Arial" w:eastAsia="Arial" w:hAnsi="Arial"/>
          <w:sz w:val="16"/>
          <w:szCs w:val="16"/>
          <w:color w:val="auto"/>
        </w:rPr>
        <w:t>. Under the Exclusive Purchase Option Agreements entered into by Youdao Information, Youdao Computer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William Lei Ding and Zhou Feng, dated September 26, 2016 and November 20, 2017, respectively, each of William Lei Ding and Zhou Feng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Zhou Feng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right="20" w:hanging="314"/>
        <w:spacing w:after="0" w:line="268" w:lineRule="auto"/>
        <w:tabs>
          <w:tab w:leader="none" w:pos="605"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Shareholder Voting Rights Trust Agreements between Youdao Information and each of William Lei Ding and Zhou Feng</w:t>
      </w:r>
      <w:r>
        <w:rPr>
          <w:rFonts w:ascii="Arial" w:cs="Arial" w:eastAsia="Arial" w:hAnsi="Arial"/>
          <w:sz w:val="17"/>
          <w:szCs w:val="17"/>
          <w:color w:val="auto"/>
        </w:rPr>
        <w:t>. Under the Shareholder Voting</w:t>
      </w:r>
      <w:r>
        <w:rPr>
          <w:rFonts w:ascii="Arial" w:cs="Arial" w:eastAsia="Arial" w:hAnsi="Arial"/>
          <w:sz w:val="17"/>
          <w:szCs w:val="17"/>
          <w:i w:val="1"/>
          <w:iCs w:val="1"/>
          <w:color w:val="auto"/>
        </w:rPr>
        <w:t xml:space="preserve"> </w:t>
      </w:r>
      <w:r>
        <w:rPr>
          <w:rFonts w:ascii="Arial" w:cs="Arial" w:eastAsia="Arial" w:hAnsi="Arial"/>
          <w:sz w:val="17"/>
          <w:szCs w:val="17"/>
          <w:color w:val="auto"/>
        </w:rPr>
        <w:t>Rights Trust Agreements between Youdao Information and each of William Lei Ding and Zhou Feng, dated September 26, 2016 and November 20, 2017, respectively, each of William Lei Ding and Zhou Feng,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Zhou Feng, as applicable, remains a shareholder of Youdao Computer unless Youdao Information unilaterally terminates the agreement by written notice.</w:t>
      </w:r>
    </w:p>
    <w:p>
      <w:pPr>
        <w:spacing w:after="0" w:line="182" w:lineRule="exact"/>
        <w:rPr>
          <w:rFonts w:ascii="Arial" w:cs="Arial" w:eastAsia="Arial" w:hAnsi="Arial"/>
          <w:sz w:val="17"/>
          <w:szCs w:val="17"/>
          <w:color w:val="auto"/>
        </w:rPr>
      </w:pPr>
    </w:p>
    <w:p>
      <w:pPr>
        <w:ind w:left="640" w:right="120" w:hanging="314"/>
        <w:spacing w:after="0" w:line="285" w:lineRule="auto"/>
        <w:tabs>
          <w:tab w:leader="none" w:pos="605"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Agreements among Youdao Computer, Youdao Information and each of William Lei Ding and Zhou Feng. </w:t>
      </w:r>
      <w:r>
        <w:rPr>
          <w:rFonts w:ascii="Arial" w:cs="Arial" w:eastAsia="Arial" w:hAnsi="Arial"/>
          <w:sz w:val="16"/>
          <w:szCs w:val="16"/>
          <w:color w:val="auto"/>
        </w:rPr>
        <w:t>To ensure the successful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various agreements between the parties, each of Youdao Computer, William Lei Ding and Zhou Feng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Furthermore, each of William Lei Ding and Zhou Feng agreed that, upon instruction from Youdao Information, he would appoint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70" w:lineRule="exact"/>
        <w:rPr>
          <w:rFonts w:ascii="Arial" w:cs="Arial" w:eastAsia="Arial" w:hAnsi="Arial"/>
          <w:sz w:val="16"/>
          <w:szCs w:val="16"/>
          <w:color w:val="auto"/>
        </w:rPr>
      </w:pPr>
    </w:p>
    <w:p>
      <w:pPr>
        <w:ind w:left="640" w:right="220" w:hanging="314"/>
        <w:spacing w:after="0" w:line="267" w:lineRule="auto"/>
        <w:tabs>
          <w:tab w:leader="none" w:pos="605"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Cooperation Agreement between Youdao Information and Youdao Computer</w:t>
      </w:r>
      <w:r>
        <w:rPr>
          <w:rFonts w:ascii="Arial" w:cs="Arial" w:eastAsia="Arial" w:hAnsi="Arial"/>
          <w:sz w:val="18"/>
          <w:szCs w:val="18"/>
          <w:color w:val="auto"/>
        </w:rPr>
        <w:t>. Under this Cooperation Agreement, Youdao Information has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following services:</w:t>
      </w:r>
    </w:p>
    <w:p>
      <w:pPr>
        <w:spacing w:after="0" w:line="178" w:lineRule="exact"/>
        <w:rPr>
          <w:rFonts w:ascii="Arial" w:cs="Arial" w:eastAsia="Arial" w:hAnsi="Arial"/>
          <w:sz w:val="18"/>
          <w:szCs w:val="18"/>
          <w:color w:val="auto"/>
        </w:rPr>
      </w:pPr>
    </w:p>
    <w:p>
      <w:pPr>
        <w:ind w:left="960" w:right="140" w:hanging="314"/>
        <w:spacing w:after="0" w:line="267" w:lineRule="auto"/>
        <w:tabs>
          <w:tab w:leader="none" w:pos="9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78" w:lineRule="exact"/>
        <w:rPr>
          <w:rFonts w:ascii="Arial" w:cs="Arial" w:eastAsia="Arial" w:hAnsi="Arial"/>
          <w:sz w:val="18"/>
          <w:szCs w:val="18"/>
          <w:color w:val="auto"/>
        </w:rPr>
      </w:pPr>
    </w:p>
    <w:p>
      <w:pPr>
        <w:ind w:left="960" w:right="100" w:hanging="314"/>
        <w:spacing w:after="0" w:line="267" w:lineRule="auto"/>
        <w:tabs>
          <w:tab w:leader="none" w:pos="9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development of computer software related to generating online advertisement, establishment of platforms for online advertisement and related updates and operational support; and</w:t>
      </w:r>
    </w:p>
    <w:p>
      <w:pPr>
        <w:spacing w:after="0" w:line="178" w:lineRule="exact"/>
        <w:rPr>
          <w:rFonts w:ascii="Arial" w:cs="Arial" w:eastAsia="Arial" w:hAnsi="Arial"/>
          <w:sz w:val="18"/>
          <w:szCs w:val="18"/>
          <w:color w:val="auto"/>
        </w:rPr>
      </w:pPr>
    </w:p>
    <w:p>
      <w:pPr>
        <w:ind w:left="960" w:hanging="314"/>
        <w:spacing w:after="0" w:line="267" w:lineRule="auto"/>
        <w:tabs>
          <w:tab w:leader="none" w:pos="9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provision of technology support, including, but not limited to, server maintenance, development of server software and related maintenance and updates.</w:t>
      </w:r>
    </w:p>
    <w:p>
      <w:pPr>
        <w:spacing w:after="0" w:line="179" w:lineRule="exact"/>
        <w:rPr>
          <w:sz w:val="20"/>
          <w:szCs w:val="20"/>
          <w:color w:val="auto"/>
        </w:rPr>
      </w:pPr>
    </w:p>
    <w:p>
      <w:pPr>
        <w:jc w:val="both"/>
        <w:ind w:right="280" w:firstLine="639"/>
        <w:spacing w:after="0" w:line="304" w:lineRule="auto"/>
        <w:rPr>
          <w:sz w:val="20"/>
          <w:szCs w:val="20"/>
          <w:color w:val="auto"/>
        </w:rPr>
      </w:pPr>
      <w:r>
        <w:rPr>
          <w:rFonts w:ascii="Arial" w:cs="Arial" w:eastAsia="Arial" w:hAnsi="Arial"/>
          <w:sz w:val="16"/>
          <w:szCs w:val="16"/>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in connection with the licensing of certain online games by Blizzard to Shanghai EaseNet for operation in the PRC starting in</w:t>
      </w:r>
    </w:p>
    <w:p>
      <w:pPr>
        <w:spacing w:after="0" w:line="2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August 2008, there are certain contractual arrangements among Shanghai EaseNet, the joint venture established between Blizzard and us, and us. As a result of these arrangements, Shanghai EaseNet is a controlled VIE,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2016, 2017 and 2018. 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Results—Our Corporate Structure.”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firstLine="639"/>
        <w:spacing w:after="0" w:line="296" w:lineRule="auto"/>
        <w:rPr>
          <w:sz w:val="20"/>
          <w:szCs w:val="20"/>
          <w:color w:val="auto"/>
        </w:rPr>
      </w:pPr>
      <w:r>
        <w:rPr>
          <w:rFonts w:ascii="Arial" w:cs="Arial" w:eastAsia="Arial" w:hAnsi="Arial"/>
          <w:sz w:val="17"/>
          <w:szCs w:val="17"/>
          <w:color w:val="auto"/>
        </w:rPr>
        <w:t>In the year ended December 31, 2018, we also entered into several guarantee agreements in the aggregate amount of US$785.0 million in respect of certain credit facilities taken by our subsidiaries. As of December 31, 2018, US$177.6 million of such credit facilities had not been utilized.</w:t>
      </w:r>
    </w:p>
    <w:p>
      <w:pPr>
        <w:spacing w:after="0" w:line="151" w:lineRule="exact"/>
        <w:rPr>
          <w:sz w:val="20"/>
          <w:szCs w:val="20"/>
          <w:color w:val="auto"/>
        </w:rPr>
      </w:pPr>
    </w:p>
    <w:p>
      <w:pPr>
        <w:ind w:left="640" w:right="8240" w:hanging="633"/>
        <w:spacing w:after="0" w:line="494" w:lineRule="auto"/>
        <w:tabs>
          <w:tab w:leader="none" w:pos="653"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19" w:lineRule="exact"/>
        <w:rPr>
          <w:sz w:val="20"/>
          <w:szCs w:val="20"/>
          <w:color w:val="auto"/>
        </w:rPr>
      </w:pPr>
    </w:p>
    <w:p>
      <w:pPr>
        <w:ind w:left="660" w:hanging="653"/>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 for our audited consolidated financial statements filed as part of this annual report.</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A.7</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right="40" w:firstLine="639"/>
        <w:spacing w:after="0" w:line="273" w:lineRule="auto"/>
        <w:rPr>
          <w:sz w:val="20"/>
          <w:szCs w:val="20"/>
          <w:color w:val="auto"/>
        </w:rPr>
      </w:pPr>
      <w:r>
        <w:rPr>
          <w:rFonts w:ascii="Arial" w:cs="Arial" w:eastAsia="Arial" w:hAnsi="Arial"/>
          <w:sz w:val="17"/>
          <w:szCs w:val="17"/>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76" w:lineRule="exact"/>
        <w:rPr>
          <w:sz w:val="20"/>
          <w:szCs w:val="20"/>
          <w:color w:val="auto"/>
        </w:rPr>
      </w:pPr>
    </w:p>
    <w:p>
      <w:pPr>
        <w:ind w:right="20" w:firstLine="639"/>
        <w:spacing w:after="0" w:line="273" w:lineRule="auto"/>
        <w:rPr>
          <w:sz w:val="20"/>
          <w:szCs w:val="20"/>
          <w:color w:val="auto"/>
        </w:rPr>
      </w:pPr>
      <w:r>
        <w:rPr>
          <w:rFonts w:ascii="Arial" w:cs="Arial" w:eastAsia="Arial" w:hAnsi="Arial"/>
          <w:sz w:val="17"/>
          <w:szCs w:val="17"/>
          <w:color w:val="auto"/>
        </w:rPr>
        <w:t>In April 2018, PUBG Corporation and PUBG Santa Monica, Inc., or PUBG, filed suit against defendants NetEase, Inc., NetEase Information Technology Corp. and NetEase (Hong Kong) Limited in the U.S. District Court for the Northern District of California. The complaint generally alleges that two of our mobile games, Rules of Survival and Knives out, infringe the plaintiffs’ copyrights and trademarks and that we have engaged in unfair business competition under California law. As of March 31, 2019, we reached a settlement with PUBG with respect to this matter.</w:t>
      </w:r>
    </w:p>
    <w:p>
      <w:pPr>
        <w:spacing w:after="0" w:line="176" w:lineRule="exact"/>
        <w:rPr>
          <w:sz w:val="20"/>
          <w:szCs w:val="20"/>
          <w:color w:val="auto"/>
        </w:rPr>
      </w:pPr>
    </w:p>
    <w:p>
      <w:pPr>
        <w:ind w:right="280" w:firstLine="639"/>
        <w:spacing w:after="0" w:line="267" w:lineRule="auto"/>
        <w:rPr>
          <w:sz w:val="20"/>
          <w:szCs w:val="20"/>
          <w:color w:val="auto"/>
        </w:rPr>
      </w:pPr>
      <w:r>
        <w:rPr>
          <w:rFonts w:ascii="Arial" w:cs="Arial" w:eastAsia="Arial" w:hAnsi="Arial"/>
          <w:sz w:val="18"/>
          <w:szCs w:val="18"/>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pacing w:after="0" w:line="1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A.8</w:t>
      </w:r>
      <w:r>
        <w:rPr>
          <w:sz w:val="20"/>
          <w:szCs w:val="20"/>
          <w:color w:val="auto"/>
        </w:rPr>
        <w:tab/>
      </w:r>
      <w:r>
        <w:rPr>
          <w:rFonts w:ascii="Arial" w:cs="Arial" w:eastAsia="Arial" w:hAnsi="Arial"/>
          <w:sz w:val="18"/>
          <w:szCs w:val="18"/>
          <w:b w:val="1"/>
          <w:bCs w:val="1"/>
          <w:color w:val="auto"/>
        </w:rPr>
        <w:t>Dividend Policy</w:t>
      </w:r>
    </w:p>
    <w:p>
      <w:pPr>
        <w:spacing w:after="0" w:line="225" w:lineRule="exact"/>
        <w:rPr>
          <w:sz w:val="20"/>
          <w:szCs w:val="20"/>
          <w:color w:val="auto"/>
        </w:rPr>
      </w:pPr>
    </w:p>
    <w:p>
      <w:pPr>
        <w:ind w:right="100" w:firstLine="639"/>
        <w:spacing w:after="0" w:line="252" w:lineRule="auto"/>
        <w:rPr>
          <w:sz w:val="20"/>
          <w:szCs w:val="20"/>
          <w:color w:val="auto"/>
        </w:rPr>
      </w:pPr>
      <w:r>
        <w:rPr>
          <w:rFonts w:ascii="Arial" w:cs="Arial" w:eastAsia="Arial" w:hAnsi="Arial"/>
          <w:sz w:val="18"/>
          <w:szCs w:val="18"/>
          <w:color w:val="auto"/>
        </w:rPr>
        <w:t>In May 2014, our board of directors approved a quarterly dividend policy commencing in 2016. Under this policy, quarterly dividends are set at an amount equivalent to approximately 25%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US$0.23, US$0.61, US$0.45 and US$0.48 per ADS for the first, second, third and fourth quarters of 2018, respectively.</w:t>
      </w:r>
    </w:p>
    <w:p>
      <w:pPr>
        <w:spacing w:after="0" w:line="192" w:lineRule="exact"/>
        <w:rPr>
          <w:sz w:val="20"/>
          <w:szCs w:val="20"/>
          <w:color w:val="auto"/>
        </w:rPr>
      </w:pPr>
    </w:p>
    <w:p>
      <w:pPr>
        <w:ind w:right="100" w:firstLine="639"/>
        <w:spacing w:after="0" w:line="253" w:lineRule="auto"/>
        <w:rPr>
          <w:sz w:val="20"/>
          <w:szCs w:val="20"/>
          <w:color w:val="auto"/>
        </w:rPr>
      </w:pPr>
      <w:r>
        <w:rPr>
          <w:rFonts w:ascii="Arial" w:cs="Arial" w:eastAsia="Arial" w:hAnsi="Arial"/>
          <w:sz w:val="18"/>
          <w:szCs w:val="18"/>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93"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640" w:hanging="633"/>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We have not experienced any significant changes since the date of our audited consolidated financial statements included in this annual report.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right="480" w:firstLine="639"/>
        <w:spacing w:after="0" w:line="267" w:lineRule="auto"/>
        <w:rPr>
          <w:sz w:val="20"/>
          <w:szCs w:val="20"/>
          <w:color w:val="auto"/>
        </w:rPr>
      </w:pPr>
      <w:r>
        <w:rPr>
          <w:rFonts w:ascii="Arial" w:cs="Arial" w:eastAsia="Arial" w:hAnsi="Arial"/>
          <w:sz w:val="18"/>
          <w:szCs w:val="18"/>
          <w:color w:val="auto"/>
        </w:rPr>
        <w:t>Not applicable except for Item 9.A.4. and Item 9.C. Our ADSs have been listed on the NASDAQ Global Select Market (formerly the NASDAQ National Market) since June 30, 2000. Our ADSs trade under the symbol “NTES.”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19" w:lineRule="exact"/>
        <w:rPr>
          <w:sz w:val="20"/>
          <w:szCs w:val="20"/>
          <w:color w:val="auto"/>
        </w:rPr>
      </w:pPr>
    </w:p>
    <w:p>
      <w:pPr>
        <w:jc w:val="both"/>
        <w:ind w:left="640" w:right="9620" w:hanging="633"/>
        <w:spacing w:after="0" w:line="555" w:lineRule="auto"/>
        <w:tabs>
          <w:tab w:leader="none" w:pos="653"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40" w:hanging="633"/>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description of the terms and provisions of our restated memorandum and articles of association.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19" w:lineRule="exact"/>
        <w:rPr>
          <w:sz w:val="20"/>
          <w:szCs w:val="20"/>
          <w:color w:val="auto"/>
        </w:rPr>
      </w:pPr>
    </w:p>
    <w:p>
      <w:pPr>
        <w:ind w:right="140" w:firstLine="639"/>
        <w:spacing w:after="0" w:line="267" w:lineRule="auto"/>
        <w:rPr>
          <w:sz w:val="20"/>
          <w:szCs w:val="20"/>
          <w:color w:val="auto"/>
        </w:rPr>
      </w:pPr>
      <w:r>
        <w:rPr>
          <w:rFonts w:ascii="Arial" w:cs="Arial" w:eastAsia="Arial" w:hAnsi="Arial"/>
          <w:sz w:val="18"/>
          <w:szCs w:val="18"/>
          <w:color w:val="auto"/>
        </w:rPr>
        <w:t>We were incorporated in the Cayman Islands on July 6, 1999 and operate under the Cayman Islands Companies Law (2018 Revision), as revised and amended from time to time, or the Companies Law. Our corporate objectives and purpose are unrestricted.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19" w:lineRule="exact"/>
        <w:rPr>
          <w:sz w:val="20"/>
          <w:szCs w:val="20"/>
          <w:color w:val="auto"/>
        </w:rPr>
      </w:pPr>
    </w:p>
    <w:p>
      <w:pPr>
        <w:ind w:right="80" w:firstLine="639"/>
        <w:spacing w:after="0" w:line="270" w:lineRule="auto"/>
        <w:rPr>
          <w:sz w:val="20"/>
          <w:szCs w:val="20"/>
          <w:color w:val="auto"/>
        </w:rPr>
      </w:pPr>
      <w:r>
        <w:rPr>
          <w:rFonts w:ascii="Arial" w:cs="Arial" w:eastAsia="Arial" w:hAnsi="Arial"/>
          <w:sz w:val="17"/>
          <w:szCs w:val="17"/>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79" w:lineRule="exact"/>
        <w:rPr>
          <w:sz w:val="20"/>
          <w:szCs w:val="20"/>
          <w:color w:val="auto"/>
        </w:rPr>
      </w:pPr>
    </w:p>
    <w:p>
      <w:pPr>
        <w:ind w:firstLine="639"/>
        <w:spacing w:after="0" w:line="257" w:lineRule="auto"/>
        <w:rPr>
          <w:sz w:val="20"/>
          <w:szCs w:val="20"/>
          <w:color w:val="auto"/>
        </w:rPr>
      </w:pPr>
      <w:r>
        <w:rPr>
          <w:rFonts w:ascii="Arial" w:cs="Arial" w:eastAsia="Arial" w:hAnsi="Arial"/>
          <w:sz w:val="18"/>
          <w:szCs w:val="18"/>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88" w:lineRule="exact"/>
        <w:rPr>
          <w:sz w:val="20"/>
          <w:szCs w:val="20"/>
          <w:color w:val="auto"/>
        </w:rPr>
      </w:pPr>
    </w:p>
    <w:p>
      <w:pPr>
        <w:ind w:right="120" w:firstLine="639"/>
        <w:spacing w:after="0" w:line="257" w:lineRule="auto"/>
        <w:rPr>
          <w:sz w:val="20"/>
          <w:szCs w:val="20"/>
          <w:color w:val="auto"/>
        </w:rPr>
      </w:pPr>
      <w:r>
        <w:rPr>
          <w:rFonts w:ascii="Arial" w:cs="Arial" w:eastAsia="Arial" w:hAnsi="Arial"/>
          <w:sz w:val="18"/>
          <w:szCs w:val="18"/>
          <w:color w:val="auto"/>
        </w:rPr>
        <w:t>A shareholding qualification for directors may be fixed by the Company in a general meeting, but unless and until so fixed, there are no shareholding qualifications. Further, there are no age limitations or retirement requirements and no share ownership qualifications for directors unless so fixed by shareholders in a general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Restrictions of Ordinary Shares</w:t>
      </w:r>
    </w:p>
    <w:p>
      <w:pPr>
        <w:spacing w:after="0" w:line="219" w:lineRule="exact"/>
        <w:rPr>
          <w:sz w:val="20"/>
          <w:szCs w:val="20"/>
          <w:color w:val="auto"/>
        </w:rPr>
      </w:pPr>
    </w:p>
    <w:p>
      <w:pPr>
        <w:ind w:right="460" w:firstLine="639"/>
        <w:spacing w:after="0" w:line="26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shares are fully paid and non-assessable. Certificates representing the shares are issued in registered form.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who are non-residents of the Cayman Islands may freely hold and vote their shares.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shares are entitled to such dividends as may be declared by our board of directors. Under Cayman Islands law,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93" w:lineRule="exact"/>
        <w:rPr>
          <w:sz w:val="20"/>
          <w:szCs w:val="20"/>
          <w:color w:val="auto"/>
        </w:rPr>
      </w:pPr>
    </w:p>
    <w:p>
      <w:pPr>
        <w:ind w:right="80" w:firstLine="639"/>
        <w:spacing w:after="0" w:line="304"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share is entitled to one vote on all matters upon which the shares are entitled to vote, including the election of directors. Voting at</w:t>
      </w:r>
      <w:r>
        <w:rPr>
          <w:rFonts w:ascii="Arial" w:cs="Arial" w:eastAsia="Arial" w:hAnsi="Arial"/>
          <w:sz w:val="16"/>
          <w:szCs w:val="16"/>
          <w:i w:val="1"/>
          <w:iCs w:val="1"/>
          <w:color w:val="auto"/>
        </w:rPr>
        <w:t xml:space="preserve"> </w:t>
      </w:r>
      <w:r>
        <w:rPr>
          <w:rFonts w:ascii="Arial" w:cs="Arial" w:eastAsia="Arial" w:hAnsi="Arial"/>
          <w:sz w:val="16"/>
          <w:szCs w:val="16"/>
          <w:color w:val="auto"/>
        </w:rPr>
        <w:t>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53" w:lineRule="exact"/>
        <w:rPr>
          <w:sz w:val="20"/>
          <w:szCs w:val="20"/>
          <w:color w:val="auto"/>
        </w:rPr>
      </w:pPr>
    </w:p>
    <w:p>
      <w:pPr>
        <w:ind w:right="100" w:firstLine="639"/>
        <w:spacing w:after="0" w:line="252"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92" w:lineRule="exact"/>
        <w:rPr>
          <w:sz w:val="20"/>
          <w:szCs w:val="20"/>
          <w:color w:val="auto"/>
        </w:rPr>
      </w:pPr>
    </w:p>
    <w:p>
      <w:pPr>
        <w:ind w:right="220" w:firstLine="639"/>
        <w:spacing w:after="0" w:line="279"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On a return of capital on winding up or otherwise (other than on conversion, redemption or purchase of shares) assets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71" w:lineRule="exact"/>
        <w:rPr>
          <w:sz w:val="20"/>
          <w:szCs w:val="20"/>
          <w:color w:val="auto"/>
        </w:rPr>
      </w:pPr>
    </w:p>
    <w:p>
      <w:pPr>
        <w:jc w:val="both"/>
        <w:ind w:right="40" w:firstLine="639"/>
        <w:spacing w:after="0" w:line="257"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or times of payment. The shares that have been called upon and remain unpaid are subject to forfeiture.</w:t>
      </w:r>
    </w:p>
    <w:p>
      <w:pPr>
        <w:spacing w:after="0" w:line="188" w:lineRule="exact"/>
        <w:rPr>
          <w:sz w:val="20"/>
          <w:szCs w:val="20"/>
          <w:color w:val="auto"/>
        </w:rPr>
      </w:pPr>
    </w:p>
    <w:p>
      <w:pPr>
        <w:ind w:firstLine="639"/>
        <w:spacing w:after="0" w:line="284"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Subject to the provisions of the Companies Law and the memorandum and articles of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Variations of Rights of Shares</w:t>
      </w:r>
    </w:p>
    <w:p>
      <w:pPr>
        <w:spacing w:after="0" w:line="219" w:lineRule="exact"/>
        <w:rPr>
          <w:sz w:val="20"/>
          <w:szCs w:val="20"/>
          <w:color w:val="auto"/>
        </w:rPr>
      </w:pPr>
    </w:p>
    <w:p>
      <w:pPr>
        <w:jc w:val="both"/>
        <w:ind w:right="60" w:firstLine="639"/>
        <w:spacing w:after="0" w:line="257" w:lineRule="auto"/>
        <w:rPr>
          <w:sz w:val="20"/>
          <w:szCs w:val="20"/>
          <w:color w:val="auto"/>
        </w:rPr>
      </w:pPr>
      <w:r>
        <w:rPr>
          <w:rFonts w:ascii="Arial" w:cs="Arial" w:eastAsia="Arial" w:hAnsi="Arial"/>
          <w:sz w:val="18"/>
          <w:szCs w:val="18"/>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Meetings of Shareholders</w:t>
      </w:r>
    </w:p>
    <w:p>
      <w:pPr>
        <w:spacing w:after="0" w:line="219"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limitations on the right to own our shares.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Limitations on Transfer of Shares</w:t>
      </w:r>
    </w:p>
    <w:p>
      <w:pPr>
        <w:spacing w:after="0" w:line="219" w:lineRule="exact"/>
        <w:rPr>
          <w:sz w:val="20"/>
          <w:szCs w:val="20"/>
          <w:color w:val="auto"/>
        </w:rPr>
      </w:pPr>
    </w:p>
    <w:p>
      <w:pPr>
        <w:ind w:right="140" w:firstLine="639"/>
        <w:spacing w:after="0" w:line="267" w:lineRule="auto"/>
        <w:rPr>
          <w:sz w:val="20"/>
          <w:szCs w:val="20"/>
          <w:color w:val="auto"/>
        </w:rPr>
      </w:pPr>
      <w:r>
        <w:rPr>
          <w:rFonts w:ascii="Arial" w:cs="Arial" w:eastAsia="Arial" w:hAnsi="Arial"/>
          <w:sz w:val="18"/>
          <w:szCs w:val="18"/>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Disclosure of Shareholder Ownership</w:t>
      </w:r>
    </w:p>
    <w:p>
      <w:pPr>
        <w:spacing w:after="0" w:line="219" w:lineRule="exact"/>
        <w:rPr>
          <w:sz w:val="20"/>
          <w:szCs w:val="20"/>
          <w:color w:val="auto"/>
        </w:rPr>
      </w:pPr>
    </w:p>
    <w:p>
      <w:pPr>
        <w:ind w:right="120" w:firstLine="639"/>
        <w:spacing w:after="0" w:line="267" w:lineRule="auto"/>
        <w:rPr>
          <w:sz w:val="20"/>
          <w:szCs w:val="20"/>
          <w:color w:val="auto"/>
        </w:rPr>
      </w:pPr>
      <w:r>
        <w:rPr>
          <w:rFonts w:ascii="Arial" w:cs="Arial" w:eastAsia="Arial" w:hAnsi="Arial"/>
          <w:sz w:val="18"/>
          <w:szCs w:val="18"/>
          <w:color w:val="auto"/>
        </w:rPr>
        <w:t>There are no provisions in our restated memorandum or articles of association governing the ownership threshold above which shareholder ownership must be disclosed.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in Capital</w:t>
      </w:r>
    </w:p>
    <w:p>
      <w:pPr>
        <w:spacing w:after="0" w:line="219" w:lineRule="exact"/>
        <w:rPr>
          <w:sz w:val="20"/>
          <w:szCs w:val="20"/>
          <w:color w:val="auto"/>
        </w:rPr>
      </w:pPr>
    </w:p>
    <w:p>
      <w:pPr>
        <w:ind w:right="300" w:firstLine="639"/>
        <w:spacing w:after="0" w:line="257"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88" w:lineRule="exact"/>
        <w:rPr>
          <w:sz w:val="20"/>
          <w:szCs w:val="20"/>
          <w:color w:val="auto"/>
        </w:rPr>
      </w:pPr>
    </w:p>
    <w:p>
      <w:pPr>
        <w:ind w:left="1280" w:hanging="634"/>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19" w:lineRule="exact"/>
        <w:rPr>
          <w:rFonts w:ascii="Arial" w:cs="Arial" w:eastAsia="Arial" w:hAnsi="Arial"/>
          <w:sz w:val="18"/>
          <w:szCs w:val="18"/>
          <w:color w:val="auto"/>
        </w:rPr>
      </w:pPr>
    </w:p>
    <w:p>
      <w:pPr>
        <w:ind w:right="140" w:firstLine="646"/>
        <w:spacing w:after="0" w:line="267" w:lineRule="auto"/>
        <w:tabs>
          <w:tab w:leader="none" w:pos="1286"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restated memorandum of association or into shares without nominal or par value; and</w:t>
      </w:r>
    </w:p>
    <w:p>
      <w:pPr>
        <w:spacing w:after="0" w:line="178" w:lineRule="exact"/>
        <w:rPr>
          <w:rFonts w:ascii="Arial" w:cs="Arial" w:eastAsia="Arial" w:hAnsi="Arial"/>
          <w:sz w:val="18"/>
          <w:szCs w:val="18"/>
          <w:color w:val="auto"/>
        </w:rPr>
      </w:pPr>
    </w:p>
    <w:p>
      <w:pPr>
        <w:ind w:left="1300" w:hanging="654"/>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Differences in Corporate Law</w:t>
      </w:r>
    </w:p>
    <w:p>
      <w:pPr>
        <w:spacing w:after="0" w:line="219" w:lineRule="exact"/>
        <w:rPr>
          <w:sz w:val="20"/>
          <w:szCs w:val="20"/>
          <w:color w:val="auto"/>
        </w:rPr>
      </w:pPr>
    </w:p>
    <w:p>
      <w:pPr>
        <w:ind w:right="260" w:firstLine="639"/>
        <w:spacing w:after="0" w:line="279" w:lineRule="auto"/>
        <w:rPr>
          <w:sz w:val="20"/>
          <w:szCs w:val="20"/>
          <w:color w:val="auto"/>
        </w:rPr>
      </w:pPr>
      <w:r>
        <w:rPr>
          <w:rFonts w:ascii="Arial" w:cs="Arial" w:eastAsia="Arial" w:hAnsi="Arial"/>
          <w:sz w:val="17"/>
          <w:szCs w:val="17"/>
          <w:color w:val="auto"/>
        </w:rPr>
        <w:t>The Companies Law is modeled after that of the United Kingdom but does not follow recent United Kingdom statutory enactments and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71" w:lineRule="exact"/>
        <w:rPr>
          <w:sz w:val="20"/>
          <w:szCs w:val="20"/>
          <w:color w:val="auto"/>
        </w:rPr>
      </w:pPr>
    </w:p>
    <w:p>
      <w:pPr>
        <w:ind w:firstLine="639"/>
        <w:spacing w:after="0" w:line="281"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Law, subject to certain exceptions. Court approval is not required for a merger or consolidation which is effected in compliance with these statutory procedures.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39"/>
        <w:spacing w:after="0" w:line="288" w:lineRule="auto"/>
        <w:rPr>
          <w:sz w:val="20"/>
          <w:szCs w:val="20"/>
          <w:color w:val="auto"/>
        </w:rPr>
      </w:pPr>
      <w:r>
        <w:rPr>
          <w:rFonts w:ascii="Arial" w:cs="Arial" w:eastAsia="Arial" w:hAnsi="Arial"/>
          <w:sz w:val="16"/>
          <w:szCs w:val="16"/>
          <w:color w:val="auto"/>
        </w:rPr>
        <w:t>In addition, there are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67" w:lineRule="exact"/>
        <w:rPr>
          <w:sz w:val="20"/>
          <w:szCs w:val="20"/>
          <w:color w:val="auto"/>
        </w:rPr>
      </w:pPr>
    </w:p>
    <w:p>
      <w:pPr>
        <w:ind w:left="620" w:hanging="29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complied with;</w:t>
      </w:r>
    </w:p>
    <w:p>
      <w:pPr>
        <w:spacing w:after="0" w:line="219" w:lineRule="exact"/>
        <w:rPr>
          <w:rFonts w:ascii="Arial" w:cs="Arial" w:eastAsia="Arial" w:hAnsi="Arial"/>
          <w:sz w:val="18"/>
          <w:szCs w:val="18"/>
          <w:color w:val="auto"/>
        </w:rPr>
      </w:pPr>
    </w:p>
    <w:p>
      <w:pPr>
        <w:ind w:left="640" w:right="20" w:hanging="314"/>
        <w:spacing w:after="0" w:line="267" w:lineRule="auto"/>
        <w:tabs>
          <w:tab w:leader="none" w:pos="6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8" w:lineRule="exact"/>
        <w:rPr>
          <w:rFonts w:ascii="Arial" w:cs="Arial" w:eastAsia="Arial" w:hAnsi="Arial"/>
          <w:sz w:val="18"/>
          <w:szCs w:val="18"/>
          <w:color w:val="auto"/>
        </w:rPr>
      </w:pPr>
    </w:p>
    <w:p>
      <w:pPr>
        <w:ind w:left="620" w:hanging="294"/>
        <w:spacing w:after="0"/>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arrangement is such that may be reasonably approved by an intelligent and honest man of that class acting in respect of his interest; and</w:t>
      </w:r>
    </w:p>
    <w:p>
      <w:pPr>
        <w:spacing w:after="0" w:line="230" w:lineRule="exact"/>
        <w:rPr>
          <w:rFonts w:ascii="Arial" w:cs="Arial" w:eastAsia="Arial" w:hAnsi="Arial"/>
          <w:sz w:val="17"/>
          <w:szCs w:val="17"/>
          <w:color w:val="auto"/>
        </w:rPr>
      </w:pPr>
    </w:p>
    <w:p>
      <w:pPr>
        <w:ind w:left="620" w:hanging="29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19" w:lineRule="exact"/>
        <w:rPr>
          <w:sz w:val="20"/>
          <w:szCs w:val="20"/>
          <w:color w:val="auto"/>
        </w:rPr>
      </w:pPr>
    </w:p>
    <w:p>
      <w:pPr>
        <w:ind w:firstLine="639"/>
        <w:spacing w:after="0" w:line="295" w:lineRule="auto"/>
        <w:rPr>
          <w:sz w:val="20"/>
          <w:szCs w:val="20"/>
          <w:color w:val="auto"/>
        </w:rPr>
      </w:pPr>
      <w:r>
        <w:rPr>
          <w:rFonts w:ascii="Arial" w:cs="Arial" w:eastAsia="Arial" w:hAnsi="Arial"/>
          <w:sz w:val="16"/>
          <w:szCs w:val="16"/>
          <w:color w:val="auto"/>
        </w:rPr>
        <w:t>The Companies Law contains a statutory power of compulsory acquisition which may facilitate the “squeeze out” of dissentient minority shareholders upon a take-over offer. When a take-over offer is made and accepted by holders of 90% of the affected shares within four months, the offeror may, within a two-month period after expiry of such four-month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61" w:lineRule="exact"/>
        <w:rPr>
          <w:sz w:val="20"/>
          <w:szCs w:val="20"/>
          <w:color w:val="auto"/>
        </w:rPr>
      </w:pPr>
    </w:p>
    <w:p>
      <w:pPr>
        <w:ind w:right="220" w:firstLine="639"/>
        <w:spacing w:after="0" w:line="257" w:lineRule="auto"/>
        <w:rPr>
          <w:sz w:val="20"/>
          <w:szCs w:val="20"/>
          <w:color w:val="auto"/>
        </w:rPr>
      </w:pPr>
      <w:r>
        <w:rPr>
          <w:rFonts w:ascii="Arial" w:cs="Arial" w:eastAsia="Arial" w:hAnsi="Arial"/>
          <w:sz w:val="18"/>
          <w:szCs w:val="18"/>
          <w:color w:val="auto"/>
        </w:rPr>
        <w:t>If the arrangement and reconstruction is thus approved, or if a take-over offer is made and accepted,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8" w:lineRule="exact"/>
        <w:rPr>
          <w:sz w:val="20"/>
          <w:szCs w:val="20"/>
          <w:color w:val="auto"/>
        </w:rPr>
      </w:pPr>
    </w:p>
    <w:p>
      <w:pPr>
        <w:ind w:right="20" w:firstLine="639"/>
        <w:spacing w:after="0" w:line="252"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and as a general rule a derivative action may not be brought by a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92" w:lineRule="exact"/>
        <w:rPr>
          <w:sz w:val="20"/>
          <w:szCs w:val="20"/>
          <w:color w:val="auto"/>
        </w:rPr>
      </w:pPr>
    </w:p>
    <w:p>
      <w:pPr>
        <w:jc w:val="both"/>
        <w:ind w:firstLine="639"/>
        <w:spacing w:after="0" w:line="295"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Cayman Islands law does not (other than as set forth hereafter) limit the extent to which a company’s organizational documents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61" w:lineRule="exact"/>
        <w:rPr>
          <w:sz w:val="20"/>
          <w:szCs w:val="20"/>
          <w:color w:val="auto"/>
        </w:rPr>
      </w:pPr>
    </w:p>
    <w:p>
      <w:pPr>
        <w:ind w:right="20" w:firstLine="639"/>
        <w:spacing w:after="0" w:line="257"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660" w:hanging="653"/>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5" w:lineRule="exact"/>
        <w:rPr>
          <w:sz w:val="20"/>
          <w:szCs w:val="20"/>
          <w:color w:val="auto"/>
        </w:rPr>
      </w:pPr>
    </w:p>
    <w:p>
      <w:pPr>
        <w:ind w:right="20" w:firstLine="639"/>
        <w:spacing w:after="0" w:line="267"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73" w:lineRule="exact"/>
        <w:rPr>
          <w:sz w:val="20"/>
          <w:szCs w:val="20"/>
          <w:color w:val="auto"/>
        </w:rPr>
      </w:pPr>
    </w:p>
    <w:p>
      <w:pPr>
        <w:ind w:left="660" w:hanging="653"/>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Foreign currency exchange in the PRC is primarily governed by the Foreign Exchange Administration Rules issued by the State Council on</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January 29, 1996 and effective as of April 1, 1996 (and amended on January 14, 1997 and August 1, 2008) and the Regulations of Settlement, Sale and Payment of Foreign Exchange which came into effect on July 1, 1996.</w:t>
      </w:r>
    </w:p>
    <w:p>
      <w:pPr>
        <w:spacing w:after="0" w:line="190" w:lineRule="exact"/>
        <w:rPr>
          <w:sz w:val="20"/>
          <w:szCs w:val="20"/>
          <w:color w:val="auto"/>
        </w:rPr>
      </w:pPr>
    </w:p>
    <w:p>
      <w:pPr>
        <w:ind w:right="280" w:firstLine="639"/>
        <w:spacing w:after="0" w:line="304" w:lineRule="auto"/>
        <w:rPr>
          <w:sz w:val="20"/>
          <w:szCs w:val="20"/>
          <w:color w:val="auto"/>
        </w:rPr>
      </w:pPr>
      <w:r>
        <w:rPr>
          <w:rFonts w:ascii="Arial" w:cs="Arial" w:eastAsia="Arial" w:hAnsi="Arial"/>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w:t>
      </w:r>
    </w:p>
    <w:p>
      <w:pPr>
        <w:spacing w:after="0" w:line="153" w:lineRule="exact"/>
        <w:rPr>
          <w:sz w:val="20"/>
          <w:szCs w:val="20"/>
          <w:color w:val="auto"/>
        </w:rPr>
      </w:pPr>
    </w:p>
    <w:p>
      <w:pPr>
        <w:ind w:right="60" w:firstLine="639"/>
        <w:spacing w:after="0" w:line="280" w:lineRule="auto"/>
        <w:rPr>
          <w:sz w:val="20"/>
          <w:szCs w:val="20"/>
          <w:color w:val="auto"/>
        </w:rPr>
      </w:pPr>
      <w:r>
        <w:rPr>
          <w:rFonts w:ascii="Arial" w:cs="Arial" w:eastAsia="Arial" w:hAnsi="Arial"/>
          <w:sz w:val="16"/>
          <w:szCs w:val="16"/>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circular also stipulates that FIEs’ usage of capital and settled foreign exchange capital shall comply with relevant provisions concerning foreign exchange control and be subject to the management of a negative list. The FIEs’ capital and Renminbi capital gained from the settlement of foreign exchange capital may not be directly or indirectly used for expenditure beyond the business scope of the FIEs or as prohibited by laws and regulations of the PRC. Such capital also may not be directly or indirectly used for issuing Renminbi entrusted loans except as permitted by the business scope of the FIE,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foreign-invested enterprise elects the conversion-at-will system for foreign currency settlement, it may convert, in part or in whole, the amount of the foreign currency in its capital account into Renminbi at any time. The converted Renminbi will be kept in a designated account labeled as settled but pending payment, and if such FIE needs to make payment from such designated account, it does not need to go through a lengthy approval process, but instead is only required to declare its intended use for such converted Renminbi.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In 2018, SAFE adopted a number of additional regulations, but none have had a material impact on our operations. However, we closely monitor any changes and new regulatory releases, especially given the recently increased frequency of SAFE enforcement actions, to ensure that our operations remain in compliance.</w:t>
      </w:r>
    </w:p>
    <w:p>
      <w:pPr>
        <w:spacing w:after="0" w:line="389"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requisite SAFE registrations.</w:t>
      </w:r>
    </w:p>
    <w:p>
      <w:pPr>
        <w:spacing w:after="0" w:line="193"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93" w:lineRule="exact"/>
        <w:rPr>
          <w:sz w:val="20"/>
          <w:szCs w:val="20"/>
          <w:color w:val="auto"/>
        </w:rPr>
      </w:pPr>
    </w:p>
    <w:p>
      <w:pPr>
        <w:ind w:right="100" w:firstLine="639"/>
        <w:spacing w:after="0" w:line="291" w:lineRule="auto"/>
        <w:rPr>
          <w:sz w:val="20"/>
          <w:szCs w:val="20"/>
          <w:color w:val="auto"/>
        </w:rPr>
      </w:pPr>
      <w:r>
        <w:rPr>
          <w:rFonts w:ascii="Arial" w:cs="Arial" w:eastAsia="Arial" w:hAnsi="Arial"/>
          <w:sz w:val="16"/>
          <w:szCs w:val="16"/>
          <w:color w:val="auto"/>
        </w:rPr>
        <w:t>Moreover, to discourage the outflow of capital from China, the overall current regulatory environment relating to foreign exchange controls in China suggests that, as a matter of practice, SAFE has been making it increasingly difficult to exchange Renmibi into foreign currencies for offshore dividend payments or capital account settlement. For additional information on the SAFE regulations and the related risks to our company, see Item 3.D. “Risk Factors —Risks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63" w:lineRule="exact"/>
        <w:rPr>
          <w:sz w:val="20"/>
          <w:szCs w:val="20"/>
          <w:color w:val="auto"/>
        </w:rPr>
      </w:pPr>
    </w:p>
    <w:p>
      <w:pPr>
        <w:ind w:right="140" w:firstLine="639"/>
        <w:spacing w:after="0" w:line="273" w:lineRule="auto"/>
        <w:rPr>
          <w:sz w:val="20"/>
          <w:szCs w:val="20"/>
          <w:color w:val="auto"/>
        </w:rPr>
      </w:pPr>
      <w:r>
        <w:rPr>
          <w:rFonts w:ascii="Arial" w:cs="Arial" w:eastAsia="Arial" w:hAnsi="Arial"/>
          <w:sz w:val="17"/>
          <w:szCs w:val="17"/>
          <w:color w:val="auto"/>
        </w:rPr>
        <w:t>For more information about foreign exchange control, see Item 3.D. “Risk Factors—Risks Related to Our Company—Our corporate structure may restrict our ability to receive dividends, loans or advances from, and transfer funds to, our PRC subsidiaries and VIEs, which could restrict our ability to act in response to changing market conditions and reallocate funds internally in a timely manner.” and “Risk Factors—Risks Related to Doing Business in China— Restrictions on currency exchange may limit our ability to utilize our revenues effectively.”</w:t>
      </w:r>
    </w:p>
    <w:p>
      <w:pPr>
        <w:spacing w:after="0" w:line="170" w:lineRule="exact"/>
        <w:rPr>
          <w:sz w:val="20"/>
          <w:szCs w:val="20"/>
          <w:color w:val="auto"/>
        </w:rPr>
      </w:pPr>
    </w:p>
    <w:p>
      <w:pPr>
        <w:ind w:left="640" w:hanging="633"/>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The following summary of the material Cayman Islands and United States federal income tax consequences relevant to the purchase, ownership or sale of our ordinary shares or ADSs is based upon laws and relevant interpretations thereof in effect as of the date of this annual report, all of which are subject to change. To the extent that the discussion relates to matters of Cayman Islands tax law, it represents the opinion of Maples and Calder (Hong Kong) LLP, or Maples and Calder, our Cayman Islands counsel.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5" w:lineRule="exact"/>
        <w:rPr>
          <w:sz w:val="20"/>
          <w:szCs w:val="20"/>
          <w:color w:val="auto"/>
        </w:rPr>
      </w:pPr>
    </w:p>
    <w:p>
      <w:pPr>
        <w:ind w:right="80" w:firstLine="639"/>
        <w:spacing w:after="0" w:line="252"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5" w:lineRule="exact"/>
        <w:rPr>
          <w:sz w:val="20"/>
          <w:szCs w:val="20"/>
          <w:color w:val="auto"/>
        </w:rPr>
      </w:pPr>
    </w:p>
    <w:p>
      <w:pPr>
        <w:ind w:right="80" w:firstLine="639"/>
        <w:spacing w:after="0" w:line="266" w:lineRule="auto"/>
        <w:rPr>
          <w:sz w:val="20"/>
          <w:szCs w:val="20"/>
          <w:color w:val="auto"/>
        </w:rPr>
      </w:pPr>
      <w:r>
        <w:rPr>
          <w:rFonts w:ascii="Arial" w:cs="Arial" w:eastAsia="Arial" w:hAnsi="Arial"/>
          <w:sz w:val="17"/>
          <w:szCs w:val="17"/>
          <w:color w:val="auto"/>
        </w:rPr>
        <w:t>The following discussion is a summary of certain United States federal income tax considerations applicable to the purchase, ownership and disposition of shares or ADSs by a U.S. Holder (as defined below) who holds such shares or ADSs as capital assets within the meaning of Section 1221 of the Internal Revenue Code of 1986, as amended (the “Code”). This summary does not purport to be a complete analysis of all potential United States federal income tax effects. This summary is based on the Code, United States Treasury regulations promulgated thereunder, Internal Revenue Service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60" w:firstLine="639"/>
        <w:spacing w:after="0" w:line="257" w:lineRule="auto"/>
        <w:rPr>
          <w:sz w:val="20"/>
          <w:szCs w:val="20"/>
          <w:color w:val="auto"/>
        </w:rPr>
      </w:pPr>
      <w:r>
        <w:rPr>
          <w:rFonts w:ascii="Arial" w:cs="Arial" w:eastAsia="Arial" w:hAnsi="Arial"/>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88" w:lineRule="exact"/>
        <w:rPr>
          <w:sz w:val="20"/>
          <w:szCs w:val="20"/>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 dealers in stocks, securities, commodities or currencies;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(including securities traders) that use a mark-to-market accounting method;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vote or value of all classes of our equity.</w:t>
      </w:r>
    </w:p>
    <w:p>
      <w:pPr>
        <w:spacing w:after="0" w:line="219" w:lineRule="exact"/>
        <w:rPr>
          <w:sz w:val="20"/>
          <w:szCs w:val="20"/>
          <w:color w:val="auto"/>
        </w:rPr>
      </w:pPr>
    </w:p>
    <w:p>
      <w:pPr>
        <w:jc w:val="both"/>
        <w:ind w:right="180" w:firstLine="639"/>
        <w:spacing w:after="0" w:line="257" w:lineRule="auto"/>
        <w:rPr>
          <w:sz w:val="20"/>
          <w:szCs w:val="20"/>
          <w:color w:val="auto"/>
        </w:rPr>
      </w:pPr>
      <w:r>
        <w:rPr>
          <w:rFonts w:ascii="Arial" w:cs="Arial" w:eastAsia="Arial" w:hAnsi="Arial"/>
          <w:sz w:val="18"/>
          <w:szCs w:val="18"/>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 is:</w:t>
      </w:r>
    </w:p>
    <w:p>
      <w:pPr>
        <w:spacing w:after="0" w:line="242" w:lineRule="exact"/>
        <w:rPr>
          <w:sz w:val="20"/>
          <w:szCs w:val="20"/>
          <w:color w:val="auto"/>
        </w:rPr>
      </w:pPr>
    </w:p>
    <w:p>
      <w:pPr>
        <w:ind w:left="620" w:hanging="294"/>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9" w:lineRule="exact"/>
        <w:rPr>
          <w:rFonts w:ascii="Arial" w:cs="Arial" w:eastAsia="Arial" w:hAnsi="Arial"/>
          <w:sz w:val="18"/>
          <w:szCs w:val="18"/>
          <w:color w:val="auto"/>
        </w:rPr>
      </w:pPr>
    </w:p>
    <w:p>
      <w:pPr>
        <w:ind w:left="640" w:right="120" w:hanging="314"/>
        <w:spacing w:after="0" w:line="267" w:lineRule="auto"/>
        <w:tabs>
          <w:tab w:leader="none" w:pos="6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78" w:lineRule="exact"/>
        <w:rPr>
          <w:rFonts w:ascii="Arial" w:cs="Arial" w:eastAsia="Arial" w:hAnsi="Arial"/>
          <w:sz w:val="18"/>
          <w:szCs w:val="18"/>
          <w:color w:val="auto"/>
        </w:rPr>
      </w:pPr>
    </w:p>
    <w:p>
      <w:pPr>
        <w:ind w:left="620" w:hanging="294"/>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19" w:lineRule="exact"/>
        <w:rPr>
          <w:rFonts w:ascii="Arial" w:cs="Arial" w:eastAsia="Arial" w:hAnsi="Arial"/>
          <w:sz w:val="18"/>
          <w:szCs w:val="18"/>
          <w:color w:val="auto"/>
        </w:rPr>
      </w:pPr>
    </w:p>
    <w:p>
      <w:pPr>
        <w:ind w:left="640" w:right="180" w:hanging="314"/>
        <w:spacing w:after="0" w:line="257" w:lineRule="auto"/>
        <w:tabs>
          <w:tab w:leader="none" w:pos="6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188" w:lineRule="exact"/>
        <w:rPr>
          <w:sz w:val="20"/>
          <w:szCs w:val="20"/>
          <w:color w:val="auto"/>
        </w:rPr>
      </w:pPr>
    </w:p>
    <w:p>
      <w:pPr>
        <w:ind w:right="300" w:firstLine="639"/>
        <w:spacing w:after="0" w:line="295"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225" w:lineRule="exact"/>
        <w:rPr>
          <w:sz w:val="20"/>
          <w:szCs w:val="20"/>
          <w:color w:val="auto"/>
        </w:rPr>
      </w:pPr>
    </w:p>
    <w:p>
      <w:pPr>
        <w:ind w:right="140" w:firstLine="639"/>
        <w:spacing w:after="0" w:line="253" w:lineRule="auto"/>
        <w:rPr>
          <w:sz w:val="20"/>
          <w:szCs w:val="20"/>
          <w:color w:val="auto"/>
        </w:rPr>
      </w:pPr>
      <w:r>
        <w:rPr>
          <w:rFonts w:ascii="Arial" w:cs="Arial" w:eastAsia="Arial" w:hAnsi="Arial"/>
          <w:sz w:val="18"/>
          <w:szCs w:val="18"/>
          <w:color w:val="auto"/>
        </w:rPr>
        <w:t>The discussion below is written on the basis that the representations contained in the deposit agreement are true and that the obligations in the deposit agreement and any related agreement will be performed in accordance with the terms. If you hold ADSs, you generally will be treated as the owner of the underlying shares represented by those ADSs for United States federal income tax purposes. Accordingly, deposits or withdrawal of shares for ADSs will not be subject to United States federal income tax.</w:t>
      </w:r>
    </w:p>
    <w:p>
      <w:pPr>
        <w:spacing w:after="0" w:line="193" w:lineRule="exact"/>
        <w:rPr>
          <w:sz w:val="20"/>
          <w:szCs w:val="20"/>
          <w:color w:val="auto"/>
        </w:rPr>
      </w:pPr>
    </w:p>
    <w:p>
      <w:pPr>
        <w:ind w:right="80" w:firstLine="639"/>
        <w:spacing w:after="0" w:line="267" w:lineRule="auto"/>
        <w:rPr>
          <w:sz w:val="20"/>
          <w:szCs w:val="20"/>
          <w:color w:val="auto"/>
        </w:rPr>
      </w:pPr>
      <w:r>
        <w:rPr>
          <w:rFonts w:ascii="Arial" w:cs="Arial" w:eastAsia="Arial" w:hAnsi="Arial"/>
          <w:sz w:val="17"/>
          <w:szCs w:val="17"/>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 and Other Distributions on the Shares or ADSs</w:t>
      </w:r>
    </w:p>
    <w:p>
      <w:pPr>
        <w:spacing w:after="0" w:line="225" w:lineRule="exact"/>
        <w:rPr>
          <w:sz w:val="20"/>
          <w:szCs w:val="20"/>
          <w:color w:val="auto"/>
        </w:rPr>
      </w:pPr>
    </w:p>
    <w:p>
      <w:pPr>
        <w:ind w:firstLine="639"/>
        <w:spacing w:after="0" w:line="266" w:lineRule="auto"/>
        <w:rPr>
          <w:sz w:val="20"/>
          <w:szCs w:val="20"/>
          <w:color w:val="auto"/>
        </w:rPr>
      </w:pPr>
      <w:r>
        <w:rPr>
          <w:rFonts w:ascii="Arial" w:cs="Arial" w:eastAsia="Arial" w:hAnsi="Arial"/>
          <w:sz w:val="17"/>
          <w:szCs w:val="17"/>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pacing w:after="0" w:line="181" w:lineRule="exact"/>
        <w:rPr>
          <w:sz w:val="20"/>
          <w:szCs w:val="20"/>
          <w:color w:val="auto"/>
        </w:rPr>
      </w:pPr>
    </w:p>
    <w:p>
      <w:pPr>
        <w:ind w:right="20" w:firstLine="639"/>
        <w:spacing w:after="0" w:line="282" w:lineRule="auto"/>
        <w:rPr>
          <w:sz w:val="20"/>
          <w:szCs w:val="20"/>
          <w:color w:val="auto"/>
        </w:rPr>
      </w:pPr>
      <w:r>
        <w:rPr>
          <w:rFonts w:ascii="Arial" w:cs="Arial" w:eastAsia="Arial" w:hAnsi="Arial"/>
          <w:sz w:val="16"/>
          <w:szCs w:val="16"/>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w:t>
      </w:r>
    </w:p>
    <w:p>
      <w:pPr>
        <w:spacing w:after="0" w:line="2" w:lineRule="exact"/>
        <w:rPr>
          <w:sz w:val="20"/>
          <w:szCs w:val="20"/>
          <w:color w:val="auto"/>
        </w:rPr>
      </w:pPr>
    </w:p>
    <w:p>
      <w:pPr>
        <w:ind w:right="100" w:firstLine="7"/>
        <w:spacing w:after="0" w:line="285" w:lineRule="auto"/>
        <w:tabs>
          <w:tab w:leader="none" w:pos="251"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70" w:lineRule="exact"/>
        <w:rPr>
          <w:sz w:val="20"/>
          <w:szCs w:val="20"/>
          <w:color w:val="auto"/>
        </w:rPr>
      </w:pPr>
    </w:p>
    <w:p>
      <w:pPr>
        <w:ind w:firstLine="639"/>
        <w:spacing w:after="0" w:line="250" w:lineRule="auto"/>
        <w:rPr>
          <w:sz w:val="20"/>
          <w:szCs w:val="20"/>
          <w:color w:val="auto"/>
        </w:rPr>
      </w:pPr>
      <w:r>
        <w:rPr>
          <w:rFonts w:ascii="Arial" w:cs="Arial" w:eastAsia="Arial" w:hAnsi="Arial"/>
          <w:sz w:val="18"/>
          <w:szCs w:val="18"/>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The U.S. foreign tax credit rules are complex. U.S. Holders should consult their own tax advisors regarding the foreign tax credit rules in light of their particular circumstances.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Disposition of Shares or ADSs</w:t>
      </w:r>
    </w:p>
    <w:p>
      <w:pPr>
        <w:spacing w:after="0" w:line="225" w:lineRule="exact"/>
        <w:rPr>
          <w:sz w:val="20"/>
          <w:szCs w:val="20"/>
          <w:color w:val="auto"/>
        </w:rPr>
      </w:pPr>
    </w:p>
    <w:p>
      <w:pPr>
        <w:ind w:right="20" w:firstLine="639"/>
        <w:spacing w:after="0" w:line="282"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5"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5" w:lineRule="exact"/>
        <w:rPr>
          <w:sz w:val="20"/>
          <w:szCs w:val="20"/>
          <w:color w:val="auto"/>
        </w:rPr>
      </w:pPr>
    </w:p>
    <w:p>
      <w:pPr>
        <w:ind w:right="60" w:firstLine="639"/>
        <w:spacing w:after="0" w:line="252" w:lineRule="auto"/>
        <w:rPr>
          <w:sz w:val="20"/>
          <w:szCs w:val="20"/>
          <w:color w:val="auto"/>
        </w:rPr>
      </w:pPr>
      <w:r>
        <w:rPr>
          <w:rFonts w:ascii="Arial" w:cs="Arial" w:eastAsia="Arial" w:hAnsi="Arial"/>
          <w:sz w:val="18"/>
          <w:szCs w:val="18"/>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92" w:lineRule="exact"/>
        <w:rPr>
          <w:sz w:val="20"/>
          <w:szCs w:val="20"/>
          <w:color w:val="auto"/>
        </w:rPr>
      </w:pPr>
    </w:p>
    <w:p>
      <w:pPr>
        <w:ind w:right="60" w:firstLine="639"/>
        <w:spacing w:after="0" w:line="267"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179"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spacing w:after="0" w:line="193" w:lineRule="exact"/>
        <w:rPr>
          <w:sz w:val="20"/>
          <w:szCs w:val="20"/>
          <w:color w:val="auto"/>
        </w:rPr>
      </w:pPr>
    </w:p>
    <w:p>
      <w:pPr>
        <w:ind w:right="80" w:firstLine="639"/>
        <w:spacing w:after="0" w:line="286" w:lineRule="auto"/>
        <w:rPr>
          <w:sz w:val="20"/>
          <w:szCs w:val="20"/>
          <w:color w:val="auto"/>
        </w:rPr>
      </w:pPr>
      <w:r>
        <w:rPr>
          <w:rFonts w:ascii="Arial" w:cs="Arial" w:eastAsia="Arial" w:hAnsi="Arial"/>
          <w:sz w:val="16"/>
          <w:szCs w:val="16"/>
          <w:color w:val="auto"/>
        </w:rPr>
        <w:t>Based on certain estimates of our gross income and gross assets (which estimates are inherently imprecise), we do not believe that we were a PFIC for taxable year 2018 for United States federal income tax purposes. The determination of whether we will be classified as a PFIC is made annually and depends on particular facts and circumstances. In particular, the fair market value of some of our company’s assets may be determined in large part by the market price of the ADSs, which is likely to fluctuate. In addition, the composition of our company’s income and assets will be affected by how, and how quickly, our company spends any cash that is raised. Thus, no assurance can be provided that our company would not be classified as a PFIC for any future taxable year. Furthermore, while we believe our valuation approach is reasonable, it is possible that the IRS could challenge our determination concerning our PFIC status. For these reasons, there can be no assurance that we were not a PFIC in 2018 or that we will not be a PFIC for any future taxable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Federal Income Tax Treatment of a Shareholder of a PFIC</w:t>
      </w:r>
    </w:p>
    <w:p>
      <w:pPr>
        <w:spacing w:after="0" w:line="219" w:lineRule="exact"/>
        <w:rPr>
          <w:sz w:val="20"/>
          <w:szCs w:val="20"/>
          <w:color w:val="auto"/>
        </w:rPr>
      </w:pPr>
    </w:p>
    <w:p>
      <w:pPr>
        <w:ind w:right="100" w:firstLine="639"/>
        <w:spacing w:after="0" w:line="291" w:lineRule="auto"/>
        <w:rPr>
          <w:sz w:val="20"/>
          <w:szCs w:val="20"/>
          <w:color w:val="auto"/>
        </w:rPr>
      </w:pPr>
      <w:r>
        <w:rPr>
          <w:rFonts w:ascii="Arial" w:cs="Arial" w:eastAsia="Arial" w:hAnsi="Arial"/>
          <w:sz w:val="16"/>
          <w:szCs w:val="16"/>
          <w:color w:val="auto"/>
        </w:rPr>
        <w:t>If our company is classified as a PFIC for any taxable year during which a U.S. Holder owns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63" w:lineRule="exact"/>
        <w:rPr>
          <w:sz w:val="20"/>
          <w:szCs w:val="20"/>
          <w:color w:val="auto"/>
        </w:rPr>
      </w:pPr>
    </w:p>
    <w:p>
      <w:pPr>
        <w:ind w:right="380" w:firstLine="639"/>
        <w:spacing w:after="0" w:line="285" w:lineRule="auto"/>
        <w:rPr>
          <w:sz w:val="20"/>
          <w:szCs w:val="20"/>
          <w:color w:val="auto"/>
        </w:rPr>
      </w:pPr>
      <w:r>
        <w:rPr>
          <w:rFonts w:ascii="Arial" w:cs="Arial" w:eastAsia="Arial" w:hAnsi="Arial"/>
          <w:sz w:val="16"/>
          <w:szCs w:val="16"/>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w:t>
      </w:r>
    </w:p>
    <w:p>
      <w:pPr>
        <w:jc w:val="both"/>
        <w:ind w:right="80" w:firstLine="7"/>
        <w:spacing w:after="0" w:line="250" w:lineRule="auto"/>
        <w:tabs>
          <w:tab w:leader="none" w:pos="2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95" w:lineRule="exact"/>
        <w:rPr>
          <w:sz w:val="20"/>
          <w:szCs w:val="20"/>
          <w:color w:val="auto"/>
        </w:rPr>
      </w:pPr>
    </w:p>
    <w:p>
      <w:pPr>
        <w:ind w:right="100" w:firstLine="639"/>
        <w:spacing w:after="0" w:line="304" w:lineRule="auto"/>
        <w:rPr>
          <w:sz w:val="20"/>
          <w:szCs w:val="20"/>
          <w:color w:val="auto"/>
        </w:rPr>
      </w:pPr>
      <w:r>
        <w:rPr>
          <w:rFonts w:ascii="Arial" w:cs="Arial" w:eastAsia="Arial" w:hAnsi="Arial"/>
          <w:sz w:val="16"/>
          <w:szCs w:val="16"/>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53" w:lineRule="exact"/>
        <w:rPr>
          <w:sz w:val="20"/>
          <w:szCs w:val="20"/>
          <w:color w:val="auto"/>
        </w:rPr>
      </w:pPr>
    </w:p>
    <w:p>
      <w:pPr>
        <w:ind w:right="180" w:firstLine="639"/>
        <w:spacing w:after="0" w:line="273" w:lineRule="auto"/>
        <w:rPr>
          <w:sz w:val="20"/>
          <w:szCs w:val="20"/>
          <w:color w:val="auto"/>
        </w:rPr>
      </w:pPr>
      <w:r>
        <w:rPr>
          <w:rFonts w:ascii="Arial" w:cs="Arial" w:eastAsia="Arial" w:hAnsi="Arial"/>
          <w:sz w:val="17"/>
          <w:szCs w:val="17"/>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Mark-to-Market Election</w:t>
      </w:r>
    </w:p>
    <w:p>
      <w:pPr>
        <w:spacing w:after="0" w:line="219" w:lineRule="exact"/>
        <w:rPr>
          <w:sz w:val="20"/>
          <w:szCs w:val="20"/>
          <w:color w:val="auto"/>
        </w:rPr>
      </w:pPr>
    </w:p>
    <w:p>
      <w:pPr>
        <w:ind w:right="220" w:firstLine="639"/>
        <w:spacing w:after="0" w:line="295" w:lineRule="auto"/>
        <w:rPr>
          <w:sz w:val="20"/>
          <w:szCs w:val="20"/>
          <w:color w:val="auto"/>
        </w:rPr>
      </w:pPr>
      <w:r>
        <w:rPr>
          <w:rFonts w:ascii="Arial" w:cs="Arial" w:eastAsia="Arial" w:hAnsi="Arial"/>
          <w:sz w:val="16"/>
          <w:szCs w:val="16"/>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61" w:lineRule="exact"/>
        <w:rPr>
          <w:sz w:val="20"/>
          <w:szCs w:val="20"/>
          <w:color w:val="auto"/>
        </w:rPr>
      </w:pPr>
    </w:p>
    <w:p>
      <w:pPr>
        <w:jc w:val="both"/>
        <w:ind w:right="300" w:firstLine="639"/>
        <w:spacing w:after="0" w:line="257" w:lineRule="auto"/>
        <w:rPr>
          <w:sz w:val="20"/>
          <w:szCs w:val="20"/>
          <w:color w:val="auto"/>
        </w:rPr>
      </w:pPr>
      <w:r>
        <w:rPr>
          <w:rFonts w:ascii="Arial" w:cs="Arial" w:eastAsia="Arial" w:hAnsi="Arial"/>
          <w:sz w:val="18"/>
          <w:szCs w:val="18"/>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188" w:lineRule="exact"/>
        <w:rPr>
          <w:sz w:val="20"/>
          <w:szCs w:val="20"/>
          <w:color w:val="auto"/>
        </w:rPr>
      </w:pPr>
    </w:p>
    <w:p>
      <w:pPr>
        <w:ind w:firstLine="639"/>
        <w:spacing w:after="0" w:line="267" w:lineRule="auto"/>
        <w:rPr>
          <w:sz w:val="20"/>
          <w:szCs w:val="20"/>
          <w:color w:val="auto"/>
        </w:rPr>
      </w:pPr>
      <w:r>
        <w:rPr>
          <w:rFonts w:ascii="Arial" w:cs="Arial" w:eastAsia="Arial" w:hAnsi="Arial"/>
          <w:sz w:val="17"/>
          <w:szCs w:val="17"/>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639"/>
        <w:spacing w:after="0" w:line="250" w:lineRule="auto"/>
        <w:rPr>
          <w:sz w:val="20"/>
          <w:szCs w:val="20"/>
          <w:color w:val="auto"/>
        </w:rPr>
      </w:pPr>
      <w:r>
        <w:rPr>
          <w:rFonts w:ascii="Arial" w:cs="Arial" w:eastAsia="Arial" w:hAnsi="Arial"/>
          <w:sz w:val="18"/>
          <w:szCs w:val="18"/>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96" w:lineRule="exact"/>
        <w:rPr>
          <w:sz w:val="20"/>
          <w:szCs w:val="20"/>
          <w:color w:val="auto"/>
        </w:rPr>
      </w:pPr>
    </w:p>
    <w:p>
      <w:pPr>
        <w:ind w:right="80" w:firstLine="639"/>
        <w:spacing w:after="0" w:line="257" w:lineRule="auto"/>
        <w:rPr>
          <w:sz w:val="20"/>
          <w:szCs w:val="20"/>
          <w:color w:val="auto"/>
        </w:rPr>
      </w:pPr>
      <w:r>
        <w:rPr>
          <w:rFonts w:ascii="Arial" w:cs="Arial" w:eastAsia="Arial" w:hAnsi="Arial"/>
          <w:sz w:val="18"/>
          <w:szCs w:val="18"/>
          <w:color w:val="auto"/>
        </w:rPr>
        <w:t>A mark-to-market election is not permitted for the shares of any of our subsidiaries that are also classified as PFICs. Prospective investors should consult their own tax advisors regarding the availability of, and the procedure for, and the effect of making, a mark-to-market election, and whether making the election would be advisable, including in light of their particular circumstances.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“QEF” Election</w:t>
      </w:r>
    </w:p>
    <w:p>
      <w:pPr>
        <w:spacing w:after="0" w:line="219" w:lineRule="exact"/>
        <w:rPr>
          <w:sz w:val="20"/>
          <w:szCs w:val="20"/>
          <w:color w:val="auto"/>
        </w:rPr>
      </w:pPr>
    </w:p>
    <w:p>
      <w:pPr>
        <w:ind w:right="80" w:firstLine="639"/>
        <w:spacing w:after="0" w:line="279" w:lineRule="auto"/>
        <w:rPr>
          <w:sz w:val="20"/>
          <w:szCs w:val="20"/>
          <w:color w:val="auto"/>
        </w:rPr>
      </w:pPr>
      <w:r>
        <w:rPr>
          <w:rFonts w:ascii="Arial" w:cs="Arial" w:eastAsia="Arial" w:hAnsi="Arial"/>
          <w:sz w:val="17"/>
          <w:szCs w:val="17"/>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71" w:lineRule="exact"/>
        <w:rPr>
          <w:sz w:val="20"/>
          <w:szCs w:val="20"/>
          <w:color w:val="auto"/>
        </w:rPr>
      </w:pPr>
    </w:p>
    <w:p>
      <w:pPr>
        <w:ind w:right="80" w:firstLine="639"/>
        <w:spacing w:after="0" w:line="304" w:lineRule="auto"/>
        <w:rPr>
          <w:sz w:val="20"/>
          <w:szCs w:val="20"/>
          <w:color w:val="auto"/>
        </w:rPr>
      </w:pPr>
      <w:r>
        <w:rPr>
          <w:rFonts w:ascii="Arial" w:cs="Arial" w:eastAsia="Arial" w:hAnsi="Arial"/>
          <w:sz w:val="16"/>
          <w:szCs w:val="16"/>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53" w:lineRule="exact"/>
        <w:rPr>
          <w:sz w:val="20"/>
          <w:szCs w:val="20"/>
          <w:color w:val="auto"/>
        </w:rPr>
      </w:pPr>
    </w:p>
    <w:p>
      <w:pPr>
        <w:ind w:firstLine="639"/>
        <w:spacing w:after="0" w:line="257" w:lineRule="auto"/>
        <w:rPr>
          <w:sz w:val="20"/>
          <w:szCs w:val="20"/>
          <w:color w:val="auto"/>
        </w:rPr>
      </w:pPr>
      <w:r>
        <w:rPr>
          <w:rFonts w:ascii="Arial" w:cs="Arial" w:eastAsia="Arial" w:hAnsi="Arial"/>
          <w:sz w:val="18"/>
          <w:szCs w:val="18"/>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88" w:lineRule="exact"/>
        <w:rPr>
          <w:sz w:val="20"/>
          <w:szCs w:val="20"/>
          <w:color w:val="auto"/>
        </w:rPr>
      </w:pPr>
    </w:p>
    <w:p>
      <w:pPr>
        <w:ind w:right="420" w:firstLine="639"/>
        <w:spacing w:after="0" w:line="267"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Specified Foreign Financial Assets</w:t>
      </w:r>
    </w:p>
    <w:p>
      <w:pPr>
        <w:spacing w:after="0" w:line="225" w:lineRule="exact"/>
        <w:rPr>
          <w:sz w:val="20"/>
          <w:szCs w:val="20"/>
          <w:color w:val="auto"/>
        </w:rPr>
      </w:pPr>
    </w:p>
    <w:p>
      <w:pPr>
        <w:ind w:right="60" w:firstLine="639"/>
        <w:spacing w:after="0" w:line="268" w:lineRule="auto"/>
        <w:rPr>
          <w:sz w:val="20"/>
          <w:szCs w:val="20"/>
          <w:color w:val="auto"/>
        </w:rPr>
      </w:pPr>
      <w:r>
        <w:rPr>
          <w:rFonts w:ascii="Arial" w:cs="Arial" w:eastAsia="Arial" w:hAnsi="Arial"/>
          <w:sz w:val="17"/>
          <w:szCs w:val="17"/>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may apply to these payments if the U.S. Holder fails to timely provide an accurate taxpayer identification number or otherwise fails to comply with, or establish an exemption from, such backup withholding tax requirements. Certain U.S. Holders (including, among others, certain corporations) are not subject to the information reporting or backup withholding tax requirements described herein. U.S. Holders should consult their tax advisors as to their qualification for exemption from backup withholding tax and the procedure for establishing an exemption.</w:t>
      </w:r>
    </w:p>
    <w:p>
      <w:pPr>
        <w:spacing w:after="0" w:line="182" w:lineRule="exact"/>
        <w:rPr>
          <w:sz w:val="20"/>
          <w:szCs w:val="20"/>
          <w:color w:val="auto"/>
        </w:rPr>
      </w:pPr>
    </w:p>
    <w:p>
      <w:pPr>
        <w:ind w:right="80" w:firstLine="639"/>
        <w:spacing w:after="0" w:line="252" w:lineRule="auto"/>
        <w:rPr>
          <w:sz w:val="20"/>
          <w:szCs w:val="20"/>
          <w:color w:val="auto"/>
        </w:rPr>
      </w:pPr>
      <w:r>
        <w:rPr>
          <w:rFonts w:ascii="Arial" w:cs="Arial" w:eastAsia="Arial" w:hAnsi="Arial"/>
          <w:sz w:val="18"/>
          <w:szCs w:val="18"/>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220" w:firstLine="639"/>
        <w:spacing w:after="0" w:line="257" w:lineRule="auto"/>
        <w:rPr>
          <w:sz w:val="20"/>
          <w:szCs w:val="20"/>
          <w:color w:val="auto"/>
        </w:rPr>
      </w:pPr>
      <w:r>
        <w:rPr>
          <w:rFonts w:ascii="Arial" w:cs="Arial" w:eastAsia="Arial" w:hAnsi="Arial"/>
          <w:sz w:val="18"/>
          <w:szCs w:val="18"/>
          <w:color w:val="auto"/>
        </w:rPr>
        <w:t>THE ABOVE DISCUSSION DOES NOT COVER ALL TAX MATTERS THAT MAY BE OF IMPORTANCE TO A PARTICULAR INVESTOR. PROSPECTIVE INVESTORS ARE STRONGLY URGED TO CONSULT THEIR OWN TAX ADVISORS ABOUT THE TAX CONSEQUENCES OF AN INVESTMENT IN OUR ORDINARY SHARES OR ADSs.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Civil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an exempted company incorporated in the Cayman Islands because of the following benefits found there:</w:t>
      </w:r>
    </w:p>
    <w:p>
      <w:pPr>
        <w:spacing w:after="0" w:line="219" w:lineRule="exact"/>
        <w:rPr>
          <w:sz w:val="20"/>
          <w:szCs w:val="20"/>
          <w:color w:val="auto"/>
        </w:rPr>
      </w:pPr>
    </w:p>
    <w:p>
      <w:pPr>
        <w:ind w:left="620" w:hanging="294"/>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19" w:lineRule="exact"/>
        <w:rPr>
          <w:rFonts w:ascii="Arial" w:cs="Arial" w:eastAsia="Arial" w:hAnsi="Arial"/>
          <w:sz w:val="18"/>
          <w:szCs w:val="18"/>
          <w:color w:val="auto"/>
        </w:rPr>
      </w:pPr>
    </w:p>
    <w:p>
      <w:pPr>
        <w:ind w:left="620" w:hanging="294"/>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42" w:lineRule="exact"/>
        <w:rPr>
          <w:sz w:val="20"/>
          <w:szCs w:val="20"/>
          <w:color w:val="auto"/>
        </w:rPr>
      </w:pPr>
    </w:p>
    <w:p>
      <w:pPr>
        <w:ind w:left="640" w:right="700" w:hanging="314"/>
        <w:spacing w:after="0" w:line="267" w:lineRule="auto"/>
        <w:tabs>
          <w:tab w:leader="none" w:pos="6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178" w:lineRule="exact"/>
        <w:rPr>
          <w:rFonts w:ascii="Arial" w:cs="Arial" w:eastAsia="Arial" w:hAnsi="Arial"/>
          <w:sz w:val="18"/>
          <w:szCs w:val="18"/>
          <w:color w:val="auto"/>
        </w:rPr>
      </w:pPr>
    </w:p>
    <w:p>
      <w:pPr>
        <w:ind w:left="620" w:hanging="294"/>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19" w:lineRule="exact"/>
        <w:rPr>
          <w:sz w:val="20"/>
          <w:szCs w:val="20"/>
          <w:color w:val="auto"/>
        </w:rPr>
      </w:pPr>
    </w:p>
    <w:p>
      <w:pPr>
        <w:ind w:right="380" w:firstLine="639"/>
        <w:spacing w:after="0" w:line="26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9" w:lineRule="exact"/>
        <w:rPr>
          <w:sz w:val="20"/>
          <w:szCs w:val="20"/>
          <w:color w:val="auto"/>
        </w:rPr>
      </w:pPr>
    </w:p>
    <w:p>
      <w:pPr>
        <w:ind w:firstLine="639"/>
        <w:spacing w:after="0" w:line="291" w:lineRule="auto"/>
        <w:rPr>
          <w:sz w:val="20"/>
          <w:szCs w:val="20"/>
          <w:color w:val="auto"/>
        </w:rPr>
      </w:pPr>
      <w:r>
        <w:rPr>
          <w:rFonts w:ascii="Arial" w:cs="Arial" w:eastAsia="Arial" w:hAnsi="Arial"/>
          <w:sz w:val="16"/>
          <w:szCs w:val="16"/>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3" w:lineRule="exact"/>
        <w:rPr>
          <w:sz w:val="20"/>
          <w:szCs w:val="20"/>
          <w:color w:val="auto"/>
        </w:rPr>
      </w:pPr>
    </w:p>
    <w:p>
      <w:pPr>
        <w:ind w:right="320" w:firstLine="639"/>
        <w:spacing w:after="0" w:line="267" w:lineRule="auto"/>
        <w:rPr>
          <w:sz w:val="20"/>
          <w:szCs w:val="20"/>
          <w:color w:val="auto"/>
        </w:rPr>
      </w:pPr>
      <w:r>
        <w:rPr>
          <w:rFonts w:ascii="Arial" w:cs="Arial" w:eastAsia="Arial" w:hAnsi="Arial"/>
          <w:sz w:val="18"/>
          <w:szCs w:val="18"/>
          <w:color w:val="auto"/>
        </w:rPr>
        <w:t>Maples and Calder (Hong Kong) LLP, our counsel as to Cayman Islands law, and Jun He Lawyers, our counsel as to Chinese law, have advised us, respectively, that there is uncertainty as to whether the courts of the Cayman Islands or China would:</w:t>
      </w:r>
    </w:p>
    <w:p>
      <w:pPr>
        <w:spacing w:after="0" w:line="179" w:lineRule="exact"/>
        <w:rPr>
          <w:sz w:val="20"/>
          <w:szCs w:val="20"/>
          <w:color w:val="auto"/>
        </w:rPr>
      </w:pPr>
    </w:p>
    <w:p>
      <w:pPr>
        <w:ind w:right="80" w:firstLine="646"/>
        <w:spacing w:after="0" w:line="267" w:lineRule="auto"/>
        <w:tabs>
          <w:tab w:leader="none" w:pos="8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8" w:lineRule="exact"/>
        <w:rPr>
          <w:rFonts w:ascii="Arial" w:cs="Arial" w:eastAsia="Arial" w:hAnsi="Arial"/>
          <w:sz w:val="18"/>
          <w:szCs w:val="18"/>
          <w:color w:val="auto"/>
        </w:rPr>
      </w:pPr>
    </w:p>
    <w:p>
      <w:pPr>
        <w:ind w:right="200" w:firstLine="646"/>
        <w:spacing w:after="0" w:line="267" w:lineRule="auto"/>
        <w:tabs>
          <w:tab w:leader="none" w:pos="8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79" w:lineRule="exact"/>
        <w:rPr>
          <w:sz w:val="20"/>
          <w:szCs w:val="20"/>
          <w:color w:val="auto"/>
        </w:rPr>
      </w:pPr>
    </w:p>
    <w:p>
      <w:pPr>
        <w:ind w:right="40" w:firstLine="639"/>
        <w:spacing w:after="0" w:line="279" w:lineRule="auto"/>
        <w:rPr>
          <w:sz w:val="20"/>
          <w:szCs w:val="20"/>
          <w:color w:val="auto"/>
        </w:rPr>
      </w:pPr>
      <w:r>
        <w:rPr>
          <w:rFonts w:ascii="Arial" w:cs="Arial" w:eastAsia="Arial" w:hAnsi="Arial"/>
          <w:sz w:val="16"/>
          <w:szCs w:val="16"/>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w:t>
      </w:r>
    </w:p>
    <w:p>
      <w:pPr>
        <w:spacing w:after="0" w:line="5" w:lineRule="exact"/>
        <w:rPr>
          <w:sz w:val="20"/>
          <w:szCs w:val="20"/>
          <w:color w:val="auto"/>
        </w:rPr>
      </w:pPr>
    </w:p>
    <w:p>
      <w:pPr>
        <w:ind w:right="60" w:firstLine="7"/>
        <w:spacing w:after="0" w:line="250" w:lineRule="auto"/>
        <w:tabs>
          <w:tab w:leader="none" w:pos="2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00" w:firstLine="639"/>
        <w:spacing w:after="0" w:line="279" w:lineRule="auto"/>
        <w:rPr>
          <w:sz w:val="20"/>
          <w:szCs w:val="20"/>
          <w:color w:val="auto"/>
        </w:rPr>
      </w:pPr>
      <w:r>
        <w:rPr>
          <w:rFonts w:ascii="Arial" w:cs="Arial" w:eastAsia="Arial" w:hAnsi="Arial"/>
          <w:sz w:val="17"/>
          <w:szCs w:val="17"/>
          <w:color w:val="auto"/>
        </w:rPr>
        <w:t>Jun He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65" w:lineRule="exact"/>
        <w:rPr>
          <w:sz w:val="20"/>
          <w:szCs w:val="20"/>
          <w:color w:val="auto"/>
        </w:rPr>
      </w:pPr>
    </w:p>
    <w:p>
      <w:pPr>
        <w:ind w:left="640" w:right="8520" w:hanging="633"/>
        <w:spacing w:after="0" w:line="494" w:lineRule="auto"/>
        <w:tabs>
          <w:tab w:leader="none" w:pos="63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40" w:right="9080" w:hanging="633"/>
        <w:spacing w:after="0" w:line="555" w:lineRule="auto"/>
        <w:tabs>
          <w:tab w:leader="none" w:pos="649"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3"/>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5" w:lineRule="exact"/>
        <w:rPr>
          <w:sz w:val="20"/>
          <w:szCs w:val="20"/>
          <w:color w:val="auto"/>
        </w:rPr>
      </w:pPr>
    </w:p>
    <w:p>
      <w:pPr>
        <w:ind w:right="380" w:firstLine="639"/>
        <w:spacing w:after="0" w:line="267" w:lineRule="auto"/>
        <w:rPr>
          <w:sz w:val="20"/>
          <w:szCs w:val="20"/>
          <w:color w:val="auto"/>
        </w:rPr>
      </w:pPr>
      <w:r>
        <w:rPr>
          <w:rFonts w:ascii="Arial" w:cs="Arial" w:eastAsia="Arial" w:hAnsi="Arial"/>
          <w:sz w:val="18"/>
          <w:szCs w:val="18"/>
          <w:color w:val="auto"/>
        </w:rPr>
        <w:t>We have previously filed with the SEC our registration statement on Form F-1 and prospectus under the Securities Act of 1933, as amended, with respect to our ADSs.</w:t>
      </w:r>
    </w:p>
    <w:p>
      <w:pPr>
        <w:spacing w:after="0" w:line="179" w:lineRule="exact"/>
        <w:rPr>
          <w:sz w:val="20"/>
          <w:szCs w:val="20"/>
          <w:color w:val="auto"/>
        </w:rPr>
      </w:pPr>
    </w:p>
    <w:p>
      <w:pPr>
        <w:ind w:right="40" w:firstLine="639"/>
        <w:spacing w:after="0" w:line="250" w:lineRule="auto"/>
        <w:rPr>
          <w:sz w:val="20"/>
          <w:szCs w:val="20"/>
          <w:color w:val="auto"/>
        </w:rPr>
      </w:pPr>
      <w:r>
        <w:rPr>
          <w:rFonts w:ascii="Arial" w:cs="Arial" w:eastAsia="Arial" w:hAnsi="Arial"/>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w:t>
      </w:r>
    </w:p>
    <w:p>
      <w:pPr>
        <w:spacing w:after="0" w:line="196" w:lineRule="exact"/>
        <w:rPr>
          <w:sz w:val="20"/>
          <w:szCs w:val="20"/>
          <w:color w:val="auto"/>
        </w:rPr>
      </w:pPr>
    </w:p>
    <w:p>
      <w:pPr>
        <w:jc w:val="both"/>
        <w:ind w:right="20" w:firstLine="639"/>
        <w:spacing w:after="0" w:line="257"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219" w:lineRule="exact"/>
        <w:rPr>
          <w:sz w:val="20"/>
          <w:szCs w:val="20"/>
          <w:color w:val="auto"/>
        </w:rPr>
      </w:pPr>
    </w:p>
    <w:p>
      <w:pPr>
        <w:ind w:firstLine="639"/>
        <w:spacing w:after="0" w:line="330" w:lineRule="auto"/>
        <w:rPr>
          <w:sz w:val="20"/>
          <w:szCs w:val="20"/>
          <w:color w:val="auto"/>
        </w:rPr>
      </w:pPr>
      <w:r>
        <w:rPr>
          <w:rFonts w:ascii="Arial" w:cs="Arial" w:eastAsia="Arial" w:hAnsi="Arial"/>
          <w:sz w:val="16"/>
          <w:szCs w:val="16"/>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27" w:lineRule="exact"/>
        <w:rPr>
          <w:sz w:val="20"/>
          <w:szCs w:val="20"/>
          <w:color w:val="auto"/>
        </w:rPr>
      </w:pPr>
    </w:p>
    <w:p>
      <w:pPr>
        <w:ind w:left="640" w:right="8940" w:hanging="633"/>
        <w:spacing w:after="0" w:line="555" w:lineRule="auto"/>
        <w:tabs>
          <w:tab w:leader="none" w:pos="647"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Please refer to Item 5.F. “Operating and Financial Review and Prospects—Quantitative and Qualitative Disclosures About Market Risk.”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19" w:lineRule="exact"/>
        <w:rPr>
          <w:sz w:val="20"/>
          <w:szCs w:val="20"/>
          <w:color w:val="auto"/>
        </w:rPr>
      </w:pPr>
    </w:p>
    <w:p>
      <w:pPr>
        <w:ind w:left="640" w:right="9620" w:hanging="633"/>
        <w:spacing w:after="0" w:line="635" w:lineRule="auto"/>
        <w:tabs>
          <w:tab w:leader="none" w:pos="653"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Debt Securities </w:t>
      </w:r>
      <w:r>
        <w:rPr>
          <w:rFonts w:ascii="Arial" w:cs="Arial" w:eastAsia="Arial" w:hAnsi="Arial"/>
          <w:sz w:val="14"/>
          <w:szCs w:val="14"/>
          <w:color w:val="auto"/>
        </w:rPr>
        <w:t>Not applicable.</w:t>
      </w:r>
    </w:p>
    <w:p>
      <w:pPr>
        <w:ind w:left="640" w:right="9180" w:hanging="633"/>
        <w:spacing w:after="0" w:line="555" w:lineRule="auto"/>
        <w:tabs>
          <w:tab w:leader="none" w:pos="643"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40" w:right="9520" w:hanging="633"/>
        <w:spacing w:after="0" w:line="555" w:lineRule="auto"/>
        <w:tabs>
          <w:tab w:leader="none" w:pos="653"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3"/>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25" w:lineRule="exact"/>
        <w:rPr>
          <w:sz w:val="20"/>
          <w:szCs w:val="20"/>
          <w:color w:val="auto"/>
        </w:rPr>
      </w:pPr>
    </w:p>
    <w:p>
      <w:pPr>
        <w:ind w:right="80" w:firstLine="639"/>
        <w:spacing w:after="0" w:line="253" w:lineRule="auto"/>
        <w:rPr>
          <w:sz w:val="20"/>
          <w:szCs w:val="20"/>
          <w:color w:val="auto"/>
        </w:rPr>
      </w:pPr>
      <w:r>
        <w:rPr>
          <w:rFonts w:ascii="Arial" w:cs="Arial" w:eastAsia="Arial" w:hAnsi="Arial"/>
          <w:sz w:val="18"/>
          <w:szCs w:val="18"/>
          <w:color w:val="auto"/>
        </w:rPr>
        <w:t>The Bank of New York Mellon, the depositary of our ADS program,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Persons depositing or withdrawing shares must pay:</w:t>
            </w:r>
          </w:p>
        </w:tc>
        <w:tc>
          <w:tcPr>
            <w:tcW w:w="240" w:type="dxa"/>
            <w:vAlign w:val="bottom"/>
          </w:tcPr>
          <w:p>
            <w:pPr>
              <w:spacing w:after="0"/>
              <w:rPr>
                <w:sz w:val="14"/>
                <w:szCs w:val="14"/>
                <w:color w:val="auto"/>
              </w:rPr>
            </w:pPr>
          </w:p>
        </w:tc>
        <w:tc>
          <w:tcPr>
            <w:tcW w:w="558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For:</w:t>
            </w:r>
          </w:p>
        </w:tc>
      </w:tr>
      <w:tr>
        <w:trPr>
          <w:trHeight w:val="407"/>
        </w:trPr>
        <w:tc>
          <w:tcPr>
            <w:tcW w:w="5840" w:type="dxa"/>
            <w:vAlign w:val="bottom"/>
            <w:gridSpan w:val="2"/>
          </w:tcPr>
          <w:p>
            <w:pPr>
              <w:spacing w:after="0"/>
              <w:rPr>
                <w:sz w:val="20"/>
                <w:szCs w:val="20"/>
                <w:color w:val="auto"/>
              </w:rPr>
            </w:pPr>
            <w:r>
              <w:rPr>
                <w:rFonts w:ascii="Arial" w:cs="Arial" w:eastAsia="Arial" w:hAnsi="Arial"/>
                <w:sz w:val="18"/>
                <w:szCs w:val="18"/>
                <w:color w:val="auto"/>
              </w:rPr>
              <w:t>Up to US$0.05 per ADS</w:t>
            </w:r>
          </w:p>
        </w:tc>
        <w:tc>
          <w:tcPr>
            <w:tcW w:w="5580" w:type="dxa"/>
            <w:vAlign w:val="bottom"/>
          </w:tcPr>
          <w:p>
            <w:pPr>
              <w:spacing w:after="0"/>
              <w:rPr>
                <w:sz w:val="20"/>
                <w:szCs w:val="20"/>
                <w:color w:val="auto"/>
              </w:rPr>
            </w:pPr>
            <w:r>
              <w:rPr>
                <w:rFonts w:ascii="Arial" w:cs="Arial" w:eastAsia="Arial" w:hAnsi="Arial"/>
                <w:sz w:val="18"/>
                <w:szCs w:val="18"/>
                <w:color w:val="auto"/>
                <w:w w:val="97"/>
              </w:rPr>
              <w:t>·   Issuance of ADSs, including issuances resulting from a distribution of</w:t>
            </w:r>
          </w:p>
        </w:tc>
      </w:tr>
      <w:tr>
        <w:trPr>
          <w:trHeight w:val="224"/>
        </w:trPr>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ordinary shares or rights or other property</w:t>
            </w:r>
          </w:p>
        </w:tc>
      </w:tr>
      <w:tr>
        <w:trPr>
          <w:trHeight w:val="426"/>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   Cancellation or withdrawals of ADSs</w:t>
            </w:r>
          </w:p>
        </w:tc>
      </w:tr>
      <w:tr>
        <w:trPr>
          <w:trHeight w:val="415"/>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3"/>
              </w:rPr>
              <w:t>·   Distribution of ADSs pursuant to stock dividends, free stock distributions</w:t>
            </w:r>
          </w:p>
        </w:tc>
      </w:tr>
      <w:tr>
        <w:trPr>
          <w:trHeight w:val="224"/>
        </w:trPr>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or exercise of rights</w:t>
            </w:r>
          </w:p>
        </w:tc>
      </w:tr>
      <w:tr>
        <w:trPr>
          <w:trHeight w:val="415"/>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   Distributions of securities other than ADSs or rights to purchase</w:t>
            </w:r>
          </w:p>
        </w:tc>
      </w:tr>
      <w:tr>
        <w:trPr>
          <w:trHeight w:val="224"/>
        </w:trPr>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additional ADSs</w:t>
            </w:r>
          </w:p>
        </w:tc>
      </w:tr>
      <w:tr>
        <w:trPr>
          <w:trHeight w:val="426"/>
        </w:trPr>
        <w:tc>
          <w:tcPr>
            <w:tcW w:w="5840" w:type="dxa"/>
            <w:vAlign w:val="bottom"/>
            <w:gridSpan w:val="2"/>
          </w:tcPr>
          <w:p>
            <w:pPr>
              <w:spacing w:after="0"/>
              <w:rPr>
                <w:sz w:val="20"/>
                <w:szCs w:val="20"/>
                <w:color w:val="auto"/>
              </w:rPr>
            </w:pPr>
            <w:r>
              <w:rPr>
                <w:rFonts w:ascii="Arial" w:cs="Arial" w:eastAsia="Arial" w:hAnsi="Arial"/>
                <w:sz w:val="18"/>
                <w:szCs w:val="18"/>
                <w:color w:val="auto"/>
              </w:rPr>
              <w:t>Up to US$0.01 per ADS</w:t>
            </w:r>
          </w:p>
        </w:tc>
        <w:tc>
          <w:tcPr>
            <w:tcW w:w="5580" w:type="dxa"/>
            <w:vAlign w:val="bottom"/>
          </w:tcPr>
          <w:p>
            <w:pPr>
              <w:spacing w:after="0"/>
              <w:rPr>
                <w:sz w:val="20"/>
                <w:szCs w:val="20"/>
                <w:color w:val="auto"/>
              </w:rPr>
            </w:pPr>
            <w:r>
              <w:rPr>
                <w:rFonts w:ascii="Arial" w:cs="Arial" w:eastAsia="Arial" w:hAnsi="Arial"/>
                <w:sz w:val="18"/>
                <w:szCs w:val="18"/>
                <w:color w:val="auto"/>
              </w:rPr>
              <w:t>·   Distributions of cash dividends or other cash distributions</w:t>
            </w:r>
          </w:p>
        </w:tc>
      </w:tr>
      <w:tr>
        <w:trPr>
          <w:trHeight w:val="426"/>
        </w:trPr>
        <w:tc>
          <w:tcPr>
            <w:tcW w:w="5840" w:type="dxa"/>
            <w:vAlign w:val="bottom"/>
            <w:gridSpan w:val="2"/>
          </w:tcPr>
          <w:p>
            <w:pPr>
              <w:spacing w:after="0"/>
              <w:rPr>
                <w:sz w:val="20"/>
                <w:szCs w:val="20"/>
                <w:color w:val="auto"/>
              </w:rPr>
            </w:pPr>
            <w:r>
              <w:rPr>
                <w:rFonts w:ascii="Arial" w:cs="Arial" w:eastAsia="Arial" w:hAnsi="Arial"/>
                <w:sz w:val="18"/>
                <w:szCs w:val="18"/>
                <w:color w:val="auto"/>
              </w:rPr>
              <w:t>US$1.5 per certificate presented for transfer</w:t>
            </w:r>
          </w:p>
        </w:tc>
        <w:tc>
          <w:tcPr>
            <w:tcW w:w="5580" w:type="dxa"/>
            <w:vAlign w:val="bottom"/>
          </w:tcPr>
          <w:p>
            <w:pPr>
              <w:spacing w:after="0"/>
              <w:rPr>
                <w:sz w:val="20"/>
                <w:szCs w:val="20"/>
                <w:color w:val="auto"/>
              </w:rPr>
            </w:pPr>
            <w:r>
              <w:rPr>
                <w:rFonts w:ascii="Arial" w:cs="Arial" w:eastAsia="Arial" w:hAnsi="Arial"/>
                <w:sz w:val="18"/>
                <w:szCs w:val="18"/>
                <w:color w:val="auto"/>
              </w:rPr>
              <w:t>·   Transfer of American depositary receipts, or ADRs</w:t>
            </w:r>
          </w:p>
        </w:tc>
      </w:tr>
      <w:tr>
        <w:trPr>
          <w:trHeight w:val="415"/>
        </w:trPr>
        <w:tc>
          <w:tcPr>
            <w:tcW w:w="5840" w:type="dxa"/>
            <w:vAlign w:val="bottom"/>
            <w:gridSpan w:val="2"/>
          </w:tcPr>
          <w:p>
            <w:pPr>
              <w:spacing w:after="0"/>
              <w:rPr>
                <w:sz w:val="20"/>
                <w:szCs w:val="20"/>
                <w:color w:val="auto"/>
              </w:rPr>
            </w:pPr>
            <w:r>
              <w:rPr>
                <w:rFonts w:ascii="Arial" w:cs="Arial" w:eastAsia="Arial" w:hAnsi="Arial"/>
                <w:sz w:val="18"/>
                <w:szCs w:val="18"/>
                <w:color w:val="auto"/>
                <w:w w:val="92"/>
              </w:rPr>
              <w:t>Taxes and other governmental charges the depositary or the custodian have to</w:t>
            </w:r>
          </w:p>
        </w:tc>
        <w:tc>
          <w:tcPr>
            <w:tcW w:w="5580" w:type="dxa"/>
            <w:vAlign w:val="bottom"/>
          </w:tcPr>
          <w:p>
            <w:pPr>
              <w:spacing w:after="0"/>
              <w:rPr>
                <w:sz w:val="20"/>
                <w:szCs w:val="20"/>
                <w:color w:val="auto"/>
              </w:rPr>
            </w:pPr>
            <w:r>
              <w:rPr>
                <w:rFonts w:ascii="Arial" w:cs="Arial" w:eastAsia="Arial" w:hAnsi="Arial"/>
                <w:sz w:val="18"/>
                <w:szCs w:val="18"/>
                <w:color w:val="auto"/>
              </w:rPr>
              <w:t>·   As necessary</w:t>
            </w:r>
          </w:p>
        </w:tc>
      </w:tr>
      <w:tr>
        <w:trPr>
          <w:trHeight w:val="213"/>
        </w:trPr>
        <w:tc>
          <w:tcPr>
            <w:tcW w:w="5840" w:type="dxa"/>
            <w:vAlign w:val="bottom"/>
            <w:gridSpan w:val="2"/>
          </w:tcPr>
          <w:p>
            <w:pPr>
              <w:spacing w:after="0"/>
              <w:rPr>
                <w:sz w:val="20"/>
                <w:szCs w:val="20"/>
                <w:color w:val="auto"/>
              </w:rPr>
            </w:pPr>
            <w:r>
              <w:rPr>
                <w:rFonts w:ascii="Arial" w:cs="Arial" w:eastAsia="Arial" w:hAnsi="Arial"/>
                <w:sz w:val="18"/>
                <w:szCs w:val="18"/>
                <w:color w:val="auto"/>
                <w:w w:val="98"/>
              </w:rPr>
              <w:t>pay on any ADS or ordinary shares underlying an ADS, for example, stock</w:t>
            </w:r>
          </w:p>
        </w:tc>
        <w:tc>
          <w:tcPr>
            <w:tcW w:w="5580" w:type="dxa"/>
            <w:vAlign w:val="bottom"/>
          </w:tcPr>
          <w:p>
            <w:pPr>
              <w:spacing w:after="0"/>
              <w:rPr>
                <w:sz w:val="18"/>
                <w:szCs w:val="18"/>
                <w:color w:val="auto"/>
              </w:rPr>
            </w:pPr>
          </w:p>
        </w:tc>
      </w:tr>
      <w:tr>
        <w:trPr>
          <w:trHeight w:val="224"/>
        </w:trPr>
        <w:tc>
          <w:tcPr>
            <w:tcW w:w="5840" w:type="dxa"/>
            <w:vAlign w:val="bottom"/>
            <w:gridSpan w:val="2"/>
          </w:tcPr>
          <w:p>
            <w:pPr>
              <w:spacing w:after="0"/>
              <w:rPr>
                <w:sz w:val="20"/>
                <w:szCs w:val="20"/>
                <w:color w:val="auto"/>
              </w:rPr>
            </w:pPr>
            <w:r>
              <w:rPr>
                <w:rFonts w:ascii="Arial" w:cs="Arial" w:eastAsia="Arial" w:hAnsi="Arial"/>
                <w:sz w:val="18"/>
                <w:szCs w:val="18"/>
                <w:color w:val="auto"/>
              </w:rPr>
              <w:t>transfer taxes, stamp duty or withholding taxes</w:t>
            </w:r>
          </w:p>
        </w:tc>
        <w:tc>
          <w:tcPr>
            <w:tcW w:w="5580" w:type="dxa"/>
            <w:vAlign w:val="bottom"/>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5" w:lineRule="exact"/>
        <w:rPr>
          <w:sz w:val="20"/>
          <w:szCs w:val="20"/>
          <w:color w:val="auto"/>
        </w:rPr>
      </w:pPr>
    </w:p>
    <w:p>
      <w:pPr>
        <w:ind w:right="140" w:firstLine="639"/>
        <w:spacing w:after="0" w:line="257" w:lineRule="auto"/>
        <w:rPr>
          <w:sz w:val="20"/>
          <w:szCs w:val="20"/>
          <w:color w:val="auto"/>
        </w:rPr>
      </w:pPr>
      <w:r>
        <w:rPr>
          <w:rFonts w:ascii="Arial" w:cs="Arial" w:eastAsia="Arial" w:hAnsi="Arial"/>
          <w:sz w:val="18"/>
          <w:szCs w:val="18"/>
          <w:color w:val="auto"/>
        </w:rPr>
        <w:t>We did not receive any direct or indirect payment from the depositary in 2018, except that the depositary has agreed to waive certain fees for standard costs associated with the administration of the ADS program and waived such costs in an aggregate amount of US$26,339 for the year ended December 31,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5" w:lineRule="exact"/>
        <w:rPr>
          <w:sz w:val="20"/>
          <w:szCs w:val="20"/>
          <w:color w:val="auto"/>
        </w:rPr>
      </w:pPr>
    </w:p>
    <w:p>
      <w:pPr>
        <w:ind w:right="20" w:firstLine="639"/>
        <w:spacing w:after="0" w:line="253" w:lineRule="auto"/>
        <w:rPr>
          <w:sz w:val="20"/>
          <w:szCs w:val="20"/>
          <w:color w:val="auto"/>
        </w:rPr>
      </w:pPr>
      <w:r>
        <w:rPr>
          <w:rFonts w:ascii="Arial" w:cs="Arial" w:eastAsia="Arial" w:hAnsi="Arial"/>
          <w:sz w:val="18"/>
          <w:szCs w:val="18"/>
          <w:color w:val="auto"/>
        </w:rPr>
        <w:t>Our management, with the participation of William Lei Ding, our Chief Executive Officer, and Charles Zhaoxuan Yang, our Chief Financial Officer, have conducted an evaluation pursuant to Rule 13a-15 promulgated under the Exchange Act, as amended, of the effectiveness of our disclosure controls and procedures as of December 31, 2018. Based on this evaluation, our Chief Executive Officer and Chief Financial Officer concluded that such disclosure controls and procedures were effective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5" w:lineRule="exact"/>
        <w:rPr>
          <w:sz w:val="20"/>
          <w:szCs w:val="20"/>
          <w:color w:val="auto"/>
        </w:rPr>
      </w:pPr>
    </w:p>
    <w:p>
      <w:pPr>
        <w:ind w:right="200" w:firstLine="639"/>
        <w:spacing w:after="0" w:line="257" w:lineRule="auto"/>
        <w:rPr>
          <w:sz w:val="20"/>
          <w:szCs w:val="20"/>
          <w:color w:val="auto"/>
        </w:rPr>
      </w:pPr>
      <w:r>
        <w:rPr>
          <w:rFonts w:ascii="Arial" w:cs="Arial" w:eastAsia="Arial" w:hAnsi="Arial"/>
          <w:sz w:val="18"/>
          <w:szCs w:val="18"/>
          <w:color w:val="auto"/>
        </w:rPr>
        <w:t>Our management’s annual report on internal control over financial reporting is included in this annual report on pages F-1. PricewaterhouseCoopers Zhong Tian LLP, our independent registered public accounting firm, audited the effectiveness of our company’s internal control over the financial reporting period of December 31, 2018 as stated in this annual report on pages F-2.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ind w:firstLine="639"/>
        <w:spacing w:after="0" w:line="257"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5" w:lineRule="exact"/>
        <w:rPr>
          <w:sz w:val="20"/>
          <w:szCs w:val="20"/>
          <w:color w:val="auto"/>
        </w:rPr>
      </w:pPr>
    </w:p>
    <w:p>
      <w:pPr>
        <w:ind w:right="80" w:firstLine="639"/>
        <w:spacing w:after="0" w:line="267" w:lineRule="auto"/>
        <w:rPr>
          <w:sz w:val="20"/>
          <w:szCs w:val="20"/>
          <w:color w:val="auto"/>
        </w:rPr>
      </w:pPr>
      <w:r>
        <w:rPr>
          <w:rFonts w:ascii="Arial" w:cs="Arial" w:eastAsia="Arial" w:hAnsi="Arial"/>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4"/>
          <w:szCs w:val="14"/>
          <w:b w:val="1"/>
          <w:bCs w:val="1"/>
          <w:color w:val="auto"/>
        </w:rPr>
        <w:t>Code of Ethics</w:t>
      </w:r>
    </w:p>
    <w:p>
      <w:pPr>
        <w:spacing w:after="0" w:line="225" w:lineRule="exact"/>
        <w:rPr>
          <w:sz w:val="20"/>
          <w:szCs w:val="20"/>
          <w:color w:val="auto"/>
        </w:rPr>
      </w:pPr>
    </w:p>
    <w:p>
      <w:pPr>
        <w:ind w:right="100" w:firstLine="639"/>
        <w:spacing w:after="0" w:line="257" w:lineRule="auto"/>
        <w:rPr>
          <w:sz w:val="20"/>
          <w:szCs w:val="20"/>
          <w:color w:val="auto"/>
        </w:rPr>
      </w:pPr>
      <w:r>
        <w:rPr>
          <w:rFonts w:ascii="Arial" w:cs="Arial" w:eastAsia="Arial" w:hAnsi="Arial"/>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16C.</w:t>
            </w:r>
          </w:p>
        </w:tc>
        <w:tc>
          <w:tcPr>
            <w:tcW w:w="7980" w:type="dxa"/>
            <w:vAlign w:val="bottom"/>
            <w:gridSpan w:val="2"/>
          </w:tcPr>
          <w:p>
            <w:pPr>
              <w:jc w:val="right"/>
              <w:ind w:right="4813"/>
              <w:spacing w:after="0"/>
              <w:rPr>
                <w:sz w:val="20"/>
                <w:szCs w:val="20"/>
                <w:color w:val="auto"/>
              </w:rPr>
            </w:pPr>
            <w:r>
              <w:rPr>
                <w:rFonts w:ascii="Arial" w:cs="Arial" w:eastAsia="Arial" w:hAnsi="Arial"/>
                <w:sz w:val="18"/>
                <w:szCs w:val="18"/>
                <w:b w:val="1"/>
                <w:bCs w:val="1"/>
                <w:color w:val="auto"/>
                <w:w w:val="90"/>
              </w:rPr>
              <w:t>Principal Accountant Fees and Services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6"/>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Disclosure of Fees Charged by Independent Accountants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5"/>
        </w:trPr>
        <w:tc>
          <w:tcPr>
            <w:tcW w:w="11420" w:type="dxa"/>
            <w:vAlign w:val="bottom"/>
            <w:gridSpan w:val="9"/>
          </w:tcPr>
          <w:p>
            <w:pPr>
              <w:ind w:left="640"/>
              <w:spacing w:after="0"/>
              <w:rPr>
                <w:sz w:val="20"/>
                <w:szCs w:val="20"/>
                <w:color w:val="auto"/>
              </w:rPr>
            </w:pPr>
            <w:r>
              <w:rPr>
                <w:rFonts w:ascii="Arial" w:cs="Arial" w:eastAsia="Arial" w:hAnsi="Arial"/>
                <w:sz w:val="18"/>
                <w:szCs w:val="18"/>
                <w:color w:val="auto"/>
                <w:w w:val="92"/>
              </w:rPr>
              <w:t>The following table summarizes the fees charged by PricewaterhouseCoopers Zhong Tian LLP and its affiliates for certain services rendered to our</w:t>
            </w:r>
          </w:p>
        </w:tc>
      </w:tr>
      <w:tr>
        <w:trPr>
          <w:trHeight w:val="224"/>
        </w:trPr>
        <w:tc>
          <w:tcPr>
            <w:tcW w:w="9180" w:type="dxa"/>
            <w:vAlign w:val="bottom"/>
            <w:gridSpan w:val="3"/>
          </w:tcPr>
          <w:p>
            <w:pPr>
              <w:spacing w:after="0"/>
              <w:rPr>
                <w:sz w:val="20"/>
                <w:szCs w:val="20"/>
                <w:color w:val="auto"/>
              </w:rPr>
            </w:pPr>
            <w:r>
              <w:rPr>
                <w:rFonts w:ascii="Arial" w:cs="Arial" w:eastAsia="Arial" w:hAnsi="Arial"/>
                <w:sz w:val="18"/>
                <w:szCs w:val="18"/>
                <w:color w:val="auto"/>
              </w:rPr>
              <w:t>company during 2017 and 2018.</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38"/>
        </w:trPr>
        <w:tc>
          <w:tcPr>
            <w:tcW w:w="12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For the year ended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12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2017</w:t>
            </w:r>
            <w:r>
              <w:rPr>
                <w:rFonts w:ascii="Arial" w:cs="Arial" w:eastAsia="Arial" w:hAnsi="Arial"/>
                <w:sz w:val="16"/>
                <w:szCs w:val="16"/>
                <w:b w:val="1"/>
                <w:bCs w:val="1"/>
                <w:color w:val="auto"/>
                <w:vertAlign w:val="superscript"/>
              </w:rPr>
              <w:t>(1)</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6"/>
              <w:spacing w:after="0" w:line="140" w:lineRule="exact"/>
              <w:rPr>
                <w:sz w:val="20"/>
                <w:szCs w:val="20"/>
                <w:color w:val="auto"/>
              </w:rPr>
            </w:pPr>
            <w:r>
              <w:rPr>
                <w:rFonts w:ascii="Arial" w:cs="Arial" w:eastAsia="Arial" w:hAnsi="Arial"/>
                <w:sz w:val="13"/>
                <w:szCs w:val="13"/>
                <w:b w:val="1"/>
                <w:bCs w:val="1"/>
                <w:color w:val="auto"/>
                <w:w w:val="85"/>
              </w:rPr>
              <w:t>2018</w:t>
            </w:r>
            <w:r>
              <w:rPr>
                <w:rFonts w:ascii="Arial" w:cs="Arial" w:eastAsia="Arial" w:hAnsi="Arial"/>
                <w:sz w:val="16"/>
                <w:szCs w:val="16"/>
                <w:b w:val="1"/>
                <w:bCs w:val="1"/>
                <w:color w:val="auto"/>
                <w:w w:val="85"/>
                <w:vertAlign w:val="superscript"/>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12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93"/>
              </w:rPr>
              <w:t>RMB (in thousands)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120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(2)</w:t>
            </w:r>
          </w:p>
        </w:tc>
        <w:tc>
          <w:tcPr>
            <w:tcW w:w="7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11,400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15,250</w:t>
            </w:r>
          </w:p>
        </w:tc>
        <w:tc>
          <w:tcPr>
            <w:tcW w:w="80" w:type="dxa"/>
            <w:vAlign w:val="bottom"/>
            <w:shd w:val="clear" w:color="auto" w:fill="CCEEFF"/>
          </w:tcPr>
          <w:p>
            <w:pPr>
              <w:spacing w:after="0"/>
              <w:rPr>
                <w:sz w:val="18"/>
                <w:szCs w:val="18"/>
                <w:color w:val="auto"/>
              </w:rPr>
            </w:pPr>
          </w:p>
        </w:tc>
      </w:tr>
      <w:tr>
        <w:trPr>
          <w:trHeight w:val="213"/>
        </w:trPr>
        <w:tc>
          <w:tcPr>
            <w:tcW w:w="1200" w:type="dxa"/>
            <w:vAlign w:val="bottom"/>
          </w:tcPr>
          <w:p>
            <w:pPr>
              <w:spacing w:after="0" w:line="213"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7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796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r>
      <w:tr>
        <w:trPr>
          <w:trHeight w:val="213"/>
        </w:trPr>
        <w:tc>
          <w:tcPr>
            <w:tcW w:w="120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w w:val="95"/>
              </w:rPr>
              <w:t>All other fees</w:t>
            </w:r>
            <w:r>
              <w:rPr>
                <w:rFonts w:ascii="Arial" w:cs="Arial" w:eastAsia="Arial" w:hAnsi="Arial"/>
                <w:sz w:val="23"/>
                <w:szCs w:val="23"/>
                <w:color w:val="auto"/>
                <w:w w:val="95"/>
                <w:vertAlign w:val="superscript"/>
              </w:rPr>
              <w:t>(4)</w:t>
            </w:r>
          </w:p>
        </w:tc>
        <w:tc>
          <w:tcPr>
            <w:tcW w:w="7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r>
      <w:tr>
        <w:trPr>
          <w:trHeight w:val="206"/>
        </w:trPr>
        <w:tc>
          <w:tcPr>
            <w:tcW w:w="1200" w:type="dxa"/>
            <w:vAlign w:val="bottom"/>
          </w:tcPr>
          <w:p>
            <w:pPr>
              <w:spacing w:after="0" w:line="204" w:lineRule="exact"/>
              <w:rPr>
                <w:sz w:val="20"/>
                <w:szCs w:val="20"/>
                <w:color w:val="auto"/>
              </w:rPr>
            </w:pPr>
            <w:r>
              <w:rPr>
                <w:rFonts w:ascii="Arial" w:cs="Arial" w:eastAsia="Arial" w:hAnsi="Arial"/>
                <w:sz w:val="18"/>
                <w:szCs w:val="18"/>
                <w:color w:val="auto"/>
              </w:rPr>
              <w:t>Total</w:t>
            </w:r>
          </w:p>
        </w:tc>
        <w:tc>
          <w:tcPr>
            <w:tcW w:w="7100" w:type="dxa"/>
            <w:vAlign w:val="bottom"/>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12,488</w:t>
            </w:r>
          </w:p>
        </w:tc>
        <w:tc>
          <w:tcPr>
            <w:tcW w:w="3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1826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040" w:firstLine="646"/>
        <w:spacing w:after="0" w:line="267" w:lineRule="auto"/>
        <w:tabs>
          <w:tab w:leader="none" w:pos="12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fees disclosed are exclusive of out-of-pocket expenses on the amounts paid, which totaled approximately RMB771,000 and RMB1,033,000 in 2017 and 2018, respectively.</w:t>
      </w:r>
    </w:p>
    <w:p>
      <w:pPr>
        <w:spacing w:after="0" w:line="178" w:lineRule="exact"/>
        <w:rPr>
          <w:rFonts w:ascii="Arial" w:cs="Arial" w:eastAsia="Arial" w:hAnsi="Arial"/>
          <w:sz w:val="18"/>
          <w:szCs w:val="18"/>
          <w:color w:val="auto"/>
        </w:rPr>
      </w:pPr>
    </w:p>
    <w:p>
      <w:pPr>
        <w:ind w:right="360" w:firstLine="646"/>
        <w:spacing w:after="0" w:line="267" w:lineRule="auto"/>
        <w:tabs>
          <w:tab w:leader="none" w:pos="12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for professional services rendered by our principal auditors for the audit of our annual financial statements and our internal controls over financial reporting.</w:t>
      </w:r>
    </w:p>
    <w:p>
      <w:pPr>
        <w:spacing w:after="0" w:line="178" w:lineRule="exact"/>
        <w:rPr>
          <w:rFonts w:ascii="Arial" w:cs="Arial" w:eastAsia="Arial" w:hAnsi="Arial"/>
          <w:sz w:val="18"/>
          <w:szCs w:val="18"/>
          <w:color w:val="auto"/>
        </w:rPr>
      </w:pPr>
    </w:p>
    <w:p>
      <w:pPr>
        <w:ind w:right="500" w:firstLine="646"/>
        <w:spacing w:after="0" w:line="267" w:lineRule="auto"/>
        <w:tabs>
          <w:tab w:leader="none" w:pos="128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 fees” means the aggregate fees billed in each of the fiscal years for professional services rendered by our principal auditors for tax compliance and tax advice.</w:t>
      </w:r>
    </w:p>
    <w:p>
      <w:pPr>
        <w:spacing w:after="0" w:line="178" w:lineRule="exact"/>
        <w:rPr>
          <w:rFonts w:ascii="Arial" w:cs="Arial" w:eastAsia="Arial" w:hAnsi="Arial"/>
          <w:sz w:val="18"/>
          <w:szCs w:val="18"/>
          <w:color w:val="auto"/>
        </w:rPr>
      </w:pPr>
    </w:p>
    <w:p>
      <w:pPr>
        <w:ind w:left="1300" w:hanging="654"/>
        <w:spacing w:after="0"/>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other fees” includes the aggregate fees billed in each of the fiscal years for non-audit services rendered which were not listed above.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5" w:lineRule="exact"/>
        <w:rPr>
          <w:sz w:val="20"/>
          <w:szCs w:val="20"/>
          <w:color w:val="auto"/>
        </w:rPr>
      </w:pPr>
    </w:p>
    <w:p>
      <w:pPr>
        <w:ind w:right="80" w:firstLine="639"/>
        <w:spacing w:after="0" w:line="330" w:lineRule="auto"/>
        <w:rPr>
          <w:sz w:val="20"/>
          <w:szCs w:val="20"/>
          <w:color w:val="auto"/>
        </w:rPr>
      </w:pPr>
      <w:r>
        <w:rPr>
          <w:rFonts w:ascii="Arial" w:cs="Arial" w:eastAsia="Arial" w:hAnsi="Arial"/>
          <w:sz w:val="16"/>
          <w:szCs w:val="16"/>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133" w:lineRule="exact"/>
        <w:rPr>
          <w:sz w:val="20"/>
          <w:szCs w:val="20"/>
          <w:color w:val="auto"/>
        </w:rPr>
      </w:pPr>
    </w:p>
    <w:p>
      <w:pPr>
        <w:ind w:left="640" w:right="200" w:hanging="314"/>
        <w:spacing w:after="0" w:line="267" w:lineRule="auto"/>
        <w:tabs>
          <w:tab w:leader="none" w:pos="6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78" w:lineRule="exact"/>
        <w:rPr>
          <w:rFonts w:ascii="Arial" w:cs="Arial" w:eastAsia="Arial" w:hAnsi="Arial"/>
          <w:sz w:val="18"/>
          <w:szCs w:val="18"/>
          <w:color w:val="auto"/>
        </w:rPr>
      </w:pPr>
    </w:p>
    <w:p>
      <w:pPr>
        <w:ind w:left="640" w:right="200" w:hanging="314"/>
        <w:spacing w:after="0" w:line="267" w:lineRule="auto"/>
        <w:tabs>
          <w:tab w:leader="none" w:pos="6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not sought an exemption from the applicable listing standards for the audit committee of our board of directors.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4"/>
          <w:szCs w:val="14"/>
          <w:b w:val="1"/>
          <w:bCs w:val="1"/>
          <w:color w:val="auto"/>
        </w:rPr>
        <w:t>Purchases of Equity Securities by the Issuer and Affiliated Purchasers</w:t>
      </w:r>
    </w:p>
    <w:p>
      <w:pPr>
        <w:spacing w:after="0" w:line="225" w:lineRule="exact"/>
        <w:rPr>
          <w:sz w:val="20"/>
          <w:szCs w:val="20"/>
          <w:color w:val="auto"/>
        </w:rPr>
      </w:pPr>
    </w:p>
    <w:p>
      <w:pPr>
        <w:ind w:right="80" w:firstLine="639"/>
        <w:spacing w:after="0" w:line="251" w:lineRule="auto"/>
        <w:rPr>
          <w:sz w:val="20"/>
          <w:szCs w:val="20"/>
          <w:color w:val="auto"/>
        </w:rPr>
      </w:pPr>
      <w:r>
        <w:rPr>
          <w:rFonts w:ascii="Arial" w:cs="Arial" w:eastAsia="Arial" w:hAnsi="Arial"/>
          <w:sz w:val="18"/>
          <w:szCs w:val="18"/>
          <w:color w:val="auto"/>
        </w:rPr>
        <w:t>On November 15, 2017, we announced a share repurchase program authorized by our board of directors, pursuant to which we were authorized to purchase up to US$1.0 billion worth of our issued and outstanding ADSs on the NASDAQ Global Select Market. On June 11, 2018, our board of directors approved an amendment to this share repurchase program, authorizing the repurchase of up to an additional US$1.0 billion worth of our issued and outstanding ADSs. After such amendment, we were authorized to repurchase a total of US$2.0 billion worth of our issued and outstanding ADSs on the NASDAQ Global Select Market. This share repurchase program expired on November 14, 2018. This table below shows the ADSs that we repurchased under this program as of November 14, 2018, the last day of such program.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ADSs</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Purchased</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of ADSs</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as Part of</w:t>
            </w:r>
          </w:p>
        </w:tc>
        <w:tc>
          <w:tcPr>
            <w:tcW w:w="14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that May Yet</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Average</w:t>
            </w: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Publicly</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Announced</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Number of</w:t>
            </w:r>
          </w:p>
        </w:tc>
        <w:tc>
          <w:tcPr>
            <w:tcW w:w="16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Price</w:t>
            </w:r>
          </w:p>
        </w:tc>
        <w:tc>
          <w:tcPr>
            <w:tcW w:w="16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5"/>
              </w:rPr>
              <w:t>Plans</w:t>
            </w:r>
          </w:p>
        </w:tc>
        <w:tc>
          <w:tcPr>
            <w:tcW w:w="14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7"/>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ADSs</w:t>
            </w:r>
          </w:p>
        </w:tc>
        <w:tc>
          <w:tcPr>
            <w:tcW w:w="16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Paid</w:t>
            </w:r>
          </w:p>
        </w:tc>
        <w:tc>
          <w:tcPr>
            <w:tcW w:w="16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5"/>
              </w:rPr>
              <w:t>or</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69"/>
        </w:trPr>
        <w:tc>
          <w:tcPr>
            <w:tcW w:w="4980" w:type="dxa"/>
            <w:vAlign w:val="bottom"/>
            <w:gridSpan w:val="2"/>
            <w:vMerge w:val="continue"/>
          </w:tcPr>
          <w:p>
            <w:pPr>
              <w:spacing w:after="0"/>
              <w:rPr>
                <w:sz w:val="14"/>
                <w:szCs w:val="14"/>
                <w:color w:val="auto"/>
              </w:rPr>
            </w:pPr>
          </w:p>
        </w:tc>
        <w:tc>
          <w:tcPr>
            <w:tcW w:w="1680" w:type="dxa"/>
            <w:vAlign w:val="bottom"/>
            <w:gridSpan w:val="2"/>
          </w:tcPr>
          <w:p>
            <w:pPr>
              <w:jc w:val="center"/>
              <w:ind w:right="300"/>
              <w:spacing w:after="0" w:line="169" w:lineRule="exact"/>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17"/>
                <w:szCs w:val="17"/>
                <w:b w:val="1"/>
                <w:bCs w:val="1"/>
                <w:color w:val="auto"/>
                <w:w w:val="86"/>
                <w:vertAlign w:val="superscript"/>
              </w:rPr>
              <w:t>(1)</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Per ADS</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40"/>
        </w:trPr>
        <w:tc>
          <w:tcPr>
            <w:tcW w:w="4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7"/>
              </w:rPr>
              <w:t>US$</w:t>
            </w: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441,771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306.08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441,771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864,782,094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March 2018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796,534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302.20</w:t>
            </w:r>
          </w:p>
        </w:tc>
        <w:tc>
          <w:tcPr>
            <w:tcW w:w="1360" w:type="dxa"/>
            <w:vAlign w:val="bottom"/>
          </w:tcPr>
          <w:p>
            <w:pPr>
              <w:jc w:val="right"/>
              <w:spacing w:after="0"/>
              <w:rPr>
                <w:sz w:val="20"/>
                <w:szCs w:val="20"/>
                <w:color w:val="auto"/>
              </w:rPr>
            </w:pPr>
            <w:r>
              <w:rPr>
                <w:rFonts w:ascii="Arial" w:cs="Arial" w:eastAsia="Arial" w:hAnsi="Arial"/>
                <w:sz w:val="18"/>
                <w:szCs w:val="18"/>
                <w:color w:val="auto"/>
              </w:rPr>
              <w:t>796,534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624,069,583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559,130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473,010,396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May 2018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713,014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245.41</w:t>
            </w:r>
          </w:p>
        </w:tc>
        <w:tc>
          <w:tcPr>
            <w:tcW w:w="1360" w:type="dxa"/>
            <w:vAlign w:val="bottom"/>
          </w:tcPr>
          <w:p>
            <w:pPr>
              <w:jc w:val="right"/>
              <w:spacing w:after="0"/>
              <w:rPr>
                <w:sz w:val="20"/>
                <w:szCs w:val="20"/>
                <w:color w:val="auto"/>
              </w:rPr>
            </w:pPr>
            <w:r>
              <w:rPr>
                <w:rFonts w:ascii="Arial" w:cs="Arial" w:eastAsia="Arial" w:hAnsi="Arial"/>
                <w:sz w:val="18"/>
                <w:szCs w:val="18"/>
                <w:color w:val="auto"/>
              </w:rPr>
              <w:t>713,014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298,027,752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847,809</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847,809</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1,088,047,058</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July 2018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270,224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259.02</w:t>
            </w:r>
          </w:p>
        </w:tc>
        <w:tc>
          <w:tcPr>
            <w:tcW w:w="1360" w:type="dxa"/>
            <w:vAlign w:val="bottom"/>
          </w:tcPr>
          <w:p>
            <w:pPr>
              <w:jc w:val="right"/>
              <w:spacing w:after="0"/>
              <w:rPr>
                <w:sz w:val="20"/>
                <w:szCs w:val="20"/>
                <w:color w:val="auto"/>
              </w:rPr>
            </w:pPr>
            <w:r>
              <w:rPr>
                <w:rFonts w:ascii="Arial" w:cs="Arial" w:eastAsia="Arial" w:hAnsi="Arial"/>
                <w:sz w:val="18"/>
                <w:szCs w:val="18"/>
                <w:color w:val="auto"/>
              </w:rPr>
              <w:t>270,224</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1,018,053,727</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678,189</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206.41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678,189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878,069,043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September 2018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235,933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193.93</w:t>
            </w:r>
          </w:p>
        </w:tc>
        <w:tc>
          <w:tcPr>
            <w:tcW w:w="1360" w:type="dxa"/>
            <w:vAlign w:val="bottom"/>
          </w:tcPr>
          <w:p>
            <w:pPr>
              <w:jc w:val="right"/>
              <w:spacing w:after="0"/>
              <w:rPr>
                <w:sz w:val="20"/>
                <w:szCs w:val="20"/>
                <w:color w:val="auto"/>
              </w:rPr>
            </w:pPr>
            <w:r>
              <w:rPr>
                <w:rFonts w:ascii="Arial" w:cs="Arial" w:eastAsia="Arial" w:hAnsi="Arial"/>
                <w:sz w:val="18"/>
                <w:szCs w:val="18"/>
                <w:color w:val="auto"/>
              </w:rPr>
              <w:t>235,933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832,314,957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53,322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821,589,544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line="213" w:lineRule="exact"/>
              <w:rPr>
                <w:sz w:val="20"/>
                <w:szCs w:val="20"/>
                <w:color w:val="auto"/>
              </w:rPr>
            </w:pPr>
            <w:r>
              <w:rPr>
                <w:rFonts w:ascii="Arial" w:cs="Arial" w:eastAsia="Arial" w:hAnsi="Arial"/>
                <w:sz w:val="18"/>
                <w:szCs w:val="18"/>
                <w:color w:val="auto"/>
              </w:rPr>
              <w:t>November 2018 (through November 14, 2018)</w:t>
            </w:r>
            <w:r>
              <w:rPr>
                <w:rFonts w:ascii="Arial" w:cs="Arial" w:eastAsia="Arial" w:hAnsi="Arial"/>
                <w:sz w:val="23"/>
                <w:szCs w:val="23"/>
                <w:color w:val="auto"/>
                <w:vertAlign w:val="superscript"/>
              </w:rPr>
              <w:t>(2)</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209.86</w:t>
            </w: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821,505,599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4,596,326</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4,596,326</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1826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653"/>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ADS to ordinary share ratio is one ADS for every 25 ordinary shares.</w:t>
      </w:r>
    </w:p>
    <w:p>
      <w:pPr>
        <w:spacing w:after="0" w:line="219" w:lineRule="exact"/>
        <w:rPr>
          <w:rFonts w:ascii="Arial" w:cs="Arial" w:eastAsia="Arial" w:hAnsi="Arial"/>
          <w:sz w:val="18"/>
          <w:szCs w:val="18"/>
          <w:color w:val="auto"/>
        </w:rPr>
      </w:pPr>
    </w:p>
    <w:p>
      <w:pPr>
        <w:ind w:left="660" w:hanging="653"/>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repurchase program expired on November 14, 2018.</w:t>
      </w:r>
    </w:p>
    <w:p>
      <w:pPr>
        <w:spacing w:after="0" w:line="219" w:lineRule="exact"/>
        <w:rPr>
          <w:sz w:val="20"/>
          <w:szCs w:val="20"/>
          <w:color w:val="auto"/>
        </w:rPr>
      </w:pPr>
    </w:p>
    <w:p>
      <w:pPr>
        <w:ind w:right="60" w:firstLine="639"/>
        <w:spacing w:after="0" w:line="267" w:lineRule="auto"/>
        <w:rPr>
          <w:sz w:val="20"/>
          <w:szCs w:val="20"/>
          <w:color w:val="auto"/>
        </w:rPr>
      </w:pPr>
      <w:r>
        <w:rPr>
          <w:rFonts w:ascii="Arial" w:cs="Arial" w:eastAsia="Arial" w:hAnsi="Arial"/>
          <w:sz w:val="18"/>
          <w:szCs w:val="18"/>
          <w:color w:val="auto"/>
        </w:rPr>
        <w:t>On November 14, 2018, we announced a new share repurchase program authorized by our board of directors, pursuant to which we were authorized to purchase up to US$1.0 billion worth of our outstanding ADSs. This program will expire on November 15, 2019.</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4"/>
          <w:szCs w:val="14"/>
          <w:b w:val="1"/>
          <w:bCs w:val="1"/>
          <w:color w:val="auto"/>
        </w:rPr>
        <w:t>Change in Registrant’s Certifying Accountants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right="160" w:firstLine="639"/>
        <w:spacing w:after="0" w:line="295" w:lineRule="auto"/>
        <w:rPr>
          <w:sz w:val="20"/>
          <w:szCs w:val="20"/>
          <w:color w:val="auto"/>
        </w:rPr>
      </w:pPr>
      <w:r>
        <w:rPr>
          <w:rFonts w:ascii="Arial" w:cs="Arial" w:eastAsia="Arial" w:hAnsi="Arial"/>
          <w:sz w:val="16"/>
          <w:szCs w:val="16"/>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4"/>
          <w:szCs w:val="14"/>
          <w:b w:val="1"/>
          <w:bCs w:val="1"/>
          <w:color w:val="auto"/>
        </w:rPr>
        <w:t>Mine Safety Disclosure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consolidated financial statements for NetEase, Inc. and its subsidiaries are included at the end of this annual report.</w:t>
      </w:r>
    </w:p>
    <w:p>
      <w:pPr>
        <w:sectPr>
          <w:pgSz w:w="11900" w:h="16838" w:orient="portrait"/>
          <w:cols w:equalWidth="0" w:num="1">
            <w:col w:w="11420"/>
          </w:cols>
          <w:pgMar w:left="240" w:top="127"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6948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0" w:type="dxa"/>
            <w:vAlign w:val="bottom"/>
            <w:gridSpan w:val="14"/>
            <w:vMerge w:val="restart"/>
          </w:tcPr>
          <w:p>
            <w:pPr>
              <w:ind w:left="5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0" w:type="dxa"/>
            <w:vAlign w:val="bottom"/>
            <w:gridSpan w:val="14"/>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gridSpan w:val="19"/>
          </w:tcPr>
          <w:p>
            <w:pPr>
              <w:spacing w:after="0" w:line="195" w:lineRule="exact"/>
              <w:rPr>
                <w:sz w:val="20"/>
                <w:szCs w:val="20"/>
                <w:color w:val="auto"/>
              </w:rPr>
            </w:pPr>
            <w:r>
              <w:rPr>
                <w:rFonts w:ascii="Arial" w:cs="Arial" w:eastAsia="Arial" w:hAnsi="Arial"/>
                <w:sz w:val="18"/>
                <w:szCs w:val="18"/>
                <w:color w:val="auto"/>
                <w:w w:val="90"/>
              </w:rPr>
              <w:t>Amended and Restated Memorandum of Association of NetEase.com, Inc. (incorporated by reference to Exhibit 3.1 to Amendment No. 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to the company’s Registration Statement on Form F-1 (file no. 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w w:val="91"/>
              </w:rPr>
              <w:t>Amended and Restated Articles of Association of NetEase.com, Inc. (incorporated by reference to Exhibit 3.2 to Amendment No. 1 to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Amendment to Amended and Restated Articles of Association of NetEase.com, Inc. dated as of June 6, 2003 (incorporated by reference to</w:t>
              </w:r>
            </w:hyperlink>
          </w:p>
        </w:tc>
        <w:tc>
          <w:tcPr>
            <w:tcW w:w="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20" w:type="dxa"/>
            <w:vAlign w:val="bottom"/>
            <w:tcBorders>
              <w:bottom w:val="single" w:sz="8" w:color="0000EE"/>
            </w:tcBorders>
            <w:gridSpan w:val="13"/>
          </w:tcPr>
          <w:p>
            <w:pPr>
              <w:spacing w:after="0" w:line="193"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Exhibit 1.3 to the company’s Annual Report on Form 20-F for the year ended December 31, 2002 filed with the SEC on June 27, 2003)</w:t>
              </w:r>
            </w:hyperlink>
          </w:p>
        </w:tc>
        <w:tc>
          <w:tcPr>
            <w:tcW w:w="30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w w:val="95"/>
              </w:rPr>
              <w:t>Specimen American Depositary Receipt of NetEase.com, Inc. (incorporated by reference to Exhibit 4.1 to Amendment No. 1 to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w w:val="96"/>
              </w:rPr>
              <w:t>Specimen Stock Certificate of NetEase.com, Inc. (incorporated by reference to Exhibit 4.2 to Amendment No. 1 to the company’s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19"/>
          </w:tcPr>
          <w:p>
            <w:pPr>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600" w:type="dxa"/>
            <w:vAlign w:val="bottom"/>
            <w:tcBorders>
              <w:bottom w:val="single" w:sz="8" w:color="0000EE"/>
            </w:tcBorders>
            <w:gridSpan w:val="12"/>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Proxy Agreement dated April 15, 2009 between NetEase (Hangzhou) Network Co., Ltd. and Zhipeng Hu (incorporated by reference to</w:t>
              </w:r>
            </w:hyperlink>
          </w:p>
        </w:tc>
        <w:tc>
          <w:tcPr>
            <w:tcW w:w="3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19"/>
          </w:tcPr>
          <w:p>
            <w:pPr>
              <w:spacing w:after="0" w:line="193"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Exhibit 3.3 to the company’s Annual Report on Form 20-F for the year ended December 31, 2014 filed with the SEC on April 24, 2015)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95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Shareholder Voting Rights Trust Agreement dated December 1, 2015 between NetEase (Hangzhou) Network Co., Ltd. and Tianlei Hu</w:t>
              </w:r>
            </w:hyperlink>
          </w:p>
        </w:tc>
        <w:tc>
          <w:tcPr>
            <w:tcW w:w="140" w:type="dxa"/>
            <w:vAlign w:val="bottom"/>
            <w:tcBorders>
              <w:top w:val="single" w:sz="8" w:color="0000EE"/>
            </w:tcBorders>
            <w:gridSpan w:val="3"/>
          </w:tcPr>
          <w:p>
            <w:pPr>
              <w:spacing w:after="0"/>
              <w:rPr>
                <w:sz w:val="24"/>
                <w:szCs w:val="24"/>
                <w:color w:val="auto"/>
              </w:rPr>
            </w:pPr>
          </w:p>
        </w:tc>
        <w:tc>
          <w:tcPr>
            <w:tcW w:w="2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80" w:type="dxa"/>
            <w:vAlign w:val="bottom"/>
            <w:tcBorders>
              <w:bottom w:val="single" w:sz="8" w:color="0000EE"/>
            </w:tcBorders>
            <w:gridSpan w:val="16"/>
          </w:tcPr>
          <w:p>
            <w:pPr>
              <w:spacing w:after="0" w:line="193"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(incorporated by reference to Exhibit 3.8 to the company’s Annual Report on Form 20-F for the year ended December 31, 2015 filed with</w:t>
              </w:r>
            </w:hyperlink>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Borders>
              <w:bottom w:val="single" w:sz="8" w:color="0000EE"/>
            </w:tcBorders>
            <w:gridSpan w:val="2"/>
          </w:tcPr>
          <w:p>
            <w:pPr>
              <w:spacing w:after="0" w:line="193"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the SEC on April 22, 2016)</w:t>
              </w:r>
            </w:hyperlink>
          </w:p>
        </w:tc>
        <w:tc>
          <w:tcPr>
            <w:tcW w:w="794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Shareholder Voting Rights Trust Agreement dated December 1, 2015 between NetEase (Hangzhou) Network Co., Ltd. and Zhipeng Hu</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80" w:type="dxa"/>
            <w:vAlign w:val="bottom"/>
            <w:tcBorders>
              <w:bottom w:val="single" w:sz="8" w:color="0000EE"/>
            </w:tcBorders>
            <w:gridSpan w:val="16"/>
          </w:tcPr>
          <w:p>
            <w:pPr>
              <w:spacing w:after="0" w:line="193"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(incorporated by reference to Exhibit 3.9 to the company’s Annual Report on Form 20-F for the year ended December 31, 2015 filed with</w:t>
              </w:r>
            </w:hyperlink>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Borders>
              <w:bottom w:val="single" w:sz="8" w:color="0000EE"/>
            </w:tcBorders>
            <w:gridSpan w:val="2"/>
          </w:tcPr>
          <w:p>
            <w:pPr>
              <w:spacing w:after="0" w:line="193"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the SEC on April 22, 2016)</w:t>
              </w:r>
            </w:hyperlink>
          </w:p>
        </w:tc>
        <w:tc>
          <w:tcPr>
            <w:tcW w:w="794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Shareholder Voting Rights Trust Agreement dated November 30, 2015 between NetEase Media Technology (Beijing) Co., Ltd. and Li Li</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80" w:type="dxa"/>
            <w:vAlign w:val="bottom"/>
            <w:tcBorders>
              <w:bottom w:val="single" w:sz="8" w:color="0000EE"/>
            </w:tcBorders>
            <w:gridSpan w:val="16"/>
          </w:tcPr>
          <w:p>
            <w:pPr>
              <w:spacing w:after="0" w:line="193"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(incorporated by reference to Exhibit 3.6 to the company’s Annual Report on Form 20-F for the year ended December 31, 2015 filed with</w:t>
              </w:r>
            </w:hyperlink>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Borders>
              <w:bottom w:val="single" w:sz="8" w:color="0000EE"/>
            </w:tcBorders>
          </w:tcPr>
          <w:p>
            <w:pPr>
              <w:spacing w:after="0" w:line="193"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the SEC on April 22, 2016)</w:t>
              </w:r>
            </w:hyperlink>
          </w:p>
        </w:tc>
        <w:tc>
          <w:tcPr>
            <w:tcW w:w="7960" w:type="dxa"/>
            <w:vAlign w:val="bottom"/>
            <w:gridSpan w:val="1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Shareholder Voting Rights Trust Agreement dated November 30, 2015 between NetEase Media Technology (Beijing) Co., Ltd.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320" w:type="dxa"/>
            <w:vAlign w:val="bottom"/>
            <w:tcBorders>
              <w:top w:val="single" w:sz="8" w:color="0000EE"/>
            </w:tcBorders>
            <w:gridSpan w:val="8"/>
          </w:tcPr>
          <w:p>
            <w:pPr>
              <w:spacing w:after="0" w:line="193"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William Lei Ding (incorporated by reference to Exhibit 3.5 to the company’s Annual Report on Form 20-F for the year ended</w:t>
              </w:r>
            </w:hyperlink>
          </w:p>
        </w:tc>
        <w:tc>
          <w:tcPr>
            <w:tcW w:w="600" w:type="dxa"/>
            <w:vAlign w:val="bottom"/>
            <w:gridSpan w:val="11"/>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December 31, 2015 filed with the SEC on April 22, 2016)</w:t>
              </w:r>
            </w:hyperlink>
          </w:p>
        </w:tc>
        <w:tc>
          <w:tcPr>
            <w:tcW w:w="4780" w:type="dxa"/>
            <w:vAlign w:val="bottom"/>
            <w:tcBorders>
              <w:top w:val="single" w:sz="8" w:color="0000EE"/>
            </w:tcBorders>
          </w:tcPr>
          <w:p>
            <w:pPr>
              <w:spacing w:after="0"/>
              <w:rPr>
                <w:sz w:val="16"/>
                <w:szCs w:val="16"/>
                <w:color w:val="auto"/>
              </w:rPr>
            </w:pPr>
          </w:p>
        </w:tc>
        <w:tc>
          <w:tcPr>
            <w:tcW w:w="1020" w:type="dxa"/>
            <w:vAlign w:val="bottom"/>
            <w:gridSpan w:val="1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9600" w:type="dxa"/>
            <w:vAlign w:val="bottom"/>
            <w:tcBorders>
              <w:bottom w:val="single" w:sz="8" w:color="0000EE"/>
            </w:tcBorders>
            <w:gridSpan w:val="12"/>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Amended and Restated Shareholder Voting Right Trust Agreement dated November 30, 2015 among NetEase Information Technology</w:t>
              </w:r>
            </w:hyperlink>
          </w:p>
        </w:tc>
        <w:tc>
          <w:tcPr>
            <w:tcW w:w="3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19"/>
          </w:tcPr>
          <w:p>
            <w:pPr>
              <w:spacing w:after="0" w:line="193" w:lineRule="exact"/>
              <w:rPr>
                <w:rFonts w:ascii="Arial" w:cs="Arial" w:eastAsia="Arial" w:hAnsi="Arial"/>
                <w:sz w:val="18"/>
                <w:szCs w:val="18"/>
                <w:color w:val="0000EE"/>
                <w:w w:val="95"/>
              </w:rPr>
            </w:pPr>
            <w:hyperlink r:id="rId150">
              <w:r>
                <w:rPr>
                  <w:rFonts w:ascii="Arial" w:cs="Arial" w:eastAsia="Arial" w:hAnsi="Arial"/>
                  <w:sz w:val="18"/>
                  <w:szCs w:val="18"/>
                  <w:color w:val="0000EE"/>
                  <w:w w:val="95"/>
                </w:rPr>
                <w:t>(Beijing) Co., Ltd., Beijing Guangyitong Advertising Co., Ltd. (now known as Beijing NetEase Media Co., Ltd.) William Lei Ding and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0" w:type="dxa"/>
            <w:vAlign w:val="bottom"/>
            <w:tcBorders>
              <w:top w:val="single" w:sz="8" w:color="0000EE"/>
              <w:bottom w:val="single" w:sz="8" w:color="0000EE"/>
            </w:tcBorders>
            <w:gridSpan w:val="12"/>
          </w:tcPr>
          <w:p>
            <w:pPr>
              <w:spacing w:after="0" w:line="193"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Xiaojun Hui (incorporated by reference to Exhibit 3.7 to the company’s Annual Report on Form 20-F for the year ended December 31,</w:t>
              </w:r>
            </w:hyperlink>
          </w:p>
        </w:tc>
        <w:tc>
          <w:tcPr>
            <w:tcW w:w="20" w:type="dxa"/>
            <w:vAlign w:val="bottom"/>
            <w:tcBorders>
              <w:top w:val="single" w:sz="8" w:color="0000EE"/>
            </w:tcBorders>
          </w:tcPr>
          <w:p>
            <w:pPr>
              <w:spacing w:after="0"/>
              <w:rPr>
                <w:sz w:val="16"/>
                <w:szCs w:val="16"/>
                <w:color w:val="auto"/>
              </w:rPr>
            </w:pPr>
          </w:p>
        </w:tc>
        <w:tc>
          <w:tcPr>
            <w:tcW w:w="30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19"/>
          </w:tcPr>
          <w:p>
            <w:pPr>
              <w:spacing w:after="0" w:line="193" w:lineRule="exact"/>
              <w:rPr>
                <w:rFonts w:ascii="Arial" w:cs="Arial" w:eastAsia="Arial" w:hAnsi="Arial"/>
                <w:sz w:val="18"/>
                <w:szCs w:val="18"/>
                <w:color w:val="0000EE"/>
              </w:rPr>
            </w:pPr>
            <w:hyperlink r:id="rId150">
              <w:r>
                <w:rPr>
                  <w:rFonts w:ascii="Arial" w:cs="Arial" w:eastAsia="Arial" w:hAnsi="Arial"/>
                  <w:sz w:val="18"/>
                  <w:szCs w:val="18"/>
                  <w:color w:val="0000EE"/>
                </w:rPr>
                <w:t>2015 filed with the SEC on April 22, 2016)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4"/>
              </w:rPr>
            </w:pPr>
            <w:hyperlink r:id="rId151">
              <w:r>
                <w:rPr>
                  <w:rFonts w:ascii="Arial" w:cs="Arial" w:eastAsia="Arial" w:hAnsi="Arial"/>
                  <w:sz w:val="18"/>
                  <w:szCs w:val="18"/>
                  <w:color w:val="0000EE"/>
                  <w:w w:val="94"/>
                </w:rPr>
                <w:t>Shareholder Voting Rights Trust Agreement dated September 26, 2016 between NetEase Youdao Information Technology (Beijing)</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19"/>
          </w:tcPr>
          <w:p>
            <w:pPr>
              <w:spacing w:after="0" w:line="193"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Co., Ltd. and William Lei Ding (incorporated by reference to Exhibit 3.6 to the company’s Annual Report on Form 20-F for the year ended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December 31, 2016 filed with the SEC on April 21, 2017)</w:t>
              </w:r>
            </w:hyperlink>
          </w:p>
        </w:tc>
        <w:tc>
          <w:tcPr>
            <w:tcW w:w="5760" w:type="dxa"/>
            <w:vAlign w:val="bottom"/>
            <w:tcBorders>
              <w:top w:val="single" w:sz="8" w:color="0000EE"/>
            </w:tcBorders>
            <w:gridSpan w:val="13"/>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Shareholder Voting Right Trust Agreement dated November 20, 2017 between NetEase Youdao Information Technology (Beijing)</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19"/>
          </w:tcPr>
          <w:p>
            <w:pPr>
              <w:spacing w:after="0" w:line="193"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Co., Ltd. and Feng Zhou (incorporated by reference to Exhibit 3.8 to the company’s Annual Report on Form 20-F for the year ended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December 31, 2017 filed with the SEC on April 20, 2018)</w:t>
              </w:r>
            </w:hyperlink>
          </w:p>
        </w:tc>
        <w:tc>
          <w:tcPr>
            <w:tcW w:w="5280" w:type="dxa"/>
            <w:vAlign w:val="bottom"/>
            <w:tcBorders>
              <w:top w:val="single" w:sz="8" w:color="0000EE"/>
            </w:tcBorders>
            <w:gridSpan w:val="5"/>
          </w:tcPr>
          <w:p>
            <w:pPr>
              <w:spacing w:after="0"/>
              <w:rPr>
                <w:sz w:val="16"/>
                <w:szCs w:val="16"/>
                <w:color w:val="auto"/>
              </w:rPr>
            </w:pPr>
          </w:p>
        </w:tc>
        <w:tc>
          <w:tcPr>
            <w:tcW w:w="52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2009 Restricted Share Unit Plan (incorporated by reference to Exhibit 10.1 to the company’s Registration Statement on Form S-8 (file no.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333-164249) filed with the SEC on January 8, 2010)</w:t>
              </w:r>
            </w:hyperlink>
          </w:p>
        </w:tc>
        <w:tc>
          <w:tcPr>
            <w:tcW w:w="6040" w:type="dxa"/>
            <w:vAlign w:val="bottom"/>
            <w:tcBorders>
              <w:top w:val="single" w:sz="8" w:color="0000EE"/>
            </w:tcBorders>
            <w:gridSpan w:val="12"/>
          </w:tcPr>
          <w:p>
            <w:pPr>
              <w:spacing w:after="0"/>
              <w:rPr>
                <w:sz w:val="16"/>
                <w:szCs w:val="16"/>
                <w:color w:val="auto"/>
              </w:rPr>
            </w:pPr>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00" w:type="dxa"/>
            <w:vAlign w:val="bottom"/>
            <w:gridSpan w:val="6"/>
          </w:tcPr>
          <w:p>
            <w:pPr>
              <w:ind w:left="408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3"/>
            <w:vMerge w:val="restart"/>
          </w:tcPr>
          <w:p>
            <w:pPr>
              <w:ind w:left="464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4"/>
                <w:szCs w:val="14"/>
                <w:color w:val="auto"/>
              </w:rPr>
            </w:pPr>
          </w:p>
        </w:tc>
        <w:tc>
          <w:tcPr>
            <w:tcW w:w="9560" w:type="dxa"/>
            <w:vAlign w:val="bottom"/>
            <w:tcBorders>
              <w:top w:val="single" w:sz="8" w:color="auto"/>
              <w:bottom w:val="single" w:sz="8" w:color="0000EE"/>
            </w:tcBorders>
            <w:gridSpan w:val="2"/>
          </w:tcPr>
          <w:p>
            <w:pPr>
              <w:spacing w:after="0" w:line="167"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Form of Employment Agreement between NetEase.com, Inc. and its executive officers (incorporated by reference to Exhibit 4.3 to the</w:t>
              </w:r>
            </w:hyperlink>
          </w:p>
        </w:tc>
        <w:tc>
          <w:tcPr>
            <w:tcW w:w="3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
          </w:tcPr>
          <w:p>
            <w:pPr>
              <w:spacing w:after="0" w:line="193" w:lineRule="exact"/>
              <w:rPr>
                <w:rFonts w:ascii="Arial" w:cs="Arial" w:eastAsia="Arial" w:hAnsi="Arial"/>
                <w:sz w:val="18"/>
                <w:szCs w:val="18"/>
                <w:color w:val="0000EE"/>
              </w:rPr>
            </w:pPr>
            <w:hyperlink r:id="rId156">
              <w:r>
                <w:rPr>
                  <w:rFonts w:ascii="Arial" w:cs="Arial" w:eastAsia="Arial" w:hAnsi="Arial"/>
                  <w:sz w:val="18"/>
                  <w:szCs w:val="18"/>
                  <w:color w:val="0000EE"/>
                </w:rPr>
                <w:t>company’s Annual Report on Form 20-F for the year ended December 31, 2009 filed with the SEC on June 29, 2010)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34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Domain Name License Agreement dated February 3, 2000 between NetEase.com, Inc. (now known as NetEase, Inc.) and Guangzhou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NetEase Computer System Co., Ltd. (incorporated by reference to Exhibit 10.7 to the company’s Registration Statement on Form F-1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no. 333-11724) filed with the SEC on March 27,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4"/>
              </w:rPr>
              <w:t>Copyright License Agreement dated February 3, 2000 between NetEase Information Technology (Beijing) Co., Ltd. and Guangzhou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NetEase Computer System Co., Ltd. (incorporated by reference to Exhibit 10.8 to the company’s Registration Statement on Form F-1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no. 333-11724) filed with the SEC on March 27,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Trademark License Agreement dated February 3, 2000 between NetEase Information Technology (Beijing) Co., Ltd. and Guangzhou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NetEase Computer System Co., Ltd. (incorporated by reference to Exhibit 10.9 to the company’s Registration Statement on Form F-1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no. 333-11724) filed with the SEC on March 27,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89"/>
              </w:rPr>
              <w:t>Supplemental Agreement (to Copyright License Agreement and Domain Name License Agreement) dated April 27, 2000 between NetEase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9"/>
              </w:rPr>
              <w:t>Information Technology (Beijing) Co., Ltd. and Guangzhou NetEase Computer System Co., Ltd.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5"/>
              </w:rPr>
              <w:t>Exhibit 10.10 to Amendment No.1 to the company’s Registration Statement on Form F-1 (file no. 333-11724) filed with the SEC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Notice of Renewal dated April 2, 2001 relating to the Copyright License Agreement and the Trademark License Agreement each 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February 3, 2000 and made between NetEase Information Technology (Beijing) Co., Ltd. and Guangzhou NetEase Computer System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Co., Ltd. (incorporated by reference to Exhibit 4.14 to the company’s Annual Report on Form 20-F for the year ended December 31, 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filed with the SEC on August 31, 2001)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8"/>
              </w:rPr>
              <w:t>Online Advertising Agreement dated February 15, 2000 between Guangzhou NetEase Computer System Co., Ltd. and Beijing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4"/>
              </w:rPr>
              <w:t>Guangyitong Advertising Co., Ltd. (incorporated by reference to Exhibit 10.15 to the company’s Registration Statement on Form F-1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(file no. 333-11724) filed with the SEC on March 27,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7"/>
              </w:rPr>
              <w:t>Notice of Renewal dated April 2, 2001 relating to the Online Advertising Agreement dated February 15, 2000 and made between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Guangzhou NetEase Computer System Co., Ltd. and Beijing Guangyitong Advertising Co., Ltd. (incorporated by reference to Exhibit 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9"/>
              </w:rPr>
              <w:t>to the company’s Annual Report on Form 20-F for the year ended December 31, 2000 filed with the SEC on August 31, 2001)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5"/>
              </w:rPr>
              <w:t>Supplemental Agreement dated May 15, 2000 (amending the Domain Name License Agreement) between NetEase.com, Inc. and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4"/>
              </w:rPr>
              <w:t>Guangzhou NetEase Computer System Co., Ltd. (incorporated by reference to Exhibit 10.37 to Amendment No. 1 to the company’s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0"/>
              </w:rPr>
              <w:t>Agreement dated May 12, 2000 between NetEase Information Technology (Beijing) Co., Ltd. and Guangzhou NetEase Computer System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1"/>
              </w:rPr>
              <w:t>Co., Ltd. (incorporated by reference to Exhibit 10.41 to Amendment No. 1 to the company’s Registration Statement on Form F-1 (file 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4.12</w:t>
            </w:r>
          </w:p>
        </w:tc>
        <w:tc>
          <w:tcPr>
            <w:tcW w:w="3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4"/>
              </w:rPr>
              <w:t>Supplemental Agreement dated May 12, 2000 (supplementing the Online Advertising Agreement dated February 15, 2000) between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9"/>
              </w:rPr>
              <w:t>Guangzhou NetEase Computer System Co., Ltd. and Beijing Guangyitong Advertising Co., Ltd.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5"/>
              </w:rPr>
              <w:t>Exhibit 10.47 to Amendment No. 1 to the company’s Registration Statement on Form F-1 (file no. 333-11724) filed with the SEC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40" w:type="dxa"/>
            <w:vAlign w:val="bottom"/>
          </w:tcPr>
          <w:p>
            <w:pPr>
              <w:ind w:left="4080"/>
              <w:spacing w:after="0"/>
              <w:rPr>
                <w:sz w:val="20"/>
                <w:szCs w:val="20"/>
                <w:color w:val="auto"/>
              </w:rPr>
            </w:pPr>
            <w:r>
              <w:rPr>
                <w:rFonts w:ascii="Arial" w:cs="Arial" w:eastAsia="Arial" w:hAnsi="Arial"/>
                <w:sz w:val="18"/>
                <w:szCs w:val="18"/>
                <w:color w:val="auto"/>
              </w:rPr>
              <w:t>118</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3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40" w:type="dxa"/>
            <w:vAlign w:val="bottom"/>
            <w:gridSpan w:val="17"/>
            <w:vMerge w:val="restart"/>
          </w:tcPr>
          <w:p>
            <w:pPr>
              <w:ind w:left="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40" w:type="dxa"/>
            <w:vAlign w:val="bottom"/>
            <w:gridSpan w:val="1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4.13</w:t>
            </w:r>
          </w:p>
        </w:tc>
        <w:tc>
          <w:tcPr>
            <w:tcW w:w="340" w:type="dxa"/>
            <w:vAlign w:val="bottom"/>
          </w:tcPr>
          <w:p>
            <w:pPr>
              <w:spacing w:after="0"/>
              <w:rPr>
                <w:sz w:val="16"/>
                <w:szCs w:val="16"/>
                <w:color w:val="auto"/>
              </w:rPr>
            </w:pPr>
          </w:p>
        </w:tc>
        <w:tc>
          <w:tcPr>
            <w:tcW w:w="9920" w:type="dxa"/>
            <w:vAlign w:val="bottom"/>
            <w:tcBorders>
              <w:top w:val="single" w:sz="8" w:color="auto"/>
            </w:tcBorders>
            <w:gridSpan w:val="21"/>
          </w:tcPr>
          <w:p>
            <w:pPr>
              <w:spacing w:after="0" w:line="195" w:lineRule="exact"/>
              <w:rPr>
                <w:sz w:val="20"/>
                <w:szCs w:val="20"/>
                <w:color w:val="auto"/>
              </w:rPr>
            </w:pPr>
            <w:r>
              <w:rPr>
                <w:rFonts w:ascii="Arial" w:cs="Arial" w:eastAsia="Arial" w:hAnsi="Arial"/>
                <w:sz w:val="18"/>
                <w:szCs w:val="18"/>
                <w:color w:val="auto"/>
                <w:w w:val="91"/>
              </w:rPr>
              <w:t>Supplemental Agreement dated May 15, 2000 (supplementing the Domain Name License Agreement dated February 3, 2000) between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w w:val="90"/>
              </w:rPr>
              <w:t>NetEase.com, Inc. and Guangzhou NetEase Computer System Co., Ltd. (incorporated by reference to Exhibit 10.48 to Amendment No. 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rPr>
              <w:t>to the company’s Registration Statement on Form F-1 (file no. 333-11724) filed with the SEC on May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w w:val="97"/>
              </w:rPr>
              <w:t>Letter of Agreement, dated June 6, 2000, among William Lei Ding, Bo Ding and NetEase.com, Inc. (incorporated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w w:val="95"/>
              </w:rPr>
              <w:t>Exhibit 10.49 to Amendment No. 2 to the company’s Registration Statement on Form F-1 (file no. 333-11724) filed with the SEC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rPr>
              <w:t>June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60" w:type="dxa"/>
            <w:vAlign w:val="bottom"/>
          </w:tcPr>
          <w:p>
            <w:pPr>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w w:val="93"/>
              </w:rPr>
              <w:t>Supplemental Agreement dated June 15, 2000 (supplementing the Online Advertising Agreement dated February 15, 2000), between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w w:val="99"/>
              </w:rPr>
              <w:t>Beijing Guangyitong Advertising Co., Ltd. and Guangzhou NetEase Computer System Co., Ltd. (incorporated by reference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w w:val="95"/>
              </w:rPr>
              <w:t>Exhibit 10.50 to Amendment No. 2 to the company’s Registration Statement on Form F-1 (file no. 333-11724) filed with the SEC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21"/>
          </w:tcPr>
          <w:p>
            <w:pPr>
              <w:spacing w:after="0"/>
              <w:rPr>
                <w:sz w:val="20"/>
                <w:szCs w:val="20"/>
                <w:color w:val="auto"/>
              </w:rPr>
            </w:pPr>
            <w:r>
              <w:rPr>
                <w:rFonts w:ascii="Arial" w:cs="Arial" w:eastAsia="Arial" w:hAnsi="Arial"/>
                <w:sz w:val="18"/>
                <w:szCs w:val="18"/>
                <w:color w:val="auto"/>
              </w:rPr>
              <w:t>June 15, 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Supplemental Letter of Agreement dated May 17, 2004 (supplementing the Letter Agreement dated June 6, 2000 by and among William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Lei Ding, Bo Ding and NetEase.com, Inc.) by and among William Lei Ding, Bo Ding, Jun Liang and NetEase.com, Inc. (incorporated by</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20" w:type="dxa"/>
            <w:vAlign w:val="bottom"/>
            <w:tcBorders>
              <w:top w:val="single" w:sz="8" w:color="0000EE"/>
              <w:bottom w:val="single" w:sz="8" w:color="0000EE"/>
            </w:tcBorders>
            <w:gridSpan w:val="12"/>
          </w:tcPr>
          <w:p>
            <w:pPr>
              <w:spacing w:after="0" w:line="193"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reference to Exhibit 4.39 to the company’s Annual Report on Form 20-F for the year ended December 31, 2004 filed with the SEC on</w:t>
              </w:r>
            </w:hyperlink>
          </w:p>
        </w:tc>
        <w:tc>
          <w:tcPr>
            <w:tcW w:w="220" w:type="dxa"/>
            <w:vAlign w:val="bottom"/>
            <w:tcBorders>
              <w:top w:val="single" w:sz="8" w:color="0000EE"/>
            </w:tcBorders>
            <w:gridSpan w:val="4"/>
          </w:tcPr>
          <w:p>
            <w:pPr>
              <w:spacing w:after="0"/>
              <w:rPr>
                <w:sz w:val="16"/>
                <w:szCs w:val="16"/>
                <w:color w:val="auto"/>
              </w:rPr>
            </w:pPr>
          </w:p>
        </w:tc>
        <w:tc>
          <w:tcPr>
            <w:tcW w:w="18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rPr>
            </w:pPr>
            <w:hyperlink r:id="rId159">
              <w:r>
                <w:rPr>
                  <w:rFonts w:ascii="Arial" w:cs="Arial" w:eastAsia="Arial" w:hAnsi="Arial"/>
                  <w:sz w:val="18"/>
                  <w:szCs w:val="18"/>
                  <w:color w:val="0000EE"/>
                </w:rPr>
                <w:t>June 27, 2005)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24"/>
                <w:szCs w:val="24"/>
                <w:color w:val="auto"/>
              </w:rPr>
            </w:pPr>
          </w:p>
        </w:tc>
        <w:tc>
          <w:tcPr>
            <w:tcW w:w="9680" w:type="dxa"/>
            <w:vAlign w:val="bottom"/>
            <w:tcBorders>
              <w:bottom w:val="single" w:sz="8" w:color="0000EE"/>
            </w:tcBorders>
            <w:gridSpan w:val="15"/>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Second Supplemental Letter of Agreement dated July 15, 2004 (supplementing the Letter Agreement dated June 6, 2000 by and among</w:t>
              </w:r>
            </w:hyperlink>
          </w:p>
        </w:tc>
        <w:tc>
          <w:tcPr>
            <w:tcW w:w="2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William Lei Ding, Bo Ding and NetEase.com, Inc., as supplemented by the Supplemental Letter of Agreement dated May 17, 2004 by and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2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among William Lei Ding, Bo Ding, Jun Liang and NetEase.com, Inc.) by and among William Lei Ding, Bo Ding, Jun Liang and</w:t>
              </w:r>
            </w:hyperlink>
          </w:p>
        </w:tc>
        <w:tc>
          <w:tcPr>
            <w:tcW w:w="720" w:type="dxa"/>
            <w:vAlign w:val="bottom"/>
            <w:tcBorders>
              <w:top w:val="single" w:sz="8" w:color="0000EE"/>
            </w:tcBorders>
            <w:gridSpan w:val="10"/>
          </w:tcPr>
          <w:p>
            <w:pPr>
              <w:spacing w:after="0"/>
              <w:rPr>
                <w:sz w:val="16"/>
                <w:szCs w:val="16"/>
                <w:color w:val="auto"/>
              </w:rPr>
            </w:pPr>
          </w:p>
        </w:tc>
        <w:tc>
          <w:tcPr>
            <w:tcW w:w="8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8"/>
              </w:rPr>
            </w:pPr>
            <w:hyperlink r:id="rId160">
              <w:r>
                <w:rPr>
                  <w:rFonts w:ascii="Arial" w:cs="Arial" w:eastAsia="Arial" w:hAnsi="Arial"/>
                  <w:sz w:val="18"/>
                  <w:szCs w:val="18"/>
                  <w:color w:val="0000EE"/>
                  <w:w w:val="98"/>
                </w:rPr>
                <w:t>NetEase.com, Inc. (incorporated by reference to Exhibit 4.40 to the company’s Annual Report on Form 20-F for the year ended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8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December 31, 2004 filed with the SEC on June 27, 2005)</w:t>
              </w:r>
            </w:hyperlink>
          </w:p>
        </w:tc>
        <w:tc>
          <w:tcPr>
            <w:tcW w:w="4960" w:type="dxa"/>
            <w:vAlign w:val="bottom"/>
            <w:tcBorders>
              <w:top w:val="single" w:sz="8" w:color="0000EE"/>
            </w:tcBorders>
            <w:gridSpan w:val="4"/>
          </w:tcPr>
          <w:p>
            <w:pPr>
              <w:spacing w:after="0"/>
              <w:rPr>
                <w:sz w:val="16"/>
                <w:szCs w:val="16"/>
                <w:color w:val="auto"/>
              </w:rPr>
            </w:pPr>
          </w:p>
        </w:tc>
        <w:tc>
          <w:tcPr>
            <w:tcW w:w="88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Arial" w:cs="Arial" w:eastAsia="Arial" w:hAnsi="Arial"/>
                <w:sz w:val="18"/>
                <w:szCs w:val="18"/>
                <w:color w:val="0000EE"/>
                <w:w w:val="88"/>
              </w:rPr>
            </w:pPr>
            <w:hyperlink r:id="rId161">
              <w:r>
                <w:rPr>
                  <w:rFonts w:ascii="Arial" w:cs="Arial" w:eastAsia="Arial" w:hAnsi="Arial"/>
                  <w:sz w:val="18"/>
                  <w:szCs w:val="18"/>
                  <w:color w:val="0000EE"/>
                  <w:w w:val="88"/>
                </w:rPr>
                <w:t>No. 3 Supplemental Letter of Agreement dated July 20, 2004 (supplementing the Letter Agreement dated June 6, 2000 by and among</w:t>
              </w:r>
            </w:hyperlink>
          </w:p>
        </w:tc>
        <w:tc>
          <w:tcPr>
            <w:tcW w:w="44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00" w:type="dxa"/>
            <w:vAlign w:val="bottom"/>
            <w:tcBorders>
              <w:bottom w:val="single" w:sz="8" w:color="0000EE"/>
            </w:tcBorders>
            <w:gridSpan w:val="20"/>
          </w:tcPr>
          <w:p>
            <w:pPr>
              <w:spacing w:after="0" w:line="193"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William Lei Ding, Bo Ding and NetEase.com, Inc., as supplemented by the Supplemental Letter of Agreement dated May 17, 2004 and the</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8"/>
              </w:rPr>
            </w:pPr>
            <w:hyperlink r:id="rId161">
              <w:r>
                <w:rPr>
                  <w:rFonts w:ascii="Arial" w:cs="Arial" w:eastAsia="Arial" w:hAnsi="Arial"/>
                  <w:sz w:val="18"/>
                  <w:szCs w:val="18"/>
                  <w:color w:val="0000EE"/>
                  <w:w w:val="98"/>
                </w:rPr>
                <w:t>Second Supplemental Letter of Agreement dated July 15, 2004, each by and among William Lei Ding, Bo Ding, Jun Liang and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tcBorders>
              <w:bottom w:val="single" w:sz="8" w:color="0000EE"/>
            </w:tcBorders>
            <w:gridSpan w:val="19"/>
          </w:tcPr>
          <w:p>
            <w:pPr>
              <w:spacing w:after="0" w:line="193"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NetEase.com, Inc.) by and among William Lei Ding, Bo Ding, Jun Liang and NetEase.com, Inc. (incorporated by reference to Exhibit 4.41</w:t>
              </w:r>
            </w:hyperlink>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rPr>
            </w:pPr>
            <w:hyperlink r:id="rId161">
              <w:r>
                <w:rPr>
                  <w:rFonts w:ascii="Arial" w:cs="Arial" w:eastAsia="Arial" w:hAnsi="Arial"/>
                  <w:sz w:val="18"/>
                  <w:szCs w:val="18"/>
                  <w:color w:val="0000EE"/>
                </w:rPr>
                <w:t>to the company’s Annual Report on Form 20-F for the year ended December 31, 2004 filed with the SEC on June 27, 2005)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24"/>
                <w:szCs w:val="24"/>
                <w:color w:val="auto"/>
              </w:rPr>
            </w:pPr>
          </w:p>
        </w:tc>
        <w:tc>
          <w:tcPr>
            <w:tcW w:w="9600" w:type="dxa"/>
            <w:vAlign w:val="bottom"/>
            <w:tcBorders>
              <w:bottom w:val="single" w:sz="8" w:color="0000EE"/>
            </w:tcBorders>
            <w:gridSpan w:val="14"/>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Form of Cooperative Agreement (incorporated by reference to Exhibit 4.25 to the company’s Annual Report on Form 20-F for the year</w:t>
              </w:r>
            </w:hyperlink>
          </w:p>
        </w:tc>
        <w:tc>
          <w:tcPr>
            <w:tcW w:w="3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rPr>
            </w:pPr>
            <w:hyperlink r:id="rId162">
              <w:r>
                <w:rPr>
                  <w:rFonts w:ascii="Arial" w:cs="Arial" w:eastAsia="Arial" w:hAnsi="Arial"/>
                  <w:sz w:val="18"/>
                  <w:szCs w:val="18"/>
                  <w:color w:val="0000EE"/>
                </w:rPr>
                <w:t>ended December 31, 2012 filed with the SEC on April 22, 2013)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24"/>
                <w:szCs w:val="24"/>
                <w:color w:val="auto"/>
              </w:rPr>
            </w:pPr>
          </w:p>
        </w:tc>
        <w:tc>
          <w:tcPr>
            <w:tcW w:w="9680" w:type="dxa"/>
            <w:vAlign w:val="bottom"/>
            <w:tcBorders>
              <w:bottom w:val="single" w:sz="8" w:color="0000EE"/>
            </w:tcBorders>
            <w:gridSpan w:val="15"/>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Loan Agreement dated March 23, 2009 between NetEase (Hangzhou) Network Co., Ltd. and Zhipeng Hu (incorporated by reference to</w:t>
              </w:r>
            </w:hyperlink>
          </w:p>
        </w:tc>
        <w:tc>
          <w:tcPr>
            <w:tcW w:w="2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tcBorders>
              <w:bottom w:val="single" w:sz="8" w:color="0000EE"/>
            </w:tcBorders>
            <w:gridSpan w:val="17"/>
          </w:tcPr>
          <w:p>
            <w:pPr>
              <w:spacing w:after="0" w:line="193"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Exhibit 4.25 to the company’s Annual Report on Form 20-F for the year ended December 31, 2014 filed with the SEC on April 24, 2015)</w:t>
              </w:r>
            </w:hyperlink>
          </w:p>
        </w:tc>
        <w:tc>
          <w:tcPr>
            <w:tcW w:w="16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Loan Agreement dated March 23, 2009 between NetEase (Hangzhou) Network Co., Ltd. and Gang Chen (incorporated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18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tcBorders>
              <w:bottom w:val="single" w:sz="8" w:color="0000EE"/>
            </w:tcBorders>
            <w:gridSpan w:val="17"/>
          </w:tcPr>
          <w:p>
            <w:pPr>
              <w:spacing w:after="0" w:line="193"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Exhibit 4.26 to the company’s Annual Report on Form 20-F for the year ended December 31, 2014 filed with the SEC on April 24, 2015)</w:t>
              </w:r>
            </w:hyperlink>
          </w:p>
        </w:tc>
        <w:tc>
          <w:tcPr>
            <w:tcW w:w="16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24"/>
                <w:szCs w:val="24"/>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Equity Pledge Agreement dated April 15, 2009 between NetEase (Hangzhou) Network Co., Ltd. and Zhipeng Hu (incorporated by</w:t>
              </w:r>
            </w:hyperlink>
          </w:p>
        </w:tc>
        <w:tc>
          <w:tcPr>
            <w:tcW w:w="64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93"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reference to Exhibit 4.27 to the company’s Annual Report on Form 20-F for the year ended December 31, 2014 filed with the SEC on</w:t>
              </w:r>
            </w:hyperlink>
          </w:p>
        </w:tc>
        <w:tc>
          <w:tcPr>
            <w:tcW w:w="42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bottom w:val="single" w:sz="8" w:color="0000EE"/>
            </w:tcBorders>
            <w:gridSpan w:val="2"/>
          </w:tcPr>
          <w:p>
            <w:pPr>
              <w:spacing w:after="0" w:line="193"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April 24, 2015)</w:t>
              </w:r>
            </w:hyperlink>
          </w:p>
        </w:tc>
        <w:tc>
          <w:tcPr>
            <w:tcW w:w="882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4"/>
          </w:tcPr>
          <w:p>
            <w:pPr>
              <w:ind w:left="4080"/>
              <w:spacing w:after="0"/>
              <w:rPr>
                <w:sz w:val="20"/>
                <w:szCs w:val="20"/>
                <w:color w:val="auto"/>
              </w:rPr>
            </w:pPr>
            <w:r>
              <w:rPr>
                <w:rFonts w:ascii="Arial" w:cs="Arial" w:eastAsia="Arial" w:hAnsi="Arial"/>
                <w:sz w:val="18"/>
                <w:szCs w:val="18"/>
                <w:color w:val="auto"/>
              </w:rPr>
              <w:t>119</w:t>
            </w: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0" w:type="dxa"/>
            <w:vAlign w:val="bottom"/>
            <w:gridSpan w:val="17"/>
            <w:vMerge w:val="restart"/>
          </w:tcPr>
          <w:p>
            <w:pPr>
              <w:ind w:left="5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0" w:type="dxa"/>
            <w:vAlign w:val="bottom"/>
            <w:gridSpan w:val="17"/>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4.23</w:t>
            </w:r>
          </w:p>
        </w:tc>
        <w:tc>
          <w:tcPr>
            <w:tcW w:w="340" w:type="dxa"/>
            <w:vAlign w:val="bottom"/>
          </w:tcPr>
          <w:p>
            <w:pPr>
              <w:spacing w:after="0"/>
              <w:rPr>
                <w:sz w:val="14"/>
                <w:szCs w:val="14"/>
                <w:color w:val="auto"/>
              </w:rPr>
            </w:pPr>
          </w:p>
        </w:tc>
        <w:tc>
          <w:tcPr>
            <w:tcW w:w="9920" w:type="dxa"/>
            <w:vAlign w:val="bottom"/>
            <w:tcBorders>
              <w:top w:val="single" w:sz="8" w:color="auto"/>
            </w:tcBorders>
            <w:gridSpan w:val="21"/>
          </w:tcPr>
          <w:p>
            <w:pPr>
              <w:spacing w:after="0" w:line="167" w:lineRule="exact"/>
              <w:rPr>
                <w:rFonts w:ascii="Arial" w:cs="Arial" w:eastAsia="Arial" w:hAnsi="Arial"/>
                <w:sz w:val="18"/>
                <w:szCs w:val="18"/>
                <w:color w:val="0000EE"/>
                <w:w w:val="96"/>
              </w:rPr>
            </w:pPr>
            <w:hyperlink r:id="rId168">
              <w:r>
                <w:rPr>
                  <w:rFonts w:ascii="Arial" w:cs="Arial" w:eastAsia="Arial" w:hAnsi="Arial"/>
                  <w:sz w:val="18"/>
                  <w:szCs w:val="18"/>
                  <w:color w:val="0000EE"/>
                  <w:w w:val="96"/>
                </w:rPr>
                <w:t>Equity Pledge Agreement dated April 15, 2009 between NetEase (Hangzhou) Network Co., Ltd. and Gang Chen (incorporated by</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93"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reference to Exhibit 4.28 to the company’s Annual Report on Form 20-F for the year ended December 31, 2014 filed with the SEC on</w:t>
              </w:r>
            </w:hyperlink>
          </w:p>
        </w:tc>
        <w:tc>
          <w:tcPr>
            <w:tcW w:w="42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bottom w:val="single" w:sz="8" w:color="0000EE"/>
            </w:tcBorders>
            <w:gridSpan w:val="2"/>
          </w:tcPr>
          <w:p>
            <w:pPr>
              <w:spacing w:after="0" w:line="193"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April 24, 2015)</w:t>
              </w:r>
            </w:hyperlink>
          </w:p>
        </w:tc>
        <w:tc>
          <w:tcPr>
            <w:tcW w:w="880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Exclusive Purchase Option Agreement dated April 15, 2009 among NetEase (Hangzhou) Network Co., Ltd., Gang Chen and Hangzhou</w:t>
              </w:r>
            </w:hyperlink>
          </w:p>
        </w:tc>
        <w:tc>
          <w:tcPr>
            <w:tcW w:w="2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Leihuo Network Co., Ltd (incorporated by reference to Exhibit 4.29 to the company’s Annual Report on Form 20-F for the year ended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December 31, 2014 filed with the SEC on April 24, 2015)</w:t>
              </w:r>
            </w:hyperlink>
          </w:p>
        </w:tc>
        <w:tc>
          <w:tcPr>
            <w:tcW w:w="5420" w:type="dxa"/>
            <w:vAlign w:val="bottom"/>
            <w:tcBorders>
              <w:top w:val="single" w:sz="8" w:color="0000EE"/>
            </w:tcBorders>
            <w:gridSpan w:val="8"/>
          </w:tcPr>
          <w:p>
            <w:pPr>
              <w:spacing w:after="0"/>
              <w:rPr>
                <w:sz w:val="16"/>
                <w:szCs w:val="16"/>
                <w:color w:val="auto"/>
              </w:rPr>
            </w:pPr>
          </w:p>
        </w:tc>
        <w:tc>
          <w:tcPr>
            <w:tcW w:w="38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Exclusive Purchase Option Agreement dated April 15, 2009 among NetEase (Hangzhou) Network Co., Ltd., Zhipeng Hu and Hangzhou</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80" w:type="dxa"/>
            <w:vAlign w:val="bottom"/>
            <w:tcBorders>
              <w:top w:val="single" w:sz="8" w:color="0000EE"/>
            </w:tcBorders>
            <w:gridSpan w:val="14"/>
          </w:tcPr>
          <w:p>
            <w:pPr>
              <w:spacing w:after="0" w:line="193"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Leihuo Network Co., Ltd (incorporated by reference to Exhibit 4.30 to the company’s Annual Report on Form 20-F for the year ended</w:t>
              </w:r>
            </w:hyperlink>
          </w:p>
        </w:tc>
        <w:tc>
          <w:tcPr>
            <w:tcW w:w="24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December 31, 2014 filed with the SEC on April 24, 2015)</w:t>
              </w:r>
            </w:hyperlink>
          </w:p>
        </w:tc>
        <w:tc>
          <w:tcPr>
            <w:tcW w:w="5420" w:type="dxa"/>
            <w:vAlign w:val="bottom"/>
            <w:tcBorders>
              <w:top w:val="single" w:sz="8" w:color="0000EE"/>
            </w:tcBorders>
            <w:gridSpan w:val="8"/>
          </w:tcPr>
          <w:p>
            <w:pPr>
              <w:spacing w:after="0"/>
              <w:rPr>
                <w:sz w:val="16"/>
                <w:szCs w:val="16"/>
                <w:color w:val="auto"/>
              </w:rPr>
            </w:pPr>
          </w:p>
        </w:tc>
        <w:tc>
          <w:tcPr>
            <w:tcW w:w="38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4.26</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Operating Agreement dated April 15, 2009 among NetEase (Hangzhou) Network Co., Ltd., Zhipeng Hu, Gang Chen and Hangzhou Leihuo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0" w:type="dxa"/>
            <w:vAlign w:val="bottom"/>
            <w:tcBorders>
              <w:top w:val="single" w:sz="8" w:color="0000EE"/>
              <w:bottom w:val="single" w:sz="8" w:color="0000EE"/>
            </w:tcBorders>
            <w:gridSpan w:val="6"/>
          </w:tcPr>
          <w:p>
            <w:pPr>
              <w:spacing w:after="0" w:line="193"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Network Co., Ltd (incorporated by reference to Exhibit 4.31 to the company’s Annual Report on Form 20-F for the year ended</w:t>
              </w:r>
            </w:hyperlink>
          </w:p>
        </w:tc>
        <w:tc>
          <w:tcPr>
            <w:tcW w:w="900" w:type="dxa"/>
            <w:vAlign w:val="bottom"/>
            <w:tcBorders>
              <w:top w:val="single" w:sz="8" w:color="0000EE"/>
            </w:tcBorders>
            <w:gridSpan w:val="14"/>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bottom w:val="single" w:sz="8" w:color="0000EE"/>
            </w:tcBorders>
            <w:gridSpan w:val="4"/>
          </w:tcPr>
          <w:p>
            <w:pPr>
              <w:spacing w:after="0" w:line="193"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December 31, 2014 filed with the SEC on April 24, 2015)</w:t>
              </w:r>
            </w:hyperlink>
          </w:p>
        </w:tc>
        <w:tc>
          <w:tcPr>
            <w:tcW w:w="580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Cooperation Agreement dated January 1, 2010 between NetEase (Hangzhou) Network Co., Ltd. and Hangzhou Leihuo Network Co., Ltd</w:t>
              </w:r>
            </w:hyperlink>
          </w:p>
        </w:tc>
        <w:tc>
          <w:tcPr>
            <w:tcW w:w="1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(incorporated by reference to Exhibit 4.32 to the company’s Annual Report on Form 20-F for the year ended December 31, 2014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the SEC on April 24, 2015)</w:t>
              </w:r>
            </w:hyperlink>
          </w:p>
        </w:tc>
        <w:tc>
          <w:tcPr>
            <w:tcW w:w="7900" w:type="dxa"/>
            <w:vAlign w:val="bottom"/>
            <w:tcBorders>
              <w:top w:val="single" w:sz="8" w:color="0000EE"/>
            </w:tcBorders>
            <w:gridSpan w:val="16"/>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24"/>
                <w:szCs w:val="24"/>
                <w:color w:val="auto"/>
              </w:rPr>
            </w:pPr>
          </w:p>
        </w:tc>
        <w:tc>
          <w:tcPr>
            <w:tcW w:w="9380" w:type="dxa"/>
            <w:vAlign w:val="bottom"/>
            <w:tcBorders>
              <w:bottom w:val="single" w:sz="8" w:color="0000EE"/>
            </w:tcBorders>
            <w:gridSpan w:val="9"/>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Amendment and Novation of Operating Agreement dated May 1, 2014 among NetEase Information Technology (Beijing) Co., Ltd.,</w:t>
              </w:r>
            </w:hyperlink>
          </w:p>
        </w:tc>
        <w:tc>
          <w:tcPr>
            <w:tcW w:w="54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40" w:type="dxa"/>
            <w:vAlign w:val="bottom"/>
            <w:tcBorders>
              <w:bottom w:val="single" w:sz="8" w:color="0000EE"/>
            </w:tcBorders>
            <w:gridSpan w:val="13"/>
          </w:tcPr>
          <w:p>
            <w:pPr>
              <w:spacing w:after="0" w:line="193"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Beijing Guangyitong Advertising Co., Ltd., Bo Ding and William Lei Ding (incorporated by reference to Exhibit 4.33 to the company’s</w:t>
              </w:r>
            </w:hyperlink>
          </w:p>
        </w:tc>
        <w:tc>
          <w:tcPr>
            <w:tcW w:w="28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580" w:type="dxa"/>
            <w:vAlign w:val="bottom"/>
            <w:tcBorders>
              <w:bottom w:val="single" w:sz="8" w:color="0000EE"/>
            </w:tcBorders>
            <w:gridSpan w:val="5"/>
          </w:tcPr>
          <w:p>
            <w:pPr>
              <w:spacing w:after="0" w:line="193"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Annual Report on Form 20-F for the year ended December 31, 2014 filed with the SEC on April 24, 2015)</w:t>
              </w:r>
            </w:hyperlink>
          </w:p>
        </w:tc>
        <w:tc>
          <w:tcPr>
            <w:tcW w:w="2340" w:type="dxa"/>
            <w:vAlign w:val="bottom"/>
            <w:gridSpan w:val="1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4.29</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3"/>
              </w:rPr>
            </w:pPr>
            <w:hyperlink r:id="rId174">
              <w:r>
                <w:rPr>
                  <w:rFonts w:ascii="Arial" w:cs="Arial" w:eastAsia="Arial" w:hAnsi="Arial"/>
                  <w:sz w:val="18"/>
                  <w:szCs w:val="18"/>
                  <w:color w:val="0000EE"/>
                  <w:w w:val="93"/>
                </w:rPr>
                <w:t>Amendment and Novation of Letter of Agreement dated May 1, 2014 among NetEase Inc., William Lei Ding, Bo Ding and Xiaojun Hui</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38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(incorporated by reference to Exhibit 4.34 to the company’s Annual Report on Form 20-F for the year ended December 31, 2014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the SEC on April 24, 2015)</w:t>
              </w:r>
            </w:hyperlink>
          </w:p>
        </w:tc>
        <w:tc>
          <w:tcPr>
            <w:tcW w:w="7900" w:type="dxa"/>
            <w:vAlign w:val="bottom"/>
            <w:tcBorders>
              <w:top w:val="single" w:sz="8" w:color="0000EE"/>
            </w:tcBorders>
            <w:gridSpan w:val="16"/>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5"/>
              </w:rPr>
            </w:pPr>
            <w:hyperlink r:id="rId175">
              <w:r>
                <w:rPr>
                  <w:rFonts w:ascii="Arial" w:cs="Arial" w:eastAsia="Arial" w:hAnsi="Arial"/>
                  <w:sz w:val="18"/>
                  <w:szCs w:val="18"/>
                  <w:color w:val="0000EE"/>
                  <w:w w:val="95"/>
                </w:rPr>
                <w:t>Loan Agreement dated May 1, 2014 between NetEase Information Technology (Beijing) Co., Ltd. and Xiaojun Hui (incorporated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24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93"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reference to Exhibit 4.35 to the company’s Annual Report on Form 20-F for the year ended December 31, 2014 filed with the SEC on</w:t>
              </w:r>
            </w:hyperlink>
          </w:p>
        </w:tc>
        <w:tc>
          <w:tcPr>
            <w:tcW w:w="42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bottom w:val="single" w:sz="8" w:color="0000EE"/>
            </w:tcBorders>
            <w:gridSpan w:val="2"/>
          </w:tcPr>
          <w:p>
            <w:pPr>
              <w:spacing w:after="0" w:line="193"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April 24, 2015)</w:t>
              </w:r>
            </w:hyperlink>
          </w:p>
        </w:tc>
        <w:tc>
          <w:tcPr>
            <w:tcW w:w="880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Equity Pledge Agreement dated May 1, 2014 between NetEase Information Technology (Beijing) Co., Ltd. and Xiaojun Hui (incorporated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40" w:type="dxa"/>
            <w:vAlign w:val="bottom"/>
            <w:tcBorders>
              <w:top w:val="single" w:sz="8" w:color="0000EE"/>
            </w:tcBorders>
            <w:gridSpan w:val="18"/>
          </w:tcPr>
          <w:p>
            <w:pPr>
              <w:spacing w:after="0" w:line="193"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by reference to Exhibit 4.36 to the company’s Annual Report on Form 20-F for the year ended December 31, 2014 filed with the SEC on</w:t>
              </w:r>
            </w:hyperlink>
          </w:p>
        </w:tc>
        <w:tc>
          <w:tcPr>
            <w:tcW w:w="8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April 24, 2015)</w:t>
              </w:r>
            </w:hyperlink>
          </w:p>
        </w:tc>
        <w:tc>
          <w:tcPr>
            <w:tcW w:w="8600" w:type="dxa"/>
            <w:vAlign w:val="bottom"/>
            <w:tcBorders>
              <w:top w:val="single" w:sz="8" w:color="0000EE"/>
            </w:tcBorders>
            <w:gridSpan w:val="13"/>
          </w:tcPr>
          <w:p>
            <w:pPr>
              <w:spacing w:after="0"/>
              <w:rPr>
                <w:sz w:val="16"/>
                <w:szCs w:val="16"/>
                <w:color w:val="auto"/>
              </w:rPr>
            </w:pPr>
          </w:p>
        </w:tc>
        <w:tc>
          <w:tcPr>
            <w:tcW w:w="20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24"/>
                <w:szCs w:val="24"/>
                <w:color w:val="auto"/>
              </w:rPr>
            </w:pPr>
          </w:p>
        </w:tc>
        <w:tc>
          <w:tcPr>
            <w:tcW w:w="9920" w:type="dxa"/>
            <w:vAlign w:val="bottom"/>
            <w:tcBorders>
              <w:bottom w:val="single" w:sz="8" w:color="0000EE"/>
            </w:tcBorders>
            <w:gridSpan w:val="21"/>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Loan Agreement dated November 30, 2015 between NetEase Media Technology (Beijing) Co., Ltd. and William Lei Ding (incorporated by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93"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reference to Exhibit 4.37 to the company’s Annual Report on Form 20-F for the year ended December 31, 2015 filed with the SEC on</w:t>
              </w:r>
            </w:hyperlink>
          </w:p>
        </w:tc>
        <w:tc>
          <w:tcPr>
            <w:tcW w:w="42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bottom w:val="single" w:sz="8" w:color="0000EE"/>
            </w:tcBorders>
            <w:gridSpan w:val="2"/>
          </w:tcPr>
          <w:p>
            <w:pPr>
              <w:spacing w:after="0" w:line="193"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April 22, 2016)</w:t>
              </w:r>
            </w:hyperlink>
          </w:p>
        </w:tc>
        <w:tc>
          <w:tcPr>
            <w:tcW w:w="880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4.33</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Loan Agreement dated November 30, 2015 between NetEase Media Technology (Beijing) Co., Ltd. and Li Li (incorporated by reference 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tcBorders>
              <w:top w:val="single" w:sz="8" w:color="0000EE"/>
              <w:bottom w:val="single" w:sz="8" w:color="0000EE"/>
            </w:tcBorders>
            <w:gridSpan w:val="17"/>
          </w:tcPr>
          <w:p>
            <w:pPr>
              <w:spacing w:after="0" w:line="193"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Exhibit 4.38 to the company’s Annual Report on Form 20-F for the year ended December 31, 2015 filed with the SEC on April 22, 2016)</w:t>
              </w:r>
            </w:hyperlink>
          </w:p>
        </w:tc>
        <w:tc>
          <w:tcPr>
            <w:tcW w:w="140" w:type="dxa"/>
            <w:vAlign w:val="bottom"/>
            <w:tcBorders>
              <w:top w:val="single" w:sz="8" w:color="0000EE"/>
            </w:tcBorders>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24"/>
                <w:szCs w:val="24"/>
                <w:color w:val="auto"/>
              </w:rPr>
            </w:pPr>
          </w:p>
        </w:tc>
        <w:tc>
          <w:tcPr>
            <w:tcW w:w="9340" w:type="dxa"/>
            <w:vAlign w:val="bottom"/>
            <w:tcBorders>
              <w:bottom w:val="single" w:sz="8" w:color="0000EE"/>
            </w:tcBorders>
            <w:gridSpan w:val="8"/>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Equity Pledge Agreement dated November 30, 2015 between NetEase Media Technology (Beijing) Co., Ltd. and William Lei Ding</w:t>
              </w:r>
            </w:hyperlink>
          </w:p>
        </w:tc>
        <w:tc>
          <w:tcPr>
            <w:tcW w:w="58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(incorporated by reference to Exhibit 4.39 to the company’s Annual Report on Form 20-F for the year ended December 31, 2015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the SEC on April 22, 2016)</w:t>
              </w:r>
            </w:hyperlink>
          </w:p>
        </w:tc>
        <w:tc>
          <w:tcPr>
            <w:tcW w:w="7900" w:type="dxa"/>
            <w:vAlign w:val="bottom"/>
            <w:tcBorders>
              <w:top w:val="single" w:sz="8" w:color="0000EE"/>
            </w:tcBorders>
            <w:gridSpan w:val="16"/>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24"/>
                <w:szCs w:val="24"/>
                <w:color w:val="auto"/>
              </w:rPr>
            </w:pPr>
          </w:p>
        </w:tc>
        <w:tc>
          <w:tcPr>
            <w:tcW w:w="9680" w:type="dxa"/>
            <w:vAlign w:val="bottom"/>
            <w:tcBorders>
              <w:bottom w:val="single" w:sz="8" w:color="0000EE"/>
            </w:tcBorders>
            <w:gridSpan w:val="14"/>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Equity Pledge Agreement dated November 30, 2015 between NetEase Media Technology (Beijing) Co., Ltd. and Li Li (incorporated by</w:t>
              </w:r>
            </w:hyperlink>
          </w:p>
        </w:tc>
        <w:tc>
          <w:tcPr>
            <w:tcW w:w="24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500" w:type="dxa"/>
            <w:vAlign w:val="bottom"/>
            <w:tcBorders>
              <w:bottom w:val="single" w:sz="8" w:color="0000EE"/>
            </w:tcBorders>
            <w:gridSpan w:val="11"/>
          </w:tcPr>
          <w:p>
            <w:pPr>
              <w:spacing w:after="0" w:line="193"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reference to Exhibit 4.40 to the company’s Annual Report on Form 20-F for the year ended December 31, 2015 filed with the SEC on</w:t>
              </w:r>
            </w:hyperlink>
          </w:p>
        </w:tc>
        <w:tc>
          <w:tcPr>
            <w:tcW w:w="42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bottom w:val="single" w:sz="8" w:color="0000EE"/>
            </w:tcBorders>
          </w:tcPr>
          <w:p>
            <w:pPr>
              <w:spacing w:after="0" w:line="193"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April 22, 2016)</w:t>
              </w:r>
            </w:hyperlink>
          </w:p>
        </w:tc>
        <w:tc>
          <w:tcPr>
            <w:tcW w:w="8820" w:type="dxa"/>
            <w:vAlign w:val="bottom"/>
            <w:gridSpan w:val="2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80" w:type="dxa"/>
            <w:vAlign w:val="bottom"/>
            <w:gridSpan w:val="5"/>
          </w:tcPr>
          <w:p>
            <w:pPr>
              <w:ind w:left="4080"/>
              <w:spacing w:after="0"/>
              <w:rPr>
                <w:sz w:val="20"/>
                <w:szCs w:val="20"/>
                <w:color w:val="auto"/>
              </w:rPr>
            </w:pPr>
            <w:r>
              <w:rPr>
                <w:rFonts w:ascii="Arial" w:cs="Arial" w:eastAsia="Arial" w:hAnsi="Arial"/>
                <w:sz w:val="18"/>
                <w:szCs w:val="18"/>
                <w:color w:val="auto"/>
              </w:rPr>
              <w:t>120</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0" w:type="dxa"/>
            <w:vAlign w:val="bottom"/>
            <w:gridSpan w:val="18"/>
            <w:vMerge w:val="restart"/>
          </w:tcPr>
          <w:p>
            <w:pPr>
              <w:ind w:left="23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0" w:type="dxa"/>
            <w:vAlign w:val="bottom"/>
            <w:gridSpan w:val="18"/>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4.36</w:t>
            </w:r>
          </w:p>
        </w:tc>
        <w:tc>
          <w:tcPr>
            <w:tcW w:w="340" w:type="dxa"/>
            <w:vAlign w:val="bottom"/>
          </w:tcPr>
          <w:p>
            <w:pPr>
              <w:spacing w:after="0"/>
              <w:rPr>
                <w:sz w:val="14"/>
                <w:szCs w:val="14"/>
                <w:color w:val="auto"/>
              </w:rPr>
            </w:pPr>
          </w:p>
        </w:tc>
        <w:tc>
          <w:tcPr>
            <w:tcW w:w="9160" w:type="dxa"/>
            <w:vAlign w:val="bottom"/>
            <w:tcBorders>
              <w:top w:val="single" w:sz="8" w:color="auto"/>
              <w:bottom w:val="single" w:sz="8" w:color="0000EE"/>
            </w:tcBorders>
            <w:gridSpan w:val="8"/>
          </w:tcPr>
          <w:p>
            <w:pPr>
              <w:spacing w:after="0" w:line="167"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Exclusive Purchase Option Agreement dated November 30, 2015 among NetEase Media Technology (Beijing) Co., Ltd., Beijing</w:t>
              </w:r>
            </w:hyperlink>
          </w:p>
        </w:tc>
        <w:tc>
          <w:tcPr>
            <w:tcW w:w="760" w:type="dxa"/>
            <w:vAlign w:val="bottom"/>
            <w:tcBorders>
              <w:top w:val="single" w:sz="8" w:color="auto"/>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40" w:type="dxa"/>
            <w:vAlign w:val="bottom"/>
            <w:tcBorders>
              <w:bottom w:val="single" w:sz="8" w:color="0000EE"/>
            </w:tcBorders>
            <w:gridSpan w:val="14"/>
          </w:tcPr>
          <w:p>
            <w:pPr>
              <w:spacing w:after="0" w:line="193"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Guangyitong Advertising Co., Ltd. and William Lei Ding (incorporated by reference to Exhibit 4.41 to the company’s Annual Report on</w:t>
              </w:r>
            </w:hyperlink>
          </w:p>
        </w:tc>
        <w:tc>
          <w:tcPr>
            <w:tcW w:w="1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60" w:type="dxa"/>
            <w:vAlign w:val="bottom"/>
            <w:tcBorders>
              <w:bottom w:val="single" w:sz="8" w:color="0000EE"/>
            </w:tcBorders>
            <w:gridSpan w:val="6"/>
          </w:tcPr>
          <w:p>
            <w:pPr>
              <w:spacing w:after="0" w:line="193"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Form 20-F for the year ended December 31, 2015 filed with the SEC on April 22, 2016)</w:t>
              </w:r>
            </w:hyperlink>
          </w:p>
        </w:tc>
        <w:tc>
          <w:tcPr>
            <w:tcW w:w="3660" w:type="dxa"/>
            <w:vAlign w:val="bottom"/>
            <w:gridSpan w:val="1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4"/>
                <w:szCs w:val="24"/>
                <w:color w:val="auto"/>
              </w:rPr>
            </w:pPr>
          </w:p>
        </w:tc>
        <w:tc>
          <w:tcPr>
            <w:tcW w:w="9160" w:type="dxa"/>
            <w:vAlign w:val="bottom"/>
            <w:tcBorders>
              <w:bottom w:val="single" w:sz="8" w:color="0000EE"/>
            </w:tcBorders>
            <w:gridSpan w:val="8"/>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Exclusive Purchase Option Agreement dated November 30, 2015 among NetEase Media Technology (Beijing) Co., Ltd., Beijing</w:t>
              </w:r>
            </w:hyperlink>
          </w:p>
        </w:tc>
        <w:tc>
          <w:tcPr>
            <w:tcW w:w="76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60" w:type="dxa"/>
            <w:vAlign w:val="bottom"/>
            <w:tcBorders>
              <w:bottom w:val="single" w:sz="8" w:color="0000EE"/>
            </w:tcBorders>
            <w:gridSpan w:val="19"/>
          </w:tcPr>
          <w:p>
            <w:pPr>
              <w:spacing w:after="0" w:line="193"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Guangyitong Advertising Co., Ltd. and Li Li (incorporated by reference to Exhibit 4.42 to the company’s Annual Report on Form 20-F for</w:t>
              </w:r>
            </w:hyperlink>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0" w:type="dxa"/>
            <w:vAlign w:val="bottom"/>
            <w:tcBorders>
              <w:bottom w:val="single" w:sz="8" w:color="0000EE"/>
            </w:tcBorders>
            <w:gridSpan w:val="5"/>
          </w:tcPr>
          <w:p>
            <w:pPr>
              <w:spacing w:after="0" w:line="193" w:lineRule="exact"/>
              <w:rPr>
                <w:rFonts w:ascii="Arial" w:cs="Arial" w:eastAsia="Arial" w:hAnsi="Arial"/>
                <w:sz w:val="18"/>
                <w:szCs w:val="18"/>
                <w:color w:val="0000EE"/>
                <w:w w:val="89"/>
              </w:rPr>
            </w:pPr>
            <w:hyperlink r:id="rId184">
              <w:r>
                <w:rPr>
                  <w:rFonts w:ascii="Arial" w:cs="Arial" w:eastAsia="Arial" w:hAnsi="Arial"/>
                  <w:sz w:val="18"/>
                  <w:szCs w:val="18"/>
                  <w:color w:val="0000EE"/>
                  <w:w w:val="89"/>
                </w:rPr>
                <w:t>the year ended December 31, 2015 filed with the SEC on April 22, 2016)</w:t>
              </w:r>
            </w:hyperlink>
          </w:p>
        </w:tc>
        <w:tc>
          <w:tcPr>
            <w:tcW w:w="4720" w:type="dxa"/>
            <w:vAlign w:val="bottom"/>
            <w:gridSpan w:val="1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24"/>
                <w:szCs w:val="24"/>
                <w:color w:val="auto"/>
              </w:rPr>
            </w:pPr>
          </w:p>
        </w:tc>
        <w:tc>
          <w:tcPr>
            <w:tcW w:w="9800" w:type="dxa"/>
            <w:vAlign w:val="bottom"/>
            <w:tcBorders>
              <w:bottom w:val="single" w:sz="8" w:color="0000EE"/>
            </w:tcBorders>
            <w:gridSpan w:val="16"/>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Operating Agreement dated November 30, 2015 among NetEase Media Technology (Beijing) Co., Ltd., Beijing Guangyitong Advertising</w:t>
              </w:r>
            </w:hyperlink>
          </w:p>
        </w:tc>
        <w:tc>
          <w:tcPr>
            <w:tcW w:w="1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20" w:type="dxa"/>
            <w:vAlign w:val="bottom"/>
            <w:tcBorders>
              <w:bottom w:val="single" w:sz="8" w:color="0000EE"/>
            </w:tcBorders>
            <w:gridSpan w:val="12"/>
          </w:tcPr>
          <w:p>
            <w:pPr>
              <w:spacing w:after="0" w:line="193"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Co., Ltd., William Lei Ding and Li Li (incorporated by reference to Exhibit 4.43 to the company’s Annual Report on Form 20-F for the</w:t>
              </w:r>
            </w:hyperlink>
          </w:p>
        </w:tc>
        <w:tc>
          <w:tcPr>
            <w:tcW w:w="30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40" w:type="dxa"/>
            <w:vAlign w:val="bottom"/>
            <w:tcBorders>
              <w:bottom w:val="single" w:sz="8" w:color="0000EE"/>
            </w:tcBorders>
            <w:gridSpan w:val="4"/>
          </w:tcPr>
          <w:p>
            <w:pPr>
              <w:spacing w:after="0" w:line="193"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year ended December 31, 2015 filed with the SEC on April 22, 2016)</w:t>
              </w:r>
            </w:hyperlink>
          </w:p>
        </w:tc>
        <w:tc>
          <w:tcPr>
            <w:tcW w:w="498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7"/>
              </w:rPr>
            </w:pPr>
            <w:hyperlink r:id="rId186">
              <w:r>
                <w:rPr>
                  <w:rFonts w:ascii="Arial" w:cs="Arial" w:eastAsia="Arial" w:hAnsi="Arial"/>
                  <w:sz w:val="18"/>
                  <w:szCs w:val="18"/>
                  <w:color w:val="0000EE"/>
                  <w:w w:val="97"/>
                </w:rPr>
                <w:t>Amended and Restated Letter of Agreement dated November 30, 2015 among NetEase, Inc., William Lei Ding and Xiaojun Hui</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(incorporated by reference to Exhibit 4.44 to the company’s Annual Report on Form 20-F for the year ended December 31, 2015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the SEC on April 22, 2016)</w:t>
              </w:r>
            </w:hyperlink>
          </w:p>
        </w:tc>
        <w:tc>
          <w:tcPr>
            <w:tcW w:w="7880" w:type="dxa"/>
            <w:vAlign w:val="bottom"/>
            <w:tcBorders>
              <w:top w:val="single" w:sz="8" w:color="0000EE"/>
            </w:tcBorders>
            <w:gridSpan w:val="17"/>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Arial" w:cs="Arial" w:eastAsia="Arial" w:hAnsi="Arial"/>
                <w:sz w:val="18"/>
                <w:szCs w:val="18"/>
                <w:color w:val="0000EE"/>
                <w:w w:val="89"/>
              </w:rPr>
            </w:pPr>
            <w:hyperlink r:id="rId187">
              <w:r>
                <w:rPr>
                  <w:rFonts w:ascii="Arial" w:cs="Arial" w:eastAsia="Arial" w:hAnsi="Arial"/>
                  <w:sz w:val="18"/>
                  <w:szCs w:val="18"/>
                  <w:color w:val="0000EE"/>
                  <w:w w:val="89"/>
                </w:rPr>
                <w:t>Loan Agreement dated December 1, 2015 between NetEase (Hangzhou) Network Co., Ltd. and Tianlei Hu (incorporated by reference to</w:t>
              </w:r>
            </w:hyperlink>
          </w:p>
        </w:tc>
        <w:tc>
          <w:tcPr>
            <w:tcW w:w="18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tcBorders>
              <w:bottom w:val="single" w:sz="8" w:color="0000EE"/>
            </w:tcBorders>
            <w:gridSpan w:val="15"/>
          </w:tcPr>
          <w:p>
            <w:pPr>
              <w:spacing w:after="0" w:line="193"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Exhibit 4.45 to the company’s Annual Report on Form 20-F for the year ended December 31, 2015 filed with the SEC on April 22, 2016)</w:t>
              </w:r>
            </w:hyperlink>
          </w:p>
        </w:tc>
        <w:tc>
          <w:tcPr>
            <w:tcW w:w="1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24"/>
                <w:szCs w:val="24"/>
                <w:color w:val="auto"/>
              </w:rPr>
            </w:pPr>
          </w:p>
        </w:tc>
        <w:tc>
          <w:tcPr>
            <w:tcW w:w="9840" w:type="dxa"/>
            <w:vAlign w:val="bottom"/>
            <w:tcBorders>
              <w:bottom w:val="single" w:sz="8" w:color="0000EE"/>
            </w:tcBorders>
            <w:gridSpan w:val="18"/>
          </w:tcPr>
          <w:p>
            <w:pPr>
              <w:spacing w:after="0"/>
              <w:rPr>
                <w:rFonts w:ascii="Arial" w:cs="Arial" w:eastAsia="Arial" w:hAnsi="Arial"/>
                <w:sz w:val="18"/>
                <w:szCs w:val="18"/>
                <w:color w:val="0000EE"/>
                <w:w w:val="89"/>
              </w:rPr>
            </w:pPr>
            <w:hyperlink r:id="rId188">
              <w:r>
                <w:rPr>
                  <w:rFonts w:ascii="Arial" w:cs="Arial" w:eastAsia="Arial" w:hAnsi="Arial"/>
                  <w:sz w:val="18"/>
                  <w:szCs w:val="18"/>
                  <w:color w:val="0000EE"/>
                  <w:w w:val="89"/>
                </w:rPr>
                <w:t>Loan Agreement dated December 1, 2015 between NetEase (Hangzhou) Network Co., Ltd. and Zhipeng Hu. (incorporated by reference to</w:t>
              </w:r>
            </w:hyperlink>
          </w:p>
        </w:tc>
        <w:tc>
          <w:tcPr>
            <w:tcW w:w="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tcBorders>
              <w:bottom w:val="single" w:sz="8" w:color="0000EE"/>
            </w:tcBorders>
            <w:gridSpan w:val="15"/>
          </w:tcPr>
          <w:p>
            <w:pPr>
              <w:spacing w:after="0" w:line="193"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Exhibit 4.46 to the company’s Annual Report on Form 20-F for the year ended December 31, 2015 filed with the SEC on April 22, 2016)</w:t>
              </w:r>
            </w:hyperlink>
          </w:p>
        </w:tc>
        <w:tc>
          <w:tcPr>
            <w:tcW w:w="1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4.42</w:t>
            </w:r>
          </w:p>
        </w:tc>
        <w:tc>
          <w:tcPr>
            <w:tcW w:w="340" w:type="dxa"/>
            <w:vAlign w:val="bottom"/>
          </w:tcPr>
          <w:p>
            <w:pPr>
              <w:spacing w:after="0"/>
              <w:rPr>
                <w:sz w:val="24"/>
                <w:szCs w:val="24"/>
                <w:color w:val="auto"/>
              </w:rPr>
            </w:pPr>
          </w:p>
        </w:tc>
        <w:tc>
          <w:tcPr>
            <w:tcW w:w="9920" w:type="dxa"/>
            <w:vAlign w:val="bottom"/>
            <w:tcBorders>
              <w:bottom w:val="single" w:sz="8" w:color="0000EE"/>
            </w:tcBorders>
            <w:gridSpan w:val="21"/>
          </w:tcPr>
          <w:p>
            <w:pPr>
              <w:spacing w:after="0"/>
              <w:rPr>
                <w:rFonts w:ascii="Arial" w:cs="Arial" w:eastAsia="Arial" w:hAnsi="Arial"/>
                <w:sz w:val="18"/>
                <w:szCs w:val="18"/>
                <w:color w:val="0000EE"/>
                <w:w w:val="88"/>
              </w:rPr>
            </w:pPr>
            <w:hyperlink r:id="rId189">
              <w:r>
                <w:rPr>
                  <w:rFonts w:ascii="Arial" w:cs="Arial" w:eastAsia="Arial" w:hAnsi="Arial"/>
                  <w:sz w:val="18"/>
                  <w:szCs w:val="18"/>
                  <w:color w:val="0000EE"/>
                  <w:w w:val="88"/>
                </w:rPr>
                <w:t>Amended and Restated Equity Pledge Agreement dated December 1, 2015 between NetEase (Hangzhou) Network Co., Ltd. and Tianlei Hu</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(incorporated by reference to Exhibit 4.47 to the company’s Annual Report on Form 20-F for the year ended December 31, 2015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the SEC on April 22, 2016)</w:t>
              </w:r>
            </w:hyperlink>
          </w:p>
        </w:tc>
        <w:tc>
          <w:tcPr>
            <w:tcW w:w="7880" w:type="dxa"/>
            <w:vAlign w:val="bottom"/>
            <w:tcBorders>
              <w:top w:val="single" w:sz="8" w:color="0000EE"/>
            </w:tcBorders>
            <w:gridSpan w:val="17"/>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Amended and Restated Equity Pledge Agreement dated December 1, 2015 between NetEase (Hangzhou) Network Co., Ltd. and Zhipeng</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tcBorders>
              <w:bottom w:val="single" w:sz="8" w:color="0000EE"/>
            </w:tcBorders>
            <w:gridSpan w:val="17"/>
          </w:tcPr>
          <w:p>
            <w:pPr>
              <w:spacing w:after="0" w:line="193"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Hu. (incorporated by reference to Exhibit 4.48 to the company’s Annual Report on Form 20-F for the year ended December 31, 2015 filed</w:t>
              </w:r>
            </w:hyperlink>
          </w:p>
        </w:tc>
        <w:tc>
          <w:tcPr>
            <w:tcW w:w="1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Borders>
              <w:bottom w:val="single" w:sz="8" w:color="0000EE"/>
            </w:tcBorders>
            <w:gridSpan w:val="3"/>
          </w:tcPr>
          <w:p>
            <w:pPr>
              <w:spacing w:after="0" w:line="193"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with the SEC on April 22, 2016)</w:t>
              </w:r>
            </w:hyperlink>
          </w:p>
        </w:tc>
        <w:tc>
          <w:tcPr>
            <w:tcW w:w="7600" w:type="dxa"/>
            <w:vAlign w:val="bottom"/>
            <w:gridSpan w:val="1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24"/>
                <w:szCs w:val="24"/>
                <w:color w:val="auto"/>
              </w:rPr>
            </w:pPr>
          </w:p>
        </w:tc>
        <w:tc>
          <w:tcPr>
            <w:tcW w:w="9400" w:type="dxa"/>
            <w:vAlign w:val="bottom"/>
            <w:tcBorders>
              <w:bottom w:val="single" w:sz="8" w:color="0000EE"/>
            </w:tcBorders>
            <w:gridSpan w:val="10"/>
          </w:tcPr>
          <w:p>
            <w:pPr>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Exclusive Purchase Option Agreement dated December 1, 2015 among NetEase (Hangzhou) Network Co., Ltd., Hangzhou NetEase</w:t>
              </w:r>
            </w:hyperlink>
          </w:p>
        </w:tc>
        <w:tc>
          <w:tcPr>
            <w:tcW w:w="52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tcBorders>
              <w:bottom w:val="single" w:sz="8" w:color="0000EE"/>
            </w:tcBorders>
            <w:gridSpan w:val="20"/>
          </w:tcPr>
          <w:p>
            <w:pPr>
              <w:spacing w:after="0" w:line="193"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Leihuo Network Co., Ltd. and Tianlei Hu (incorporated by reference to Exhibit 4.49 to the company’s Annual Report on Form 20-F for the</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40" w:type="dxa"/>
            <w:vAlign w:val="bottom"/>
            <w:tcBorders>
              <w:bottom w:val="single" w:sz="8" w:color="0000EE"/>
            </w:tcBorders>
            <w:gridSpan w:val="4"/>
          </w:tcPr>
          <w:p>
            <w:pPr>
              <w:spacing w:after="0" w:line="193"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year ended December 31, 2015 filed with the SEC on April 22, 2016)</w:t>
              </w:r>
            </w:hyperlink>
          </w:p>
        </w:tc>
        <w:tc>
          <w:tcPr>
            <w:tcW w:w="498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24"/>
                <w:szCs w:val="24"/>
                <w:color w:val="auto"/>
              </w:rPr>
            </w:pPr>
          </w:p>
        </w:tc>
        <w:tc>
          <w:tcPr>
            <w:tcW w:w="9400" w:type="dxa"/>
            <w:vAlign w:val="bottom"/>
            <w:tcBorders>
              <w:bottom w:val="single" w:sz="8" w:color="0000EE"/>
            </w:tcBorders>
            <w:gridSpan w:val="10"/>
          </w:tcPr>
          <w:p>
            <w:pPr>
              <w:spacing w:after="0"/>
              <w:rPr>
                <w:rFonts w:ascii="Arial" w:cs="Arial" w:eastAsia="Arial" w:hAnsi="Arial"/>
                <w:sz w:val="18"/>
                <w:szCs w:val="18"/>
                <w:color w:val="0000EE"/>
                <w:w w:val="88"/>
              </w:rPr>
            </w:pPr>
            <w:hyperlink r:id="rId192">
              <w:r>
                <w:rPr>
                  <w:rFonts w:ascii="Arial" w:cs="Arial" w:eastAsia="Arial" w:hAnsi="Arial"/>
                  <w:sz w:val="18"/>
                  <w:szCs w:val="18"/>
                  <w:color w:val="0000EE"/>
                  <w:w w:val="88"/>
                </w:rPr>
                <w:t>Exclusive Purchase Option Agreement dated December 1, 2015 among NetEase (Hangzhou) Network Co., Ltd., Hangzhou NetEase</w:t>
              </w:r>
            </w:hyperlink>
          </w:p>
        </w:tc>
        <w:tc>
          <w:tcPr>
            <w:tcW w:w="52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Leihuo Network Co., Ltd. and Zhipeng Hu (incorporated by reference to Exhibit 4.50 to the company’s Annual Report on Form 20-F for</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the year ended December 31, 2015 filed with the SEC on April 22, 2016)</w:t>
              </w:r>
            </w:hyperlink>
          </w:p>
        </w:tc>
        <w:tc>
          <w:tcPr>
            <w:tcW w:w="4540" w:type="dxa"/>
            <w:vAlign w:val="bottom"/>
            <w:tcBorders>
              <w:top w:val="single" w:sz="8" w:color="0000EE"/>
            </w:tcBorders>
            <w:gridSpan w:val="9"/>
          </w:tcPr>
          <w:p>
            <w:pPr>
              <w:spacing w:after="0"/>
              <w:rPr>
                <w:sz w:val="16"/>
                <w:szCs w:val="16"/>
                <w:color w:val="auto"/>
              </w:rPr>
            </w:pPr>
          </w:p>
        </w:tc>
        <w:tc>
          <w:tcPr>
            <w:tcW w:w="1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Operating Agreement dated December 1, 2015 among NetEase (Hangzhou) Network Co., Ltd., Hangzhou NetEase Leihuo Network</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Co., Ltd., Tianlei Hu and Zhipeng Hu (incorporated by reference to Exhibit 4.51 to the company’s Annual Report on Form 20-F for the</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4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year ended December 31, 2015 filed with the SEC on April 22, 2016)</w:t>
              </w:r>
            </w:hyperlink>
          </w:p>
        </w:tc>
        <w:tc>
          <w:tcPr>
            <w:tcW w:w="4660" w:type="dxa"/>
            <w:vAlign w:val="bottom"/>
            <w:tcBorders>
              <w:top w:val="single" w:sz="8" w:color="0000EE"/>
            </w:tcBorders>
            <w:gridSpan w:val="7"/>
          </w:tcPr>
          <w:p>
            <w:pPr>
              <w:spacing w:after="0"/>
              <w:rPr>
                <w:sz w:val="16"/>
                <w:szCs w:val="16"/>
                <w:color w:val="auto"/>
              </w:rPr>
            </w:pPr>
          </w:p>
        </w:tc>
        <w:tc>
          <w:tcPr>
            <w:tcW w:w="320" w:type="dxa"/>
            <w:vAlign w:val="bottom"/>
            <w:gridSpan w:val="10"/>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2"/>
              </w:rPr>
            </w:pPr>
            <w:hyperlink r:id="rId194">
              <w:r>
                <w:rPr>
                  <w:rFonts w:ascii="Arial" w:cs="Arial" w:eastAsia="Arial" w:hAnsi="Arial"/>
                  <w:sz w:val="18"/>
                  <w:szCs w:val="18"/>
                  <w:color w:val="0000EE"/>
                  <w:w w:val="92"/>
                </w:rPr>
                <w:t>Loan Agreement dated September 26, 2016 between William Lei Ding and NetEase Youdao Information Technology (Beijing) Co., Ltd.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720" w:type="dxa"/>
            <w:vAlign w:val="bottom"/>
            <w:gridSpan w:val="12"/>
            <w:shd w:val="clear" w:color="auto" w:fill="0000EE"/>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21"/>
          </w:tcPr>
          <w:p>
            <w:pPr>
              <w:spacing w:after="0" w:line="193"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(incorporated by reference to Exhibit 4.51 to the company’s Annual Report on Form 20-F for the year ended December 31, 2016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the SEC on April 21, 2017)</w:t>
              </w:r>
            </w:hyperlink>
          </w:p>
        </w:tc>
        <w:tc>
          <w:tcPr>
            <w:tcW w:w="7900" w:type="dxa"/>
            <w:vAlign w:val="bottom"/>
            <w:tcBorders>
              <w:top w:val="single" w:sz="8" w:color="0000EE"/>
            </w:tcBorders>
            <w:gridSpan w:val="18"/>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40" w:type="dxa"/>
            <w:vAlign w:val="bottom"/>
            <w:gridSpan w:val="4"/>
          </w:tcPr>
          <w:p>
            <w:pPr>
              <w:ind w:left="408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40" w:type="dxa"/>
            <w:vAlign w:val="bottom"/>
            <w:gridSpan w:val="21"/>
            <w:vMerge w:val="restart"/>
          </w:tcPr>
          <w:p>
            <w:pPr>
              <w:ind w:left="6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40" w:type="dxa"/>
            <w:vAlign w:val="bottom"/>
            <w:gridSpan w:val="21"/>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4.48</w:t>
            </w:r>
          </w:p>
        </w:tc>
        <w:tc>
          <w:tcPr>
            <w:tcW w:w="340" w:type="dxa"/>
            <w:vAlign w:val="bottom"/>
          </w:tcPr>
          <w:p>
            <w:pPr>
              <w:spacing w:after="0"/>
              <w:rPr>
                <w:sz w:val="14"/>
                <w:szCs w:val="14"/>
                <w:color w:val="auto"/>
              </w:rPr>
            </w:pPr>
          </w:p>
        </w:tc>
        <w:tc>
          <w:tcPr>
            <w:tcW w:w="9920" w:type="dxa"/>
            <w:vAlign w:val="bottom"/>
            <w:tcBorders>
              <w:top w:val="single" w:sz="8" w:color="auto"/>
            </w:tcBorders>
            <w:gridSpan w:val="30"/>
          </w:tcPr>
          <w:p>
            <w:pPr>
              <w:spacing w:after="0" w:line="167"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Equity Pledge Agreement dated September 26, 2016 between William Lei Ding and NetEase Youdao Information Technology (Beijing)</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tcBorders>
              <w:bottom w:val="single" w:sz="8" w:color="0000EE"/>
            </w:tcBorders>
            <w:gridSpan w:val="26"/>
          </w:tcPr>
          <w:p>
            <w:pPr>
              <w:spacing w:after="0" w:line="193"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Co., Ltd. (incorporated by reference to Exhibit 4.52 to the company’s Annual Report on Form 20-F for the year ended December 31, 2016</w:t>
              </w:r>
            </w:hyperlink>
          </w:p>
        </w:tc>
        <w:tc>
          <w:tcPr>
            <w:tcW w:w="1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rPr>
            </w:pPr>
            <w:hyperlink r:id="rId197">
              <w:r>
                <w:rPr>
                  <w:rFonts w:ascii="Arial" w:cs="Arial" w:eastAsia="Arial" w:hAnsi="Arial"/>
                  <w:sz w:val="18"/>
                  <w:szCs w:val="18"/>
                  <w:color w:val="0000EE"/>
                </w:rPr>
                <w:t>filed with the SEC on April 21, 2017)</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Exclusive Purchase Option Agreement dated September 26, 2016 among William Lei Ding, NetEase Youdao Information Technology</w:t>
              </w:r>
            </w:hyperlink>
          </w:p>
        </w:tc>
        <w:tc>
          <w:tcPr>
            <w:tcW w:w="40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(Beijing) Co., Ltd. and Youdao Computer System Co., Ltd. (incorporated by reference to Exhibit 4.53 to the company’s Annual Report on</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60" w:type="dxa"/>
            <w:vAlign w:val="bottom"/>
            <w:tcBorders>
              <w:top w:val="single" w:sz="8" w:color="0000EE"/>
              <w:bottom w:val="single" w:sz="8" w:color="0000EE"/>
            </w:tcBorders>
            <w:gridSpan w:val="14"/>
          </w:tcPr>
          <w:p>
            <w:pPr>
              <w:spacing w:after="0" w:line="193"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Form 20-F for the year ended December 31, 2016 filed with the SEC on April 21, 2017)</w:t>
              </w:r>
            </w:hyperlink>
          </w:p>
        </w:tc>
        <w:tc>
          <w:tcPr>
            <w:tcW w:w="3540" w:type="dxa"/>
            <w:vAlign w:val="bottom"/>
            <w:tcBorders>
              <w:top w:val="single" w:sz="8" w:color="0000EE"/>
            </w:tcBorders>
            <w:gridSpan w:val="11"/>
          </w:tcPr>
          <w:p>
            <w:pPr>
              <w:spacing w:after="0"/>
              <w:rPr>
                <w:sz w:val="16"/>
                <w:szCs w:val="16"/>
                <w:color w:val="auto"/>
              </w:rPr>
            </w:pPr>
          </w:p>
        </w:tc>
        <w:tc>
          <w:tcPr>
            <w:tcW w:w="12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Operating Agreement dated September 26, 2016 among Youdao Computer System Co., Ltd., NetEase Youdao Information Technology</w:t>
              </w:r>
            </w:hyperlink>
          </w:p>
        </w:tc>
        <w:tc>
          <w:tcPr>
            <w:tcW w:w="2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(Beijing) Co., Ltd. and William Lei Ding. (incorporated by reference to Exhibit 4.54 to the company’s Annual Report on Form 20-F for the</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40" w:type="dxa"/>
            <w:vAlign w:val="bottom"/>
            <w:tcBorders>
              <w:top w:val="single" w:sz="8" w:color="0000EE"/>
              <w:bottom w:val="single" w:sz="8" w:color="0000EE"/>
            </w:tcBorders>
            <w:gridSpan w:val="12"/>
          </w:tcPr>
          <w:p>
            <w:pPr>
              <w:spacing w:after="0" w:line="193"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year ended December 31, 2016 filed with the SEC on April 21, 2017)</w:t>
              </w:r>
            </w:hyperlink>
          </w:p>
        </w:tc>
        <w:tc>
          <w:tcPr>
            <w:tcW w:w="4940" w:type="dxa"/>
            <w:vAlign w:val="bottom"/>
            <w:tcBorders>
              <w:top w:val="single" w:sz="8" w:color="0000EE"/>
            </w:tcBorders>
            <w:gridSpan w:val="17"/>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Cooperation Agreement dated July 1, 2015 between NetEase Youdao Information Technology (Beijing) Co., Ltd. and Youdao Computer</w:t>
              </w:r>
            </w:hyperlink>
          </w:p>
        </w:tc>
        <w:tc>
          <w:tcPr>
            <w:tcW w:w="2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w w:val="99"/>
              </w:rPr>
            </w:pPr>
            <w:hyperlink r:id="rId200">
              <w:r>
                <w:rPr>
                  <w:rFonts w:ascii="Arial" w:cs="Arial" w:eastAsia="Arial" w:hAnsi="Arial"/>
                  <w:sz w:val="18"/>
                  <w:szCs w:val="18"/>
                  <w:color w:val="0000EE"/>
                  <w:w w:val="99"/>
                </w:rPr>
                <w:t>System Co., Ltd. (incorporated by reference to Exhibit 4.55 to the company’s Annual Report on Form 20-F for the year ended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6"/>
          </w:tcPr>
          <w:p>
            <w:pPr>
              <w:spacing w:after="0" w:line="193"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December 31, 2016 filed with the SEC on April 21, 2017)</w:t>
              </w:r>
            </w:hyperlink>
          </w:p>
        </w:tc>
        <w:tc>
          <w:tcPr>
            <w:tcW w:w="4820" w:type="dxa"/>
            <w:vAlign w:val="bottom"/>
            <w:tcBorders>
              <w:top w:val="single" w:sz="8" w:color="0000EE"/>
            </w:tcBorders>
            <w:gridSpan w:val="11"/>
          </w:tcPr>
          <w:p>
            <w:pPr>
              <w:spacing w:after="0"/>
              <w:rPr>
                <w:sz w:val="16"/>
                <w:szCs w:val="16"/>
                <w:color w:val="auto"/>
              </w:rPr>
            </w:pPr>
          </w:p>
        </w:tc>
        <w:tc>
          <w:tcPr>
            <w:tcW w:w="980" w:type="dxa"/>
            <w:vAlign w:val="bottom"/>
            <w:gridSpan w:val="1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4.52</w:t>
            </w:r>
          </w:p>
        </w:tc>
        <w:tc>
          <w:tcPr>
            <w:tcW w:w="340" w:type="dxa"/>
            <w:vAlign w:val="bottom"/>
          </w:tcPr>
          <w:p>
            <w:pPr>
              <w:spacing w:after="0"/>
              <w:rPr>
                <w:sz w:val="24"/>
                <w:szCs w:val="24"/>
                <w:color w:val="auto"/>
              </w:rPr>
            </w:pPr>
          </w:p>
        </w:tc>
        <w:tc>
          <w:tcPr>
            <w:tcW w:w="9200" w:type="dxa"/>
            <w:vAlign w:val="bottom"/>
            <w:tcBorders>
              <w:bottom w:val="single" w:sz="8" w:color="0000EE"/>
            </w:tcBorders>
            <w:gridSpan w:val="18"/>
          </w:tcPr>
          <w:p>
            <w:pPr>
              <w:spacing w:after="0"/>
              <w:rPr>
                <w:rFonts w:ascii="Arial" w:cs="Arial" w:eastAsia="Arial" w:hAnsi="Arial"/>
                <w:sz w:val="18"/>
                <w:szCs w:val="18"/>
                <w:color w:val="0000EE"/>
                <w:w w:val="89"/>
              </w:rPr>
            </w:pPr>
            <w:hyperlink r:id="rId201">
              <w:r>
                <w:rPr>
                  <w:rFonts w:ascii="Arial" w:cs="Arial" w:eastAsia="Arial" w:hAnsi="Arial"/>
                  <w:sz w:val="18"/>
                  <w:szCs w:val="18"/>
                  <w:color w:val="0000EE"/>
                  <w:w w:val="89"/>
                </w:rPr>
                <w:t>Loan Agreement dated November 20, 2017 between Feng Zhou and NetEase Youdao Information Technology (Beijing) Co., Ltd.</w:t>
              </w:r>
            </w:hyperlink>
          </w:p>
        </w:tc>
        <w:tc>
          <w:tcPr>
            <w:tcW w:w="72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(incorporated by reference to Exhibit 4.52 to the company’s Annual Report on Form 20-F for the year ended December 31, 2017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the SEC on April 20, 2018)</w:t>
              </w:r>
            </w:hyperlink>
          </w:p>
        </w:tc>
        <w:tc>
          <w:tcPr>
            <w:tcW w:w="7880" w:type="dxa"/>
            <w:vAlign w:val="bottom"/>
            <w:tcBorders>
              <w:top w:val="single" w:sz="8" w:color="0000EE"/>
            </w:tcBorders>
            <w:gridSpan w:val="26"/>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4.53</w:t>
            </w:r>
          </w:p>
        </w:tc>
        <w:tc>
          <w:tcPr>
            <w:tcW w:w="340" w:type="dxa"/>
            <w:vAlign w:val="bottom"/>
          </w:tcPr>
          <w:p>
            <w:pPr>
              <w:spacing w:after="0"/>
              <w:rPr>
                <w:sz w:val="24"/>
                <w:szCs w:val="24"/>
                <w:color w:val="auto"/>
              </w:rPr>
            </w:pPr>
          </w:p>
        </w:tc>
        <w:tc>
          <w:tcPr>
            <w:tcW w:w="9840" w:type="dxa"/>
            <w:vAlign w:val="bottom"/>
            <w:tcBorders>
              <w:bottom w:val="single" w:sz="8" w:color="0000EE"/>
            </w:tcBorders>
            <w:gridSpan w:val="27"/>
          </w:tcPr>
          <w:p>
            <w:pPr>
              <w:spacing w:after="0"/>
              <w:rPr>
                <w:rFonts w:ascii="Arial" w:cs="Arial" w:eastAsia="Arial" w:hAnsi="Arial"/>
                <w:sz w:val="18"/>
                <w:szCs w:val="18"/>
                <w:color w:val="0000EE"/>
                <w:w w:val="89"/>
              </w:rPr>
            </w:pPr>
            <w:hyperlink r:id="rId202">
              <w:r>
                <w:rPr>
                  <w:rFonts w:ascii="Arial" w:cs="Arial" w:eastAsia="Arial" w:hAnsi="Arial"/>
                  <w:sz w:val="18"/>
                  <w:szCs w:val="18"/>
                  <w:color w:val="0000EE"/>
                  <w:w w:val="89"/>
                </w:rPr>
                <w:t>Equity Pledge Agreement dated November 20, 2017 between Feng Zhou and NetEase Youdao Information Technology (Beijing) Co., Ltd.</w:t>
              </w:r>
            </w:hyperlink>
          </w:p>
        </w:tc>
        <w:tc>
          <w:tcPr>
            <w:tcW w:w="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(incorporated by reference to Exhibit 4.53 to the company’s Annual Report on Form 20-F for the year ended December 31, 2017 filed with</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the SEC on April 20, 2018)</w:t>
              </w:r>
            </w:hyperlink>
          </w:p>
        </w:tc>
        <w:tc>
          <w:tcPr>
            <w:tcW w:w="7900" w:type="dxa"/>
            <w:vAlign w:val="bottom"/>
            <w:tcBorders>
              <w:top w:val="single" w:sz="8" w:color="0000EE"/>
            </w:tcBorders>
            <w:gridSpan w:val="27"/>
          </w:tcPr>
          <w:p>
            <w:pPr>
              <w:spacing w:after="0"/>
              <w:rPr>
                <w:sz w:val="16"/>
                <w:szCs w:val="16"/>
                <w:color w:val="auto"/>
              </w:rPr>
            </w:pP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4.54</w:t>
            </w:r>
          </w:p>
        </w:tc>
        <w:tc>
          <w:tcPr>
            <w:tcW w:w="34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Arial" w:cs="Arial" w:eastAsia="Arial" w:hAnsi="Arial"/>
                <w:sz w:val="18"/>
                <w:szCs w:val="18"/>
                <w:color w:val="0000EE"/>
                <w:w w:val="89"/>
              </w:rPr>
            </w:pPr>
            <w:hyperlink r:id="rId203">
              <w:r>
                <w:rPr>
                  <w:rFonts w:ascii="Arial" w:cs="Arial" w:eastAsia="Arial" w:hAnsi="Arial"/>
                  <w:sz w:val="18"/>
                  <w:szCs w:val="18"/>
                  <w:color w:val="0000EE"/>
                  <w:w w:val="89"/>
                </w:rPr>
                <w:t>Exclusive Purchase Option Agreement dated November 20, 2017 among NetEase Youdao Information Technology (Beijing) Co., Ltd.,</w:t>
              </w:r>
            </w:hyperlink>
          </w:p>
        </w:tc>
        <w:tc>
          <w:tcPr>
            <w:tcW w:w="34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00" w:type="dxa"/>
            <w:vAlign w:val="bottom"/>
            <w:tcBorders>
              <w:bottom w:val="single" w:sz="8" w:color="0000EE"/>
            </w:tcBorders>
            <w:gridSpan w:val="23"/>
          </w:tcPr>
          <w:p>
            <w:pPr>
              <w:spacing w:after="0" w:line="193"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Feng Zhou and Youdao Computer System Co., Ltd. (incorporated by reference to Exhibit 4.54 to the company’s Annual Report on Form</w:t>
              </w:r>
            </w:hyperlink>
          </w:p>
        </w:tc>
        <w:tc>
          <w:tcPr>
            <w:tcW w:w="22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40" w:type="dxa"/>
            <w:vAlign w:val="bottom"/>
            <w:tcBorders>
              <w:bottom w:val="single" w:sz="8" w:color="0000EE"/>
            </w:tcBorders>
            <w:gridSpan w:val="13"/>
          </w:tcPr>
          <w:p>
            <w:pPr>
              <w:spacing w:after="0" w:line="193"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20-F for the year ended December 31, 2017 filed with the SEC on April 20, 2018)</w:t>
              </w:r>
            </w:hyperlink>
          </w:p>
        </w:tc>
        <w:tc>
          <w:tcPr>
            <w:tcW w:w="4080" w:type="dxa"/>
            <w:vAlign w:val="bottom"/>
            <w:gridSpan w:val="1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Operating Agreement dated November 20, 2017 among NetEase Youdao Information Technology (Beijing) Co., Ltd., Youdao Computer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0" w:type="dxa"/>
            <w:vAlign w:val="bottom"/>
            <w:tcBorders>
              <w:top w:val="single" w:sz="8" w:color="0000EE"/>
              <w:bottom w:val="single" w:sz="8" w:color="0000EE"/>
            </w:tcBorders>
            <w:gridSpan w:val="21"/>
          </w:tcPr>
          <w:p>
            <w:pPr>
              <w:spacing w:after="0" w:line="193"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System Co., Ltd. and Feng Zhou (incorporated by reference to Exhibit 4.55 to the company’s Annual Report on Form 20-F for the year</w:t>
              </w:r>
            </w:hyperlink>
          </w:p>
        </w:tc>
        <w:tc>
          <w:tcPr>
            <w:tcW w:w="100" w:type="dxa"/>
            <w:vAlign w:val="bottom"/>
            <w:tcBorders>
              <w:top w:val="single" w:sz="8" w:color="0000EE"/>
            </w:tcBorders>
            <w:gridSpan w:val="2"/>
          </w:tcPr>
          <w:p>
            <w:pPr>
              <w:spacing w:after="0"/>
              <w:rPr>
                <w:sz w:val="16"/>
                <w:szCs w:val="16"/>
                <w:color w:val="auto"/>
              </w:rPr>
            </w:pPr>
          </w:p>
        </w:tc>
        <w:tc>
          <w:tcPr>
            <w:tcW w:w="22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rPr>
            </w:pPr>
            <w:hyperlink r:id="rId204">
              <w:r>
                <w:rPr>
                  <w:rFonts w:ascii="Arial" w:cs="Arial" w:eastAsia="Arial" w:hAnsi="Arial"/>
                  <w:sz w:val="18"/>
                  <w:szCs w:val="18"/>
                  <w:color w:val="0000EE"/>
                </w:rPr>
                <w:t>ended December 31, 2017 filed with the SEC on April 20, 2018)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8"/>
                <w:szCs w:val="18"/>
                <w:color w:val="0000EE"/>
              </w:rPr>
            </w:pPr>
            <w:hyperlink r:id="rId205">
              <w:r>
                <w:rPr>
                  <w:rFonts w:ascii="Arial" w:cs="Arial" w:eastAsia="Arial" w:hAnsi="Arial"/>
                  <w:sz w:val="18"/>
                  <w:szCs w:val="18"/>
                  <w:u w:val="single" w:color="auto"/>
                  <w:color w:val="0000EE"/>
                </w:rPr>
                <w:t>US$</w:t>
              </w:r>
              <w:r>
                <w:rPr>
                  <w:rFonts w:ascii="Arial" w:cs="Arial" w:eastAsia="Arial" w:hAnsi="Arial"/>
                  <w:sz w:val="18"/>
                  <w:szCs w:val="18"/>
                  <w:color w:val="0000EE"/>
                </w:rPr>
                <w:t>500,000,000 Syndicated Facility Agreement between the Registrant and the parties thereto dated August 9,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8"/>
                <w:szCs w:val="18"/>
                <w:color w:val="0000EE"/>
                <w:w w:val="89"/>
              </w:rPr>
            </w:pPr>
            <w:hyperlink r:id="rId206">
              <w:r>
                <w:rPr>
                  <w:rFonts w:ascii="Arial" w:cs="Arial" w:eastAsia="Arial" w:hAnsi="Arial"/>
                  <w:sz w:val="18"/>
                  <w:szCs w:val="18"/>
                  <w:color w:val="0000EE"/>
                  <w:w w:val="89"/>
                </w:rPr>
                <w:t xml:space="preserve">Letter of Amendment between the Registrant and the Agent (as defined therein) dated September 21, 2018 relating to the </w:t>
              </w:r>
              <w:r>
                <w:rPr>
                  <w:rFonts w:ascii="Arial" w:cs="Arial" w:eastAsia="Arial" w:hAnsi="Arial"/>
                  <w:sz w:val="18"/>
                  <w:szCs w:val="18"/>
                  <w:u w:val="single" w:color="auto"/>
                  <w:color w:val="0000EE"/>
                  <w:w w:val="89"/>
                </w:rPr>
                <w:t>US$</w:t>
              </w:r>
              <w:r>
                <w:rPr>
                  <w:rFonts w:ascii="Arial" w:cs="Arial" w:eastAsia="Arial" w:hAnsi="Arial"/>
                  <w:sz w:val="18"/>
                  <w:szCs w:val="18"/>
                  <w:color w:val="0000EE"/>
                  <w:w w:val="89"/>
                </w:rPr>
                <w:t>500,000,000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40" w:type="dxa"/>
            <w:vAlign w:val="bottom"/>
            <w:tcBorders>
              <w:top w:val="single" w:sz="8" w:color="0000EE"/>
            </w:tcBorders>
            <w:gridSpan w:val="27"/>
          </w:tcPr>
          <w:p>
            <w:pPr>
              <w:spacing w:after="0" w:line="193" w:lineRule="exact"/>
              <w:rPr>
                <w:rFonts w:ascii="Arial" w:cs="Arial" w:eastAsia="Arial" w:hAnsi="Arial"/>
                <w:sz w:val="18"/>
                <w:szCs w:val="18"/>
                <w:color w:val="0000EE"/>
              </w:rPr>
            </w:pPr>
            <w:hyperlink r:id="rId206">
              <w:r>
                <w:rPr>
                  <w:rFonts w:ascii="Arial" w:cs="Arial" w:eastAsia="Arial" w:hAnsi="Arial"/>
                  <w:sz w:val="18"/>
                  <w:szCs w:val="18"/>
                  <w:color w:val="0000EE"/>
                </w:rPr>
                <w:t>Syndicated Facility Agreement dated August 9, 2018</w:t>
              </w:r>
            </w:hyperlink>
          </w:p>
        </w:tc>
        <w:tc>
          <w:tcPr>
            <w:tcW w:w="8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24"/>
                <w:szCs w:val="24"/>
                <w:color w:val="auto"/>
              </w:rPr>
            </w:pPr>
          </w:p>
        </w:tc>
        <w:tc>
          <w:tcPr>
            <w:tcW w:w="9780" w:type="dxa"/>
            <w:vAlign w:val="bottom"/>
            <w:tcBorders>
              <w:bottom w:val="single" w:sz="8" w:color="0000EE"/>
            </w:tcBorders>
            <w:gridSpan w:val="24"/>
          </w:tcPr>
          <w:p>
            <w:pPr>
              <w:spacing w:after="0"/>
              <w:rPr>
                <w:rFonts w:ascii="Arial" w:cs="Arial" w:eastAsia="Arial" w:hAnsi="Arial"/>
                <w:sz w:val="18"/>
                <w:szCs w:val="18"/>
                <w:color w:val="0000EE"/>
                <w:w w:val="89"/>
              </w:rPr>
            </w:pPr>
            <w:hyperlink r:id="rId207">
              <w:r>
                <w:rPr>
                  <w:rFonts w:ascii="Arial" w:cs="Arial" w:eastAsia="Arial" w:hAnsi="Arial"/>
                  <w:sz w:val="18"/>
                  <w:szCs w:val="18"/>
                  <w:color w:val="0000EE"/>
                  <w:w w:val="89"/>
                </w:rPr>
                <w:t>Supplementary Agreement of Assignment among NetEase (Hangzhou) Network Co., Ltd., Hangzhou NetEase Leihuo Network Co., Ltd.,</w:t>
              </w:r>
            </w:hyperlink>
          </w:p>
        </w:tc>
        <w:tc>
          <w:tcPr>
            <w:tcW w:w="1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40" w:type="dxa"/>
            <w:vAlign w:val="bottom"/>
            <w:tcBorders>
              <w:bottom w:val="single" w:sz="8" w:color="0000EE"/>
            </w:tcBorders>
            <w:gridSpan w:val="8"/>
          </w:tcPr>
          <w:p>
            <w:pPr>
              <w:spacing w:after="0" w:line="193"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Zhipeng Hu, Tianlei Hu and Long Cheng dated April 18, 2019</w:t>
              </w:r>
            </w:hyperlink>
          </w:p>
        </w:tc>
        <w:tc>
          <w:tcPr>
            <w:tcW w:w="5480" w:type="dxa"/>
            <w:vAlign w:val="bottom"/>
            <w:gridSpan w:val="2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4"/>
                <w:szCs w:val="24"/>
                <w:color w:val="auto"/>
              </w:rPr>
            </w:pPr>
          </w:p>
        </w:tc>
        <w:tc>
          <w:tcPr>
            <w:tcW w:w="4160" w:type="dxa"/>
            <w:vAlign w:val="bottom"/>
            <w:tcBorders>
              <w:bottom w:val="single" w:sz="8" w:color="0000EE"/>
            </w:tcBorders>
            <w:gridSpan w:val="7"/>
          </w:tcPr>
          <w:p>
            <w:pPr>
              <w:spacing w:after="0"/>
              <w:rPr>
                <w:rFonts w:ascii="Arial" w:cs="Arial" w:eastAsia="Arial" w:hAnsi="Arial"/>
                <w:sz w:val="18"/>
                <w:szCs w:val="18"/>
                <w:color w:val="0000EE"/>
                <w:w w:val="88"/>
              </w:rPr>
            </w:pPr>
            <w:hyperlink r:id="rId208">
              <w:r>
                <w:rPr>
                  <w:rFonts w:ascii="Arial" w:cs="Arial" w:eastAsia="Arial" w:hAnsi="Arial"/>
                  <w:sz w:val="18"/>
                  <w:szCs w:val="18"/>
                  <w:color w:val="0000EE"/>
                  <w:w w:val="88"/>
                </w:rPr>
                <w:t>Subsidiaries and Variable Interest Entities of NetEase, Inc.</w:t>
              </w:r>
            </w:hyperlink>
          </w:p>
        </w:tc>
        <w:tc>
          <w:tcPr>
            <w:tcW w:w="5760" w:type="dxa"/>
            <w:vAlign w:val="bottom"/>
            <w:gridSpan w:val="2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8"/>
                <w:szCs w:val="18"/>
                <w:color w:val="0000EE"/>
                <w:w w:val="92"/>
              </w:rPr>
            </w:pPr>
            <w:hyperlink r:id="rId209">
              <w:r>
                <w:rPr>
                  <w:rFonts w:ascii="Arial" w:cs="Arial" w:eastAsia="Arial" w:hAnsi="Arial"/>
                  <w:sz w:val="18"/>
                  <w:szCs w:val="18"/>
                  <w:color w:val="0000EE"/>
                  <w:w w:val="92"/>
                </w:rPr>
                <w:t>Code of Business Conduct (incorporated by reference to Exhibit 11.1 to the company’s Annual Report on Form 20-F for the year ended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8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December 31, 2006 filed with the SEC on June 26, 2007)</w:t>
              </w:r>
            </w:hyperlink>
          </w:p>
        </w:tc>
        <w:tc>
          <w:tcPr>
            <w:tcW w:w="5560" w:type="dxa"/>
            <w:vAlign w:val="bottom"/>
            <w:tcBorders>
              <w:top w:val="single" w:sz="8" w:color="0000EE"/>
            </w:tcBorders>
            <w:gridSpan w:val="17"/>
          </w:tcPr>
          <w:p>
            <w:pPr>
              <w:spacing w:after="0"/>
              <w:rPr>
                <w:sz w:val="16"/>
                <w:szCs w:val="16"/>
                <w:color w:val="auto"/>
              </w:rPr>
            </w:pPr>
          </w:p>
        </w:tc>
        <w:tc>
          <w:tcPr>
            <w:tcW w:w="28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8"/>
                <w:szCs w:val="18"/>
                <w:color w:val="0000EE"/>
              </w:rPr>
            </w:pPr>
            <w:hyperlink r:id="rId210">
              <w:r>
                <w:rPr>
                  <w:rFonts w:ascii="Arial" w:cs="Arial" w:eastAsia="Arial" w:hAnsi="Arial"/>
                  <w:sz w:val="18"/>
                  <w:szCs w:val="18"/>
                  <w:color w:val="0000EE"/>
                </w:rPr>
                <w:t>Certification of Chief Executive Officer Required by Rule 13a-14(a)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4"/>
                <w:szCs w:val="24"/>
                <w:color w:val="auto"/>
              </w:rPr>
            </w:pPr>
          </w:p>
        </w:tc>
        <w:tc>
          <w:tcPr>
            <w:tcW w:w="4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Certification of Chief Financial Officer Required by Rule 13a-14(a)</w:t>
              </w:r>
            </w:hyperlink>
          </w:p>
        </w:tc>
        <w:tc>
          <w:tcPr>
            <w:tcW w:w="40" w:type="dxa"/>
            <w:vAlign w:val="bottom"/>
            <w:tcBorders>
              <w:top w:val="single" w:sz="8" w:color="0000EE"/>
            </w:tcBorders>
          </w:tcPr>
          <w:p>
            <w:pPr>
              <w:spacing w:after="0"/>
              <w:rPr>
                <w:sz w:val="24"/>
                <w:szCs w:val="24"/>
                <w:color w:val="auto"/>
              </w:rPr>
            </w:pPr>
          </w:p>
        </w:tc>
        <w:tc>
          <w:tcPr>
            <w:tcW w:w="5060" w:type="dxa"/>
            <w:vAlign w:val="bottom"/>
            <w:gridSpan w:val="1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Certification of Chief Executive Officer Required by Rule 13a-14(b) and Section 1350 of Chapter 63 of Title 18 of the United States Code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4"/>
                <w:szCs w:val="24"/>
                <w:color w:val="auto"/>
              </w:rPr>
            </w:pPr>
          </w:p>
        </w:tc>
        <w:tc>
          <w:tcPr>
            <w:tcW w:w="97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Certification of Chief Financial Officer Required by Rule 13a-14(b) and Section 1350 of Chapter 63 of Title 18 of the United States Code</w:t>
              </w:r>
            </w:hyperlink>
          </w:p>
        </w:tc>
        <w:tc>
          <w:tcPr>
            <w:tcW w:w="40" w:type="dxa"/>
            <w:vAlign w:val="bottom"/>
            <w:tcBorders>
              <w:top w:val="single" w:sz="8" w:color="0000EE"/>
            </w:tcBorders>
            <w:gridSpan w:val="2"/>
          </w:tcPr>
          <w:p>
            <w:pPr>
              <w:spacing w:after="0"/>
              <w:rPr>
                <w:sz w:val="24"/>
                <w:szCs w:val="24"/>
                <w:color w:val="auto"/>
              </w:rPr>
            </w:pPr>
          </w:p>
        </w:tc>
        <w:tc>
          <w:tcPr>
            <w:tcW w:w="1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4"/>
                <w:szCs w:val="24"/>
                <w:color w:val="auto"/>
              </w:rPr>
            </w:pPr>
          </w:p>
        </w:tc>
        <w:tc>
          <w:tcPr>
            <w:tcW w:w="9920" w:type="dxa"/>
            <w:vAlign w:val="bottom"/>
            <w:tcBorders>
              <w:bottom w:val="single" w:sz="8" w:color="0000EE"/>
            </w:tcBorders>
            <w:gridSpan w:val="30"/>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Charter of Audit Committee of the Board of Directors of the Registrant (incorporated by reference to Exhibit 15.1 to the company’s Annual</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gridSpan w:val="30"/>
          </w:tcPr>
          <w:p>
            <w:pPr>
              <w:spacing w:after="0" w:line="193" w:lineRule="exact"/>
              <w:rPr>
                <w:rFonts w:ascii="Arial" w:cs="Arial" w:eastAsia="Arial" w:hAnsi="Arial"/>
                <w:sz w:val="18"/>
                <w:szCs w:val="18"/>
                <w:color w:val="0000EE"/>
              </w:rPr>
            </w:pPr>
            <w:hyperlink r:id="rId214">
              <w:r>
                <w:rPr>
                  <w:rFonts w:ascii="Arial" w:cs="Arial" w:eastAsia="Arial" w:hAnsi="Arial"/>
                  <w:sz w:val="18"/>
                  <w:szCs w:val="18"/>
                  <w:color w:val="0000EE"/>
                </w:rPr>
                <w:t>Report on Form 20-F for the year ended December 31, 2014 filed with the SEC on April 24, 2015)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top w:val="single" w:sz="8" w:color="0000EE"/>
            </w:tcBorders>
            <w:gridSpan w:val="8"/>
          </w:tcPr>
          <w:p>
            <w:pPr>
              <w:ind w:left="4080"/>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69"/>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15.2*</w:t>
            </w:r>
          </w:p>
        </w:tc>
        <w:tc>
          <w:tcPr>
            <w:tcW w:w="340" w:type="dxa"/>
            <w:vAlign w:val="bottom"/>
          </w:tcPr>
          <w:p>
            <w:pPr>
              <w:spacing w:after="0"/>
              <w:rPr>
                <w:sz w:val="14"/>
                <w:szCs w:val="14"/>
                <w:color w:val="auto"/>
              </w:rPr>
            </w:pPr>
          </w:p>
        </w:tc>
        <w:tc>
          <w:tcPr>
            <w:tcW w:w="9920" w:type="dxa"/>
            <w:vAlign w:val="bottom"/>
            <w:tcBorders>
              <w:top w:val="single" w:sz="8" w:color="auto"/>
            </w:tcBorders>
            <w:gridSpan w:val="4"/>
          </w:tcPr>
          <w:p>
            <w:pPr>
              <w:spacing w:after="0" w:line="167" w:lineRule="exact"/>
              <w:rPr>
                <w:rFonts w:ascii="Arial" w:cs="Arial" w:eastAsia="Arial" w:hAnsi="Arial"/>
                <w:sz w:val="18"/>
                <w:szCs w:val="18"/>
                <w:color w:val="0000EE"/>
              </w:rPr>
            </w:pPr>
            <w:hyperlink r:id="rId217">
              <w:r>
                <w:rPr>
                  <w:rFonts w:ascii="Arial" w:cs="Arial" w:eastAsia="Arial" w:hAnsi="Arial"/>
                  <w:sz w:val="18"/>
                  <w:szCs w:val="18"/>
                  <w:color w:val="0000EE"/>
                </w:rPr>
                <w:t>Consent of PricewaterhouseCoopers Zhong Tian LLP, Independent Registered Public Accounting Firm</w:t>
              </w:r>
            </w:hyperlink>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Consent of Maples and Calder (Hong Kong) LLP</w:t>
              </w:r>
            </w:hyperlink>
          </w:p>
        </w:tc>
        <w:tc>
          <w:tcPr>
            <w:tcW w:w="380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60" w:type="dxa"/>
            <w:vAlign w:val="bottom"/>
          </w:tcPr>
          <w:p>
            <w:pPr>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4"/>
                <w:szCs w:val="24"/>
                <w:color w:val="auto"/>
              </w:rPr>
            </w:pPr>
          </w:p>
        </w:tc>
        <w:tc>
          <w:tcPr>
            <w:tcW w:w="2240" w:type="dxa"/>
            <w:vAlign w:val="bottom"/>
            <w:tcBorders>
              <w:bottom w:val="single" w:sz="8" w:color="0000EE"/>
            </w:tcBorders>
          </w:tcPr>
          <w:p>
            <w:pPr>
              <w:spacing w:after="0"/>
              <w:rPr>
                <w:rFonts w:ascii="Arial" w:cs="Arial" w:eastAsia="Arial" w:hAnsi="Arial"/>
                <w:sz w:val="18"/>
                <w:szCs w:val="18"/>
                <w:color w:val="0000EE"/>
                <w:w w:val="89"/>
              </w:rPr>
            </w:pPr>
            <w:hyperlink r:id="rId219">
              <w:r>
                <w:rPr>
                  <w:rFonts w:ascii="Arial" w:cs="Arial" w:eastAsia="Arial" w:hAnsi="Arial"/>
                  <w:sz w:val="18"/>
                  <w:szCs w:val="18"/>
                  <w:color w:val="0000EE"/>
                  <w:w w:val="89"/>
                </w:rPr>
                <w:t>Consent of Jun He Law Offices</w:t>
              </w:r>
            </w:hyperlink>
          </w:p>
        </w:tc>
        <w:tc>
          <w:tcPr>
            <w:tcW w:w="7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26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*Filed with this annual report on Form 20-F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**Furnished with this annual report on Form 20-F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80" w:type="dxa"/>
            <w:vAlign w:val="bottom"/>
          </w:tcPr>
          <w:p>
            <w:pPr>
              <w:ind w:left="58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40" w:type="dxa"/>
            <w:vAlign w:val="bottom"/>
          </w:tcPr>
          <w:p>
            <w:pPr>
              <w:spacing w:after="0"/>
              <w:rPr>
                <w:sz w:val="19"/>
                <w:szCs w:val="19"/>
                <w:color w:val="auto"/>
              </w:rPr>
            </w:pPr>
          </w:p>
        </w:tc>
      </w:tr>
      <w:tr>
        <w:trPr>
          <w:trHeight w:val="195"/>
        </w:trPr>
        <w:tc>
          <w:tcPr>
            <w:tcW w:w="64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40" w:type="dxa"/>
            <w:vAlign w:val="bottom"/>
          </w:tcPr>
          <w:p>
            <w:pPr>
              <w:spacing w:after="0"/>
              <w:rPr>
                <w:sz w:val="16"/>
                <w:szCs w:val="16"/>
                <w:color w:val="auto"/>
              </w:rPr>
            </w:pPr>
          </w:p>
        </w:tc>
      </w:tr>
      <w:tr>
        <w:trPr>
          <w:trHeight w:val="224"/>
        </w:trPr>
        <w:tc>
          <w:tcPr>
            <w:tcW w:w="64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9"/>
                <w:szCs w:val="19"/>
                <w:color w:val="auto"/>
              </w:rPr>
            </w:pPr>
          </w:p>
        </w:tc>
      </w:tr>
      <w:tr>
        <w:trPr>
          <w:trHeight w:val="426"/>
        </w:trPr>
        <w:tc>
          <w:tcPr>
            <w:tcW w:w="6480" w:type="dxa"/>
            <w:vAlign w:val="bottom"/>
          </w:tcPr>
          <w:p>
            <w:pPr>
              <w:ind w:left="5840"/>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April 26, 2019</w:t>
            </w:r>
          </w:p>
        </w:tc>
        <w:tc>
          <w:tcPr>
            <w:tcW w:w="40" w:type="dxa"/>
            <w:vAlign w:val="bottom"/>
          </w:tcPr>
          <w:p>
            <w:pPr>
              <w:spacing w:after="0"/>
              <w:rPr>
                <w:sz w:val="24"/>
                <w:szCs w:val="24"/>
                <w:color w:val="auto"/>
              </w:rPr>
            </w:pPr>
          </w:p>
        </w:tc>
      </w:tr>
      <w:tr>
        <w:trPr>
          <w:trHeight w:val="426"/>
        </w:trPr>
        <w:tc>
          <w:tcPr>
            <w:tcW w:w="6480" w:type="dxa"/>
            <w:vAlign w:val="bottom"/>
          </w:tcPr>
          <w:p>
            <w:pPr>
              <w:jc w:val="right"/>
              <w:ind w:right="551"/>
              <w:spacing w:after="0"/>
              <w:rPr>
                <w:sz w:val="20"/>
                <w:szCs w:val="20"/>
                <w:color w:val="auto"/>
              </w:rPr>
            </w:pPr>
            <w:r>
              <w:rPr>
                <w:rFonts w:ascii="Arial" w:cs="Arial" w:eastAsia="Arial" w:hAnsi="Arial"/>
                <w:sz w:val="18"/>
                <w:szCs w:val="18"/>
                <w:color w:val="auto"/>
              </w:rPr>
              <w:t>124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99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54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45"/>
        </w:trPr>
        <w:tc>
          <w:tcPr>
            <w:tcW w:w="9920" w:type="dxa"/>
            <w:vAlign w:val="bottom"/>
            <w:gridSpan w:val="9"/>
          </w:tcPr>
          <w:p>
            <w:pPr>
              <w:spacing w:after="0"/>
              <w:rPr>
                <w:sz w:val="20"/>
                <w:szCs w:val="20"/>
                <w:color w:val="auto"/>
              </w:rPr>
            </w:pPr>
            <w:r>
              <w:rPr>
                <w:rFonts w:ascii="Arial" w:cs="Arial" w:eastAsia="Arial" w:hAnsi="Arial"/>
                <w:sz w:val="18"/>
                <w:szCs w:val="18"/>
                <w:b w:val="1"/>
                <w:bCs w:val="1"/>
                <w:color w:val="auto"/>
              </w:rPr>
              <w:t>NETEASE, INC.</w:t>
            </w:r>
          </w:p>
        </w:tc>
        <w:tc>
          <w:tcPr>
            <w:tcW w:w="1540" w:type="dxa"/>
            <w:vAlign w:val="bottom"/>
          </w:tcPr>
          <w:p>
            <w:pPr>
              <w:spacing w:after="0"/>
              <w:rPr>
                <w:sz w:val="24"/>
                <w:szCs w:val="24"/>
                <w:color w:val="auto"/>
              </w:rPr>
            </w:pPr>
          </w:p>
        </w:tc>
      </w:tr>
      <w:tr>
        <w:trPr>
          <w:trHeight w:val="388"/>
        </w:trPr>
        <w:tc>
          <w:tcPr>
            <w:tcW w:w="46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Management’s report on internal control over financial reporting</w:t>
              </w:r>
            </w:hyperlink>
          </w:p>
        </w:tc>
        <w:tc>
          <w:tcPr>
            <w:tcW w:w="5320" w:type="dxa"/>
            <w:vAlign w:val="bottom"/>
            <w:gridSpan w:val="4"/>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F-1</w:t>
            </w:r>
          </w:p>
        </w:tc>
      </w:tr>
      <w:tr>
        <w:trPr>
          <w:trHeight w:val="406"/>
        </w:trPr>
        <w:tc>
          <w:tcPr>
            <w:tcW w:w="40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Report of independent registered public accounting firm</w:t>
              </w:r>
            </w:hyperlink>
          </w:p>
        </w:tc>
        <w:tc>
          <w:tcPr>
            <w:tcW w:w="5920" w:type="dxa"/>
            <w:vAlign w:val="bottom"/>
            <w:gridSpan w:val="6"/>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F-2</w:t>
            </w:r>
          </w:p>
        </w:tc>
      </w:tr>
      <w:tr>
        <w:trPr>
          <w:trHeight w:val="406"/>
        </w:trPr>
        <w:tc>
          <w:tcPr>
            <w:tcW w:w="43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Consolidated balance sheets at December 31, 2017 and 2018</w:t>
              </w:r>
            </w:hyperlink>
          </w:p>
        </w:tc>
        <w:tc>
          <w:tcPr>
            <w:tcW w:w="5600" w:type="dxa"/>
            <w:vAlign w:val="bottom"/>
            <w:gridSpan w:val="5"/>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F-3</w:t>
            </w:r>
          </w:p>
        </w:tc>
      </w:tr>
      <w:tr>
        <w:trPr>
          <w:trHeight w:val="406"/>
        </w:trPr>
        <w:tc>
          <w:tcPr>
            <w:tcW w:w="9920" w:type="dxa"/>
            <w:vAlign w:val="bottom"/>
            <w:gridSpan w:val="9"/>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operations and comprehensive income for the years ended December 31, 2016, 2017 and 2018</w:t>
              </w:r>
            </w:hyperlink>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F-4</w:t>
            </w:r>
          </w:p>
        </w:tc>
      </w:tr>
      <w:tr>
        <w:trPr>
          <w:trHeight w:val="406"/>
        </w:trPr>
        <w:tc>
          <w:tcPr>
            <w:tcW w:w="8680" w:type="dxa"/>
            <w:vAlign w:val="bottom"/>
            <w:tcBorders>
              <w:top w:val="single" w:sz="8" w:color="0000EE"/>
            </w:tcBorders>
            <w:gridSpan w:val="8"/>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shareholders’ equity for the years ended December 31, 2016, 2017 and 2018</w:t>
              </w:r>
            </w:hyperlink>
          </w:p>
        </w:tc>
        <w:tc>
          <w:tcPr>
            <w:tcW w:w="1240" w:type="dxa"/>
            <w:vAlign w:val="bottom"/>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F-5</w:t>
            </w:r>
          </w:p>
        </w:tc>
      </w:tr>
      <w:tr>
        <w:trPr>
          <w:trHeight w:val="406"/>
        </w:trPr>
        <w:tc>
          <w:tcPr>
            <w:tcW w:w="6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35">
              <w:r>
                <w:rPr>
                  <w:rFonts w:ascii="Arial" w:cs="Arial" w:eastAsia="Arial" w:hAnsi="Arial"/>
                  <w:sz w:val="18"/>
                  <w:szCs w:val="18"/>
                  <w:color w:val="0000EE"/>
                  <w:w w:val="88"/>
                </w:rPr>
                <w:t>Consolidated statements of cash flows for the years ended December 31, 2016, 2017 and 2018</w:t>
              </w:r>
            </w:hyperlink>
          </w:p>
        </w:tc>
        <w:tc>
          <w:tcPr>
            <w:tcW w:w="680" w:type="dxa"/>
            <w:vAlign w:val="bottom"/>
            <w:tcBorders>
              <w:top w:val="single" w:sz="8" w:color="0000EE"/>
            </w:tcBorders>
          </w:tcPr>
          <w:p>
            <w:pPr>
              <w:spacing w:after="0"/>
              <w:rPr>
                <w:sz w:val="24"/>
                <w:szCs w:val="24"/>
                <w:color w:val="auto"/>
              </w:rPr>
            </w:pPr>
          </w:p>
        </w:tc>
        <w:tc>
          <w:tcPr>
            <w:tcW w:w="2520" w:type="dxa"/>
            <w:vAlign w:val="bottom"/>
            <w:gridSpan w:val="2"/>
          </w:tcPr>
          <w:p>
            <w:pPr>
              <w:spacing w:after="0"/>
              <w:rPr>
                <w:sz w:val="24"/>
                <w:szCs w:val="24"/>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F-6</w:t>
            </w:r>
          </w:p>
        </w:tc>
      </w:tr>
      <w:tr>
        <w:trPr>
          <w:trHeight w:val="406"/>
        </w:trPr>
        <w:tc>
          <w:tcPr>
            <w:tcW w:w="9920" w:type="dxa"/>
            <w:vAlign w:val="bottom"/>
            <w:gridSpan w:val="9"/>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Notes to the consolidated financial statements</w:t>
              </w:r>
            </w:hyperlink>
          </w:p>
        </w:tc>
        <w:tc>
          <w:tcPr>
            <w:tcW w:w="1540" w:type="dxa"/>
            <w:vAlign w:val="bottom"/>
          </w:tcPr>
          <w:p>
            <w:pPr>
              <w:ind w:left="1260"/>
              <w:spacing w:after="0"/>
              <w:rPr>
                <w:sz w:val="20"/>
                <w:szCs w:val="20"/>
                <w:color w:val="auto"/>
              </w:rPr>
            </w:pPr>
            <w:r>
              <w:rPr>
                <w:rFonts w:ascii="Arial" w:cs="Arial" w:eastAsia="Arial" w:hAnsi="Arial"/>
                <w:sz w:val="18"/>
                <w:szCs w:val="18"/>
                <w:color w:val="auto"/>
                <w:w w:val="96"/>
              </w:rPr>
              <w:t>F-7</w:t>
            </w:r>
          </w:p>
        </w:tc>
      </w:tr>
      <w:tr>
        <w:trPr>
          <w:trHeight w:val="363"/>
        </w:trPr>
        <w:tc>
          <w:tcPr>
            <w:tcW w:w="1260" w:type="dxa"/>
            <w:vAlign w:val="bottom"/>
            <w:tcBorders>
              <w:top w:val="single" w:sz="8" w:color="0000EE"/>
              <w:bottom w:val="single" w:sz="8" w:color="808080"/>
            </w:tcBorders>
          </w:tcPr>
          <w:p>
            <w:pPr>
              <w:spacing w:after="0"/>
              <w:rPr>
                <w:sz w:val="24"/>
                <w:szCs w:val="24"/>
                <w:color w:val="auto"/>
              </w:rPr>
            </w:pPr>
          </w:p>
        </w:tc>
        <w:tc>
          <w:tcPr>
            <w:tcW w:w="2000" w:type="dxa"/>
            <w:vAlign w:val="bottom"/>
            <w:tcBorders>
              <w:top w:val="single" w:sz="8" w:color="0000EE"/>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6" w:right="1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2018. In making this assessment, the Company’s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 (2013)</w:t>
      </w:r>
      <w:r>
        <w:rPr>
          <w:rFonts w:ascii="Arial" w:cs="Arial" w:eastAsia="Arial" w:hAnsi="Arial"/>
          <w:sz w:val="17"/>
          <w:szCs w:val="17"/>
          <w:color w:val="auto"/>
        </w:rPr>
        <w:t>. Based on its assessment, management concluded that, as of the end of the Company’s most recent fiscal year, December 31,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internal control over financial reporting is effective based on those criteria.</w:t>
      </w:r>
    </w:p>
    <w:p>
      <w:pPr>
        <w:spacing w:after="0" w:line="179"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color w:val="auto"/>
        </w:rPr>
        <w:t>PricewaterhouseCoopers Zhong Tian LLP, the Company’s independent registered public accounting firm, has audited the effectiveness of the Company’s internal control over financial reporting as of December 31, 2018, as stated in their report, which is included herein.</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NetEase,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1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We have audited the accompanying consolidated balance sheets of NetEase, Inc. and its subsidiaries (the “Company”) as of December 31, 2018 and 2017, and the related consolidated statements of operations and comprehensive income, of shareholders’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 based on criteria established in Internal Control - Integrated Framework (2013) issued by the Committee of Sponsoring Organizations of the Treadway Commission (COSO).</w:t>
      </w:r>
    </w:p>
    <w:p>
      <w:pPr>
        <w:spacing w:after="0" w:line="17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the COSO.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1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73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7"/>
        </w:trPr>
        <w:tc>
          <w:tcPr>
            <w:tcW w:w="734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US$</w:t>
            </w:r>
          </w:p>
        </w:tc>
        <w:tc>
          <w:tcPr>
            <w:tcW w:w="100" w:type="dxa"/>
            <w:vAlign w:val="bottom"/>
            <w:gridSpan w:val="2"/>
          </w:tcPr>
          <w:p>
            <w:pPr>
              <w:spacing w:after="0"/>
              <w:rPr>
                <w:sz w:val="10"/>
                <w:szCs w:val="10"/>
                <w:color w:val="auto"/>
              </w:rPr>
            </w:pPr>
          </w:p>
        </w:tc>
      </w:tr>
      <w:tr>
        <w:trPr>
          <w:trHeight w:val="169"/>
        </w:trPr>
        <w:tc>
          <w:tcPr>
            <w:tcW w:w="7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Note 2(n)</w:t>
            </w: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Assets</w:t>
            </w: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Current assets: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Cash and cash equivalents</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2,764,140</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5,389,198</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783,827</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ind w:left="180"/>
              <w:spacing w:after="0" w:line="147" w:lineRule="exact"/>
              <w:rPr>
                <w:sz w:val="20"/>
                <w:szCs w:val="20"/>
                <w:color w:val="auto"/>
              </w:rPr>
            </w:pPr>
            <w:r>
              <w:rPr>
                <w:rFonts w:ascii="Arial" w:cs="Arial" w:eastAsia="Arial" w:hAnsi="Arial"/>
                <w:sz w:val="14"/>
                <w:szCs w:val="14"/>
                <w:color w:val="auto"/>
              </w:rPr>
              <w:t>Time deposits</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30,603,369</w:t>
            </w:r>
          </w:p>
        </w:tc>
        <w:tc>
          <w:tcPr>
            <w:tcW w:w="30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32,900,287</w:t>
            </w: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4,785,148</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Restricted cash</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5,926,906</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4,817,340</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700,653</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ind w:left="180"/>
              <w:spacing w:after="0" w:line="147" w:lineRule="exact"/>
              <w:rPr>
                <w:sz w:val="20"/>
                <w:szCs w:val="20"/>
                <w:color w:val="auto"/>
              </w:rPr>
            </w:pPr>
            <w:r>
              <w:rPr>
                <w:rFonts w:ascii="Arial" w:cs="Arial" w:eastAsia="Arial" w:hAnsi="Arial"/>
                <w:sz w:val="14"/>
                <w:szCs w:val="14"/>
                <w:color w:val="auto"/>
              </w:rPr>
              <w:t>Accounts receivable, net</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3,619,725</w:t>
            </w:r>
          </w:p>
        </w:tc>
        <w:tc>
          <w:tcPr>
            <w:tcW w:w="30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4,288,500</w:t>
            </w: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623,736</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Inventories, net</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5,474,929</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5,017,823</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729,812</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ind w:left="180"/>
              <w:spacing w:after="0" w:line="147" w:lineRule="exact"/>
              <w:rPr>
                <w:sz w:val="20"/>
                <w:szCs w:val="20"/>
                <w:color w:val="auto"/>
              </w:rPr>
            </w:pPr>
            <w:r>
              <w:rPr>
                <w:rFonts w:ascii="Arial" w:cs="Arial" w:eastAsia="Arial" w:hAnsi="Arial"/>
                <w:sz w:val="14"/>
                <w:szCs w:val="14"/>
                <w:color w:val="auto"/>
              </w:rPr>
              <w:t>Prepayments and other current assets</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3,816,028</w:t>
            </w:r>
          </w:p>
        </w:tc>
        <w:tc>
          <w:tcPr>
            <w:tcW w:w="30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4,627,797</w:t>
            </w: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673,085</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Short-term investments</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9,742,663</w:t>
            </w:r>
          </w:p>
        </w:tc>
        <w:tc>
          <w:tcPr>
            <w:tcW w:w="3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11,674,775</w:t>
            </w: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1,698,026</w:t>
            </w:r>
          </w:p>
        </w:tc>
        <w:tc>
          <w:tcPr>
            <w:tcW w:w="80" w:type="dxa"/>
            <w:vAlign w:val="bottom"/>
            <w:shd w:val="clear" w:color="auto" w:fill="CCEEFF"/>
          </w:tcPr>
          <w:p>
            <w:pPr>
              <w:spacing w:after="0"/>
              <w:rPr>
                <w:sz w:val="12"/>
                <w:szCs w:val="12"/>
                <w:color w:val="auto"/>
              </w:rPr>
            </w:pPr>
          </w:p>
        </w:tc>
      </w:tr>
      <w:tr>
        <w:trPr>
          <w:trHeight w:val="140"/>
        </w:trPr>
        <w:tc>
          <w:tcPr>
            <w:tcW w:w="7340" w:type="dxa"/>
            <w:vAlign w:val="bottom"/>
            <w:tcBorders>
              <w:bottom w:val="single" w:sz="8" w:color="CCEEFF"/>
            </w:tcBorders>
          </w:tcPr>
          <w:p>
            <w:pPr>
              <w:ind w:left="360"/>
              <w:spacing w:after="0" w:line="140" w:lineRule="exact"/>
              <w:rPr>
                <w:sz w:val="20"/>
                <w:szCs w:val="20"/>
                <w:color w:val="auto"/>
              </w:rPr>
            </w:pPr>
            <w:r>
              <w:rPr>
                <w:rFonts w:ascii="Arial" w:cs="Arial" w:eastAsia="Arial" w:hAnsi="Arial"/>
                <w:sz w:val="14"/>
                <w:szCs w:val="14"/>
                <w:color w:val="auto"/>
              </w:rPr>
              <w:t>Total current assets</w:t>
            </w: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61,947,760</w:t>
            </w:r>
          </w:p>
        </w:tc>
        <w:tc>
          <w:tcPr>
            <w:tcW w:w="3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68,715,720</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9,994,287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0"/>
        </w:trPr>
        <w:tc>
          <w:tcPr>
            <w:tcW w:w="7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Non-current assets: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Property, equipment and software, net</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3,769,326</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5,378,560</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782,280</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ind w:left="180"/>
              <w:spacing w:after="0" w:line="147" w:lineRule="exact"/>
              <w:rPr>
                <w:sz w:val="20"/>
                <w:szCs w:val="20"/>
                <w:color w:val="auto"/>
              </w:rPr>
            </w:pPr>
            <w:r>
              <w:rPr>
                <w:rFonts w:ascii="Arial" w:cs="Arial" w:eastAsia="Arial" w:hAnsi="Arial"/>
                <w:sz w:val="14"/>
                <w:szCs w:val="14"/>
                <w:color w:val="auto"/>
              </w:rPr>
              <w:t>Land use rights, net</w:t>
            </w:r>
          </w:p>
        </w:tc>
        <w:tc>
          <w:tcPr>
            <w:tcW w:w="144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593,279</w:t>
            </w: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3,502,569</w:t>
            </w: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509,428</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Deferred tax assets</w:t>
            </w:r>
          </w:p>
        </w:tc>
        <w:tc>
          <w:tcPr>
            <w:tcW w:w="14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823,495</w:t>
            </w: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1,064,295</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154,795</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ind w:left="180"/>
              <w:spacing w:after="0" w:line="147" w:lineRule="exact"/>
              <w:rPr>
                <w:sz w:val="20"/>
                <w:szCs w:val="20"/>
                <w:color w:val="auto"/>
              </w:rPr>
            </w:pPr>
            <w:r>
              <w:rPr>
                <w:rFonts w:ascii="Arial" w:cs="Arial" w:eastAsia="Arial" w:hAnsi="Arial"/>
                <w:sz w:val="14"/>
                <w:szCs w:val="14"/>
                <w:color w:val="auto"/>
              </w:rPr>
              <w:t>Time deposits</w:t>
            </w:r>
          </w:p>
        </w:tc>
        <w:tc>
          <w:tcPr>
            <w:tcW w:w="144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100,000</w:t>
            </w:r>
          </w:p>
        </w:tc>
        <w:tc>
          <w:tcPr>
            <w:tcW w:w="140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100,000</w:t>
            </w: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14,544</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Restricted cash</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7"/>
        </w:trPr>
        <w:tc>
          <w:tcPr>
            <w:tcW w:w="7340" w:type="dxa"/>
            <w:vAlign w:val="bottom"/>
          </w:tcPr>
          <w:p>
            <w:pPr>
              <w:ind w:left="180"/>
              <w:spacing w:after="0" w:line="147" w:lineRule="exact"/>
              <w:rPr>
                <w:sz w:val="20"/>
                <w:szCs w:val="20"/>
                <w:color w:val="auto"/>
              </w:rPr>
            </w:pPr>
            <w:r>
              <w:rPr>
                <w:rFonts w:ascii="Arial" w:cs="Arial" w:eastAsia="Arial" w:hAnsi="Arial"/>
                <w:sz w:val="14"/>
                <w:szCs w:val="14"/>
                <w:color w:val="auto"/>
              </w:rPr>
              <w:t>Long-term investments</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2,684,776</w:t>
            </w:r>
          </w:p>
        </w:tc>
        <w:tc>
          <w:tcPr>
            <w:tcW w:w="30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5,246,108</w:t>
            </w:r>
          </w:p>
        </w:tc>
        <w:tc>
          <w:tcPr>
            <w:tcW w:w="280" w:type="dxa"/>
            <w:vAlign w:val="bottom"/>
          </w:tcPr>
          <w:p>
            <w:pPr>
              <w:spacing w:after="0"/>
              <w:rPr>
                <w:sz w:val="12"/>
                <w:szCs w:val="12"/>
                <w:color w:val="auto"/>
              </w:rPr>
            </w:pP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763,015</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Other long-term assets</w:t>
            </w:r>
          </w:p>
        </w:tc>
        <w:tc>
          <w:tcPr>
            <w:tcW w:w="14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1,112,579</w:t>
            </w: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2,960,676</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430,612</w:t>
            </w:r>
          </w:p>
        </w:tc>
        <w:tc>
          <w:tcPr>
            <w:tcW w:w="80" w:type="dxa"/>
            <w:vAlign w:val="bottom"/>
            <w:shd w:val="clear" w:color="auto" w:fill="CCEEFF"/>
          </w:tcPr>
          <w:p>
            <w:pPr>
              <w:spacing w:after="0"/>
              <w:rPr>
                <w:sz w:val="12"/>
                <w:szCs w:val="12"/>
                <w:color w:val="auto"/>
              </w:rPr>
            </w:pPr>
          </w:p>
        </w:tc>
      </w:tr>
      <w:tr>
        <w:trPr>
          <w:trHeight w:val="140"/>
        </w:trPr>
        <w:tc>
          <w:tcPr>
            <w:tcW w:w="7340" w:type="dxa"/>
            <w:vAlign w:val="bottom"/>
            <w:tcBorders>
              <w:bottom w:val="single" w:sz="8" w:color="CCEEFF"/>
            </w:tcBorders>
          </w:tcPr>
          <w:p>
            <w:pPr>
              <w:ind w:left="360"/>
              <w:spacing w:after="0" w:line="140" w:lineRule="exact"/>
              <w:rPr>
                <w:sz w:val="20"/>
                <w:szCs w:val="20"/>
                <w:color w:val="auto"/>
              </w:rPr>
            </w:pPr>
            <w:r>
              <w:rPr>
                <w:rFonts w:ascii="Arial" w:cs="Arial" w:eastAsia="Arial" w:hAnsi="Arial"/>
                <w:sz w:val="14"/>
                <w:szCs w:val="14"/>
                <w:color w:val="auto"/>
              </w:rPr>
              <w:t>Total non-current assets</w:t>
            </w: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9,083,655</w:t>
            </w:r>
          </w:p>
        </w:tc>
        <w:tc>
          <w:tcPr>
            <w:tcW w:w="3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18,252,208</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2,654,674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0"/>
        </w:trPr>
        <w:tc>
          <w:tcPr>
            <w:tcW w:w="7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7"/>
        </w:trPr>
        <w:tc>
          <w:tcPr>
            <w:tcW w:w="7340" w:type="dxa"/>
            <w:vAlign w:val="bottom"/>
          </w:tcPr>
          <w:p>
            <w:pPr>
              <w:spacing w:after="0" w:line="147" w:lineRule="exact"/>
              <w:rPr>
                <w:sz w:val="20"/>
                <w:szCs w:val="20"/>
                <w:color w:val="auto"/>
              </w:rPr>
            </w:pPr>
            <w:r>
              <w:rPr>
                <w:rFonts w:ascii="Arial" w:cs="Arial" w:eastAsia="Arial" w:hAnsi="Arial"/>
                <w:sz w:val="14"/>
                <w:szCs w:val="14"/>
                <w:color w:val="auto"/>
              </w:rPr>
              <w:t>Total assets</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71,031,415</w:t>
            </w:r>
          </w:p>
        </w:tc>
        <w:tc>
          <w:tcPr>
            <w:tcW w:w="300" w:type="dxa"/>
            <w:vAlign w:val="bottom"/>
          </w:tcPr>
          <w:p>
            <w:pPr>
              <w:spacing w:after="0"/>
              <w:rPr>
                <w:sz w:val="16"/>
                <w:szCs w:val="16"/>
                <w:color w:val="auto"/>
              </w:rPr>
            </w:pP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86,967,928</w:t>
            </w:r>
          </w:p>
        </w:tc>
        <w:tc>
          <w:tcPr>
            <w:tcW w:w="280" w:type="dxa"/>
            <w:vAlign w:val="bottom"/>
          </w:tcPr>
          <w:p>
            <w:pPr>
              <w:spacing w:after="0"/>
              <w:rPr>
                <w:sz w:val="16"/>
                <w:szCs w:val="16"/>
                <w:color w:val="auto"/>
              </w:rPr>
            </w:pP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12,648,961</w:t>
            </w:r>
          </w:p>
        </w:tc>
        <w:tc>
          <w:tcPr>
            <w:tcW w:w="80" w:type="dxa"/>
            <w:vAlign w:val="bottom"/>
          </w:tcPr>
          <w:p>
            <w:pPr>
              <w:spacing w:after="0"/>
              <w:rPr>
                <w:sz w:val="16"/>
                <w:szCs w:val="16"/>
                <w:color w:val="auto"/>
              </w:rPr>
            </w:pPr>
          </w:p>
        </w:tc>
      </w:tr>
      <w:tr>
        <w:trPr>
          <w:trHeight w:val="126"/>
        </w:trPr>
        <w:tc>
          <w:tcPr>
            <w:tcW w:w="73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b w:val="1"/>
                <w:bCs w:val="1"/>
                <w:color w:val="auto"/>
              </w:rPr>
              <w:t>Liabilities, Redeemable noncontrolling interests and Shareholders’ Equity</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Current liabilities:</w:t>
            </w: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28"/>
        </w:trPr>
        <w:tc>
          <w:tcPr>
            <w:tcW w:w="7340" w:type="dxa"/>
            <w:vAlign w:val="bottom"/>
          </w:tcPr>
          <w:p>
            <w:pPr>
              <w:ind w:left="180"/>
              <w:spacing w:after="0" w:line="128" w:lineRule="exact"/>
              <w:rPr>
                <w:sz w:val="20"/>
                <w:szCs w:val="20"/>
                <w:color w:val="auto"/>
              </w:rPr>
            </w:pPr>
            <w:r>
              <w:rPr>
                <w:rFonts w:ascii="Arial" w:cs="Arial" w:eastAsia="Arial" w:hAnsi="Arial"/>
                <w:sz w:val="14"/>
                <w:szCs w:val="14"/>
                <w:color w:val="auto"/>
                <w:w w:val="96"/>
              </w:rPr>
              <w:t>Accounts payable (including accounts payable of the consolidated VIEs without recourse to the primary beneficiaries of</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5"/>
        </w:trPr>
        <w:tc>
          <w:tcPr>
            <w:tcW w:w="7340" w:type="dxa"/>
            <w:vAlign w:val="bottom"/>
          </w:tcPr>
          <w:p>
            <w:pPr>
              <w:ind w:left="360"/>
              <w:spacing w:after="0"/>
              <w:rPr>
                <w:sz w:val="20"/>
                <w:szCs w:val="20"/>
                <w:color w:val="auto"/>
              </w:rPr>
            </w:pPr>
            <w:r>
              <w:rPr>
                <w:rFonts w:ascii="Arial" w:cs="Arial" w:eastAsia="Arial" w:hAnsi="Arial"/>
                <w:sz w:val="14"/>
                <w:szCs w:val="14"/>
                <w:color w:val="auto"/>
              </w:rPr>
              <w:t>RMB941,358 and RMB1,022,340 as of December 31, 2017 and 2018, respectively)</w:t>
            </w:r>
          </w:p>
        </w:tc>
        <w:tc>
          <w:tcPr>
            <w:tcW w:w="1140" w:type="dxa"/>
            <w:vAlign w:val="bottom"/>
          </w:tcPr>
          <w:p>
            <w:pPr>
              <w:jc w:val="right"/>
              <w:spacing w:after="0"/>
              <w:rPr>
                <w:sz w:val="20"/>
                <w:szCs w:val="20"/>
                <w:color w:val="auto"/>
              </w:rPr>
            </w:pPr>
            <w:r>
              <w:rPr>
                <w:rFonts w:ascii="Arial" w:cs="Arial" w:eastAsia="Arial" w:hAnsi="Arial"/>
                <w:sz w:val="14"/>
                <w:szCs w:val="14"/>
                <w:color w:val="auto"/>
              </w:rPr>
              <w:t>2,442,531</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2,384,818</w:t>
            </w:r>
          </w:p>
        </w:tc>
        <w:tc>
          <w:tcPr>
            <w:tcW w:w="2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346,857</w:t>
            </w:r>
          </w:p>
        </w:tc>
        <w:tc>
          <w:tcPr>
            <w:tcW w:w="80" w:type="dxa"/>
            <w:vAlign w:val="bottom"/>
          </w:tcPr>
          <w:p>
            <w:pPr>
              <w:spacing w:after="0"/>
              <w:rPr>
                <w:sz w:val="14"/>
                <w:szCs w:val="14"/>
                <w:color w:val="auto"/>
              </w:rPr>
            </w:pPr>
          </w:p>
        </w:tc>
      </w:tr>
      <w:tr>
        <w:trPr>
          <w:trHeight w:val="128"/>
        </w:trPr>
        <w:tc>
          <w:tcPr>
            <w:tcW w:w="734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w w:val="99"/>
              </w:rPr>
              <w:t>Salary and welfare payables (including salary and welfare payables of the consolidated VIEs without recourse to the</w:t>
            </w: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5"/>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primary beneficiaries of RMB106,265 and RMB109,917 as of December 31, 2017 and 2018, respectively)</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2,189,110</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2,991,897</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435,153</w:t>
            </w:r>
          </w:p>
        </w:tc>
        <w:tc>
          <w:tcPr>
            <w:tcW w:w="80" w:type="dxa"/>
            <w:vAlign w:val="bottom"/>
            <w:shd w:val="clear" w:color="auto" w:fill="CCEEFF"/>
          </w:tcPr>
          <w:p>
            <w:pPr>
              <w:spacing w:after="0"/>
              <w:rPr>
                <w:sz w:val="14"/>
                <w:szCs w:val="14"/>
                <w:color w:val="auto"/>
              </w:rPr>
            </w:pPr>
          </w:p>
        </w:tc>
      </w:tr>
      <w:tr>
        <w:trPr>
          <w:trHeight w:val="128"/>
        </w:trPr>
        <w:tc>
          <w:tcPr>
            <w:tcW w:w="7340" w:type="dxa"/>
            <w:vAlign w:val="bottom"/>
          </w:tcPr>
          <w:p>
            <w:pPr>
              <w:ind w:left="180"/>
              <w:spacing w:after="0" w:line="128" w:lineRule="exact"/>
              <w:rPr>
                <w:sz w:val="20"/>
                <w:szCs w:val="20"/>
                <w:color w:val="auto"/>
              </w:rPr>
            </w:pPr>
            <w:r>
              <w:rPr>
                <w:rFonts w:ascii="Arial" w:cs="Arial" w:eastAsia="Arial" w:hAnsi="Arial"/>
                <w:sz w:val="14"/>
                <w:szCs w:val="14"/>
                <w:color w:val="auto"/>
              </w:rPr>
              <w:t>Taxes payable (including taxes payable of the consolidated VIEs without recourse to the primary beneficiaries of</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5"/>
        </w:trPr>
        <w:tc>
          <w:tcPr>
            <w:tcW w:w="7340" w:type="dxa"/>
            <w:vAlign w:val="bottom"/>
          </w:tcPr>
          <w:p>
            <w:pPr>
              <w:ind w:left="360"/>
              <w:spacing w:after="0"/>
              <w:rPr>
                <w:sz w:val="20"/>
                <w:szCs w:val="20"/>
                <w:color w:val="auto"/>
              </w:rPr>
            </w:pPr>
            <w:r>
              <w:rPr>
                <w:rFonts w:ascii="Arial" w:cs="Arial" w:eastAsia="Arial" w:hAnsi="Arial"/>
                <w:sz w:val="14"/>
                <w:szCs w:val="14"/>
                <w:color w:val="auto"/>
              </w:rPr>
              <w:t>RMB22,058 and RMB84,118 as of December 31, 2017 and 2018, respectively)</w:t>
            </w:r>
          </w:p>
        </w:tc>
        <w:tc>
          <w:tcPr>
            <w:tcW w:w="1140" w:type="dxa"/>
            <w:vAlign w:val="bottom"/>
          </w:tcPr>
          <w:p>
            <w:pPr>
              <w:jc w:val="right"/>
              <w:spacing w:after="0"/>
              <w:rPr>
                <w:sz w:val="20"/>
                <w:szCs w:val="20"/>
                <w:color w:val="auto"/>
              </w:rPr>
            </w:pPr>
            <w:r>
              <w:rPr>
                <w:rFonts w:ascii="Arial" w:cs="Arial" w:eastAsia="Arial" w:hAnsi="Arial"/>
                <w:sz w:val="14"/>
                <w:szCs w:val="14"/>
                <w:color w:val="auto"/>
              </w:rPr>
              <w:t>1,564,692</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2,272,023</w:t>
            </w:r>
          </w:p>
        </w:tc>
        <w:tc>
          <w:tcPr>
            <w:tcW w:w="2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330,452</w:t>
            </w:r>
          </w:p>
        </w:tc>
        <w:tc>
          <w:tcPr>
            <w:tcW w:w="80" w:type="dxa"/>
            <w:vAlign w:val="bottom"/>
          </w:tcPr>
          <w:p>
            <w:pPr>
              <w:spacing w:after="0"/>
              <w:rPr>
                <w:sz w:val="14"/>
                <w:szCs w:val="14"/>
                <w:color w:val="auto"/>
              </w:rPr>
            </w:pPr>
          </w:p>
        </w:tc>
      </w:tr>
      <w:tr>
        <w:trPr>
          <w:trHeight w:val="128"/>
        </w:trPr>
        <w:tc>
          <w:tcPr>
            <w:tcW w:w="734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w w:val="98"/>
              </w:rPr>
              <w:t>Short-term loans (including short-term loans of the consolidated VIEs without recourse to the primary beneficiaries of</w:t>
            </w: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5"/>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nil and RMB129,900 as of December 31, 2017 and 2018, respectively)</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6,623,502</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13,658,554</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1,986,554</w:t>
            </w:r>
          </w:p>
        </w:tc>
        <w:tc>
          <w:tcPr>
            <w:tcW w:w="80" w:type="dxa"/>
            <w:vAlign w:val="bottom"/>
            <w:shd w:val="clear" w:color="auto" w:fill="CCEEFF"/>
          </w:tcPr>
          <w:p>
            <w:pPr>
              <w:spacing w:after="0"/>
              <w:rPr>
                <w:sz w:val="14"/>
                <w:szCs w:val="14"/>
                <w:color w:val="auto"/>
              </w:rPr>
            </w:pPr>
          </w:p>
        </w:tc>
      </w:tr>
      <w:tr>
        <w:trPr>
          <w:trHeight w:val="128"/>
        </w:trPr>
        <w:tc>
          <w:tcPr>
            <w:tcW w:w="7340" w:type="dxa"/>
            <w:vAlign w:val="bottom"/>
          </w:tcPr>
          <w:p>
            <w:pPr>
              <w:ind w:left="180"/>
              <w:spacing w:after="0" w:line="128" w:lineRule="exact"/>
              <w:rPr>
                <w:sz w:val="20"/>
                <w:szCs w:val="20"/>
                <w:color w:val="auto"/>
              </w:rPr>
            </w:pPr>
            <w:r>
              <w:rPr>
                <w:rFonts w:ascii="Arial" w:cs="Arial" w:eastAsia="Arial" w:hAnsi="Arial"/>
                <w:sz w:val="14"/>
                <w:szCs w:val="14"/>
                <w:color w:val="auto"/>
                <w:w w:val="97"/>
              </w:rPr>
              <w:t>Deferred revenue (including deferred revenue of the consolidated VIEs without recourse to the primary beneficiaries of</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5"/>
        </w:trPr>
        <w:tc>
          <w:tcPr>
            <w:tcW w:w="7340" w:type="dxa"/>
            <w:vAlign w:val="bottom"/>
          </w:tcPr>
          <w:p>
            <w:pPr>
              <w:ind w:left="360"/>
              <w:spacing w:after="0"/>
              <w:rPr>
                <w:sz w:val="20"/>
                <w:szCs w:val="20"/>
                <w:color w:val="auto"/>
              </w:rPr>
            </w:pPr>
            <w:r>
              <w:rPr>
                <w:rFonts w:ascii="Arial" w:cs="Arial" w:eastAsia="Arial" w:hAnsi="Arial"/>
                <w:sz w:val="14"/>
                <w:szCs w:val="14"/>
                <w:color w:val="auto"/>
              </w:rPr>
              <w:t>RMB5,853,904 and RMB6,672,715 as of December 31, 2017 and 2018, respectively)</w:t>
            </w:r>
          </w:p>
        </w:tc>
        <w:tc>
          <w:tcPr>
            <w:tcW w:w="1140" w:type="dxa"/>
            <w:vAlign w:val="bottom"/>
          </w:tcPr>
          <w:p>
            <w:pPr>
              <w:jc w:val="right"/>
              <w:spacing w:after="0"/>
              <w:rPr>
                <w:sz w:val="20"/>
                <w:szCs w:val="20"/>
                <w:color w:val="auto"/>
              </w:rPr>
            </w:pPr>
            <w:r>
              <w:rPr>
                <w:rFonts w:ascii="Arial" w:cs="Arial" w:eastAsia="Arial" w:hAnsi="Arial"/>
                <w:sz w:val="14"/>
                <w:szCs w:val="14"/>
                <w:color w:val="auto"/>
              </w:rPr>
              <w:t>6,237,969</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7,953,255</w:t>
            </w:r>
          </w:p>
        </w:tc>
        <w:tc>
          <w:tcPr>
            <w:tcW w:w="2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1,156,753</w:t>
            </w:r>
          </w:p>
        </w:tc>
        <w:tc>
          <w:tcPr>
            <w:tcW w:w="80" w:type="dxa"/>
            <w:vAlign w:val="bottom"/>
          </w:tcPr>
          <w:p>
            <w:pPr>
              <w:spacing w:after="0"/>
              <w:rPr>
                <w:sz w:val="14"/>
                <w:szCs w:val="14"/>
                <w:color w:val="auto"/>
              </w:rPr>
            </w:pPr>
          </w:p>
        </w:tc>
      </w:tr>
      <w:tr>
        <w:trPr>
          <w:trHeight w:val="128"/>
        </w:trPr>
        <w:tc>
          <w:tcPr>
            <w:tcW w:w="734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w w:val="97"/>
              </w:rPr>
              <w:t>Accrued liabilities and other payables (including accrued liabilities and other payables of the consolidated VIEs without</w:t>
            </w: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734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recourse to the primary beneficiaries of RMB1,966,436 and RMB1,866,234 as of December 31, 2017 and 2018,</w:t>
            </w: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4,692,310</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5,848,463</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850,624</w:t>
            </w:r>
          </w:p>
        </w:tc>
        <w:tc>
          <w:tcPr>
            <w:tcW w:w="80" w:type="dxa"/>
            <w:vAlign w:val="bottom"/>
            <w:shd w:val="clear" w:color="auto" w:fill="CCEEFF"/>
          </w:tcPr>
          <w:p>
            <w:pPr>
              <w:spacing w:after="0"/>
              <w:rPr>
                <w:sz w:val="14"/>
                <w:szCs w:val="14"/>
                <w:color w:val="auto"/>
              </w:rPr>
            </w:pPr>
          </w:p>
        </w:tc>
      </w:tr>
      <w:tr>
        <w:trPr>
          <w:trHeight w:val="140"/>
        </w:trPr>
        <w:tc>
          <w:tcPr>
            <w:tcW w:w="7340" w:type="dxa"/>
            <w:vAlign w:val="bottom"/>
            <w:tcBorders>
              <w:bottom w:val="single" w:sz="8" w:color="CCEEFF"/>
            </w:tcBorders>
          </w:tcPr>
          <w:p>
            <w:pPr>
              <w:ind w:left="360"/>
              <w:spacing w:after="0" w:line="140" w:lineRule="exact"/>
              <w:rPr>
                <w:sz w:val="20"/>
                <w:szCs w:val="20"/>
                <w:color w:val="auto"/>
              </w:rPr>
            </w:pPr>
            <w:r>
              <w:rPr>
                <w:rFonts w:ascii="Arial" w:cs="Arial" w:eastAsia="Arial" w:hAnsi="Arial"/>
                <w:sz w:val="14"/>
                <w:szCs w:val="14"/>
                <w:color w:val="auto"/>
              </w:rPr>
              <w:t>Total current liabilities</w:t>
            </w: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23,750,114</w:t>
            </w:r>
          </w:p>
        </w:tc>
        <w:tc>
          <w:tcPr>
            <w:tcW w:w="3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35,109,010</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5,106,393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0"/>
        </w:trPr>
        <w:tc>
          <w:tcPr>
            <w:tcW w:w="7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Non-current liabilities: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Deferred tax liabilities</w:t>
            </w:r>
          </w:p>
        </w:tc>
        <w:tc>
          <w:tcPr>
            <w:tcW w:w="14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213,215</w:t>
            </w:r>
          </w:p>
        </w:tc>
        <w:tc>
          <w:tcPr>
            <w:tcW w:w="14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393,681</w:t>
            </w: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57,259</w:t>
            </w:r>
          </w:p>
        </w:tc>
        <w:tc>
          <w:tcPr>
            <w:tcW w:w="80" w:type="dxa"/>
            <w:vAlign w:val="bottom"/>
            <w:shd w:val="clear" w:color="auto" w:fill="CCEEFF"/>
          </w:tcPr>
          <w:p>
            <w:pPr>
              <w:spacing w:after="0"/>
              <w:rPr>
                <w:sz w:val="12"/>
                <w:szCs w:val="12"/>
                <w:color w:val="auto"/>
              </w:rPr>
            </w:pPr>
          </w:p>
        </w:tc>
      </w:tr>
      <w:tr>
        <w:trPr>
          <w:trHeight w:val="128"/>
        </w:trPr>
        <w:tc>
          <w:tcPr>
            <w:tcW w:w="7340" w:type="dxa"/>
            <w:vAlign w:val="bottom"/>
          </w:tcPr>
          <w:p>
            <w:pPr>
              <w:ind w:left="180"/>
              <w:spacing w:after="0" w:line="128" w:lineRule="exact"/>
              <w:rPr>
                <w:sz w:val="20"/>
                <w:szCs w:val="20"/>
                <w:color w:val="auto"/>
              </w:rPr>
            </w:pPr>
            <w:r>
              <w:rPr>
                <w:rFonts w:ascii="Arial" w:cs="Arial" w:eastAsia="Arial" w:hAnsi="Arial"/>
                <w:sz w:val="14"/>
                <w:szCs w:val="14"/>
                <w:color w:val="auto"/>
              </w:rPr>
              <w:t>Other long-term payable (including long-term payable of the consolidated VIEs without recourse to the primary</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5"/>
        </w:trPr>
        <w:tc>
          <w:tcPr>
            <w:tcW w:w="7340" w:type="dxa"/>
            <w:vAlign w:val="bottom"/>
          </w:tcPr>
          <w:p>
            <w:pPr>
              <w:ind w:left="360"/>
              <w:spacing w:after="0"/>
              <w:rPr>
                <w:sz w:val="20"/>
                <w:szCs w:val="20"/>
                <w:color w:val="auto"/>
              </w:rPr>
            </w:pPr>
            <w:r>
              <w:rPr>
                <w:rFonts w:ascii="Arial" w:cs="Arial" w:eastAsia="Arial" w:hAnsi="Arial"/>
                <w:sz w:val="14"/>
                <w:szCs w:val="14"/>
                <w:color w:val="auto"/>
              </w:rPr>
              <w:t>beneficiaries of RMB7,500 and RMB7,500 as of December 31, 2017 and 2018, respectively)</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18,250</w:t>
            </w: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53,656</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7,804</w:t>
            </w:r>
          </w:p>
        </w:tc>
        <w:tc>
          <w:tcPr>
            <w:tcW w:w="80" w:type="dxa"/>
            <w:vAlign w:val="bottom"/>
          </w:tcPr>
          <w:p>
            <w:pPr>
              <w:spacing w:after="0"/>
              <w:rPr>
                <w:sz w:val="14"/>
                <w:szCs w:val="14"/>
                <w:color w:val="auto"/>
              </w:rPr>
            </w:pPr>
          </w:p>
        </w:tc>
      </w:tr>
      <w:tr>
        <w:trPr>
          <w:trHeight w:val="140"/>
        </w:trPr>
        <w:tc>
          <w:tcPr>
            <w:tcW w:w="73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Total liabilities</w:t>
            </w:r>
          </w:p>
        </w:tc>
        <w:tc>
          <w:tcPr>
            <w:tcW w:w="11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23,981,579</w:t>
            </w:r>
          </w:p>
        </w:tc>
        <w:tc>
          <w:tcPr>
            <w:tcW w:w="3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35,556,347</w:t>
            </w:r>
          </w:p>
        </w:tc>
        <w:tc>
          <w:tcPr>
            <w:tcW w:w="2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5,171,456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0"/>
        </w:trPr>
        <w:tc>
          <w:tcPr>
            <w:tcW w:w="7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Commitments and contingencies (See Note 20)</w:t>
            </w: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Redeemable noncontrolling interests</w:t>
            </w:r>
          </w:p>
        </w:tc>
        <w:tc>
          <w:tcPr>
            <w:tcW w:w="14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614,696</w:t>
            </w: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5,385,736</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783,323</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Shareholders’ equity:</w:t>
            </w: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Ordinary shares, US$0.0001 par value: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734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w w:val="98"/>
              </w:rPr>
              <w:t>1,000,300,000 shares authorized, 3,283,217 shares issued and outstanding as of December 31, 2017 and 3,199,018</w:t>
            </w: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5"/>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shares issued and outstanding as of December 31, 2018</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2,678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2,620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4"/>
                <w:szCs w:val="14"/>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Additional paid-in capital</w:t>
            </w:r>
          </w:p>
        </w:tc>
        <w:tc>
          <w:tcPr>
            <w:tcW w:w="1140" w:type="dxa"/>
            <w:vAlign w:val="bottom"/>
          </w:tcPr>
          <w:p>
            <w:pPr>
              <w:jc w:val="right"/>
              <w:spacing w:after="0" w:line="147" w:lineRule="exact"/>
              <w:rPr>
                <w:sz w:val="20"/>
                <w:szCs w:val="20"/>
                <w:color w:val="auto"/>
              </w:rPr>
            </w:pPr>
            <w:r>
              <w:rPr>
                <w:rFonts w:ascii="Arial" w:cs="Arial" w:eastAsia="Arial" w:hAnsi="Arial"/>
                <w:sz w:val="14"/>
                <w:szCs w:val="14"/>
                <w:color w:val="auto"/>
              </w:rPr>
              <w:t>1,753,439</w:t>
            </w:r>
          </w:p>
        </w:tc>
        <w:tc>
          <w:tcPr>
            <w:tcW w:w="300" w:type="dxa"/>
            <w:vAlign w:val="bottom"/>
          </w:tcPr>
          <w:p>
            <w:pPr>
              <w:spacing w:after="0"/>
              <w:rPr>
                <w:sz w:val="12"/>
                <w:szCs w:val="12"/>
                <w:color w:val="auto"/>
              </w:rPr>
            </w:pPr>
          </w:p>
        </w:tc>
        <w:tc>
          <w:tcPr>
            <w:tcW w:w="140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Statutory reserves</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1,206,224</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1,214,578</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176,653</w:t>
            </w: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Accumulated other comprehensive income</w:t>
            </w:r>
          </w:p>
        </w:tc>
        <w:tc>
          <w:tcPr>
            <w:tcW w:w="144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36,585</w:t>
            </w:r>
          </w:p>
        </w:tc>
        <w:tc>
          <w:tcPr>
            <w:tcW w:w="140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17,050</w:t>
            </w:r>
          </w:p>
        </w:tc>
        <w:tc>
          <w:tcPr>
            <w:tcW w:w="11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2,480</w:t>
            </w: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Retained earnings</w:t>
            </w:r>
          </w:p>
        </w:tc>
        <w:tc>
          <w:tcPr>
            <w:tcW w:w="11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42,733,081</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43,997,388</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6,399,155</w:t>
            </w:r>
          </w:p>
        </w:tc>
        <w:tc>
          <w:tcPr>
            <w:tcW w:w="80" w:type="dxa"/>
            <w:vAlign w:val="bottom"/>
            <w:shd w:val="clear" w:color="auto" w:fill="CCEEFF"/>
          </w:tcPr>
          <w:p>
            <w:pPr>
              <w:spacing w:after="0"/>
              <w:rPr>
                <w:sz w:val="12"/>
                <w:szCs w:val="12"/>
                <w:color w:val="auto"/>
              </w:rPr>
            </w:pPr>
          </w:p>
        </w:tc>
      </w:tr>
      <w:tr>
        <w:trPr>
          <w:trHeight w:val="140"/>
        </w:trPr>
        <w:tc>
          <w:tcPr>
            <w:tcW w:w="7340" w:type="dxa"/>
            <w:vAlign w:val="bottom"/>
          </w:tcPr>
          <w:p>
            <w:pPr>
              <w:spacing w:after="0" w:line="140" w:lineRule="exact"/>
              <w:rPr>
                <w:sz w:val="20"/>
                <w:szCs w:val="20"/>
                <w:color w:val="auto"/>
              </w:rPr>
            </w:pPr>
            <w:r>
              <w:rPr>
                <w:rFonts w:ascii="Arial" w:cs="Arial" w:eastAsia="Arial" w:hAnsi="Arial"/>
                <w:sz w:val="14"/>
                <w:szCs w:val="14"/>
                <w:color w:val="auto"/>
              </w:rPr>
              <w:t>NetEase, Inc.’s shareholders’ equity</w:t>
            </w:r>
          </w:p>
        </w:tc>
        <w:tc>
          <w:tcPr>
            <w:tcW w:w="11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45,732,007</w:t>
            </w:r>
          </w:p>
        </w:tc>
        <w:tc>
          <w:tcPr>
            <w:tcW w:w="300" w:type="dxa"/>
            <w:vAlign w:val="bottom"/>
          </w:tcPr>
          <w:p>
            <w:pPr>
              <w:spacing w:after="0"/>
              <w:rPr>
                <w:sz w:val="12"/>
                <w:szCs w:val="12"/>
                <w:color w:val="auto"/>
              </w:rPr>
            </w:pPr>
          </w:p>
        </w:tc>
        <w:tc>
          <w:tcPr>
            <w:tcW w:w="11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45,231,636</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6,578,669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73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Noncontrolling interests</w:t>
            </w:r>
          </w:p>
        </w:tc>
        <w:tc>
          <w:tcPr>
            <w:tcW w:w="14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703,133</w:t>
            </w:r>
          </w:p>
        </w:tc>
        <w:tc>
          <w:tcPr>
            <w:tcW w:w="14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794,209</w:t>
            </w:r>
          </w:p>
        </w:tc>
        <w:tc>
          <w:tcPr>
            <w:tcW w:w="11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115,513</w:t>
            </w:r>
          </w:p>
        </w:tc>
        <w:tc>
          <w:tcPr>
            <w:tcW w:w="80" w:type="dxa"/>
            <w:vAlign w:val="bottom"/>
            <w:shd w:val="clear" w:color="auto" w:fill="CCEEFF"/>
          </w:tcPr>
          <w:p>
            <w:pPr>
              <w:spacing w:after="0"/>
              <w:rPr>
                <w:sz w:val="12"/>
                <w:szCs w:val="12"/>
                <w:color w:val="auto"/>
              </w:rPr>
            </w:pPr>
          </w:p>
        </w:tc>
      </w:tr>
      <w:tr>
        <w:trPr>
          <w:trHeight w:val="140"/>
        </w:trPr>
        <w:tc>
          <w:tcPr>
            <w:tcW w:w="7340" w:type="dxa"/>
            <w:vAlign w:val="bottom"/>
            <w:tcBorders>
              <w:bottom w:val="single" w:sz="8" w:color="CCEEFF"/>
            </w:tcBorders>
          </w:tcPr>
          <w:p>
            <w:pPr>
              <w:ind w:left="360"/>
              <w:spacing w:after="0" w:line="140" w:lineRule="exact"/>
              <w:rPr>
                <w:sz w:val="20"/>
                <w:szCs w:val="20"/>
                <w:color w:val="auto"/>
              </w:rPr>
            </w:pPr>
            <w:r>
              <w:rPr>
                <w:rFonts w:ascii="Arial" w:cs="Arial" w:eastAsia="Arial" w:hAnsi="Arial"/>
                <w:sz w:val="14"/>
                <w:szCs w:val="14"/>
                <w:color w:val="auto"/>
              </w:rPr>
              <w:t>Total shareholders’ equity</w:t>
            </w: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46,435,140</w:t>
            </w:r>
          </w:p>
        </w:tc>
        <w:tc>
          <w:tcPr>
            <w:tcW w:w="3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46,025,845</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6,694,182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0"/>
        </w:trPr>
        <w:tc>
          <w:tcPr>
            <w:tcW w:w="7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7340" w:type="dxa"/>
            <w:vAlign w:val="bottom"/>
          </w:tcPr>
          <w:p>
            <w:pPr>
              <w:spacing w:after="0" w:line="147" w:lineRule="exact"/>
              <w:rPr>
                <w:sz w:val="20"/>
                <w:szCs w:val="20"/>
                <w:color w:val="auto"/>
              </w:rPr>
            </w:pPr>
            <w:r>
              <w:rPr>
                <w:rFonts w:ascii="Arial" w:cs="Arial" w:eastAsia="Arial" w:hAnsi="Arial"/>
                <w:sz w:val="14"/>
                <w:szCs w:val="14"/>
                <w:color w:val="auto"/>
              </w:rPr>
              <w:t>Total liabilities, redeemable noncontrolling interests and shareholders’ equity</w:t>
            </w:r>
          </w:p>
        </w:tc>
        <w:tc>
          <w:tcPr>
            <w:tcW w:w="11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71,031,415</w:t>
            </w:r>
          </w:p>
        </w:tc>
        <w:tc>
          <w:tcPr>
            <w:tcW w:w="30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86,967,928</w:t>
            </w:r>
          </w:p>
        </w:tc>
        <w:tc>
          <w:tcPr>
            <w:tcW w:w="28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20"/>
              <w:spacing w:after="0" w:line="147" w:lineRule="exact"/>
              <w:rPr>
                <w:sz w:val="20"/>
                <w:szCs w:val="20"/>
                <w:color w:val="auto"/>
              </w:rPr>
            </w:pPr>
            <w:r>
              <w:rPr>
                <w:rFonts w:ascii="Arial" w:cs="Arial" w:eastAsia="Arial" w:hAnsi="Arial"/>
                <w:sz w:val="14"/>
                <w:szCs w:val="14"/>
                <w:color w:val="auto"/>
              </w:rPr>
              <w:t>12,648,961</w:t>
            </w:r>
          </w:p>
        </w:tc>
        <w:tc>
          <w:tcPr>
            <w:tcW w:w="80" w:type="dxa"/>
            <w:vAlign w:val="bottom"/>
          </w:tcPr>
          <w:p>
            <w:pPr>
              <w:spacing w:after="0"/>
              <w:rPr>
                <w:sz w:val="12"/>
                <w:szCs w:val="12"/>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 or per ADS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For the 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80" w:type="dxa"/>
            <w:vAlign w:val="bottom"/>
          </w:tcPr>
          <w:p>
            <w:pPr>
              <w:spacing w:after="0"/>
              <w:rPr>
                <w:sz w:val="12"/>
                <w:szCs w:val="12"/>
                <w:color w:val="auto"/>
              </w:rPr>
            </w:pPr>
          </w:p>
        </w:tc>
        <w:tc>
          <w:tcPr>
            <w:tcW w:w="1380" w:type="dxa"/>
            <w:vAlign w:val="bottom"/>
            <w:tcBorders>
              <w:bottom w:val="single" w:sz="8" w:color="auto"/>
            </w:tcBorders>
          </w:tcPr>
          <w:p>
            <w:pPr>
              <w:jc w:val="right"/>
              <w:ind w:right="452"/>
              <w:spacing w:after="0" w:line="140"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0"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0"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1380" w:type="dxa"/>
            <w:vAlign w:val="bottom"/>
          </w:tcPr>
          <w:p>
            <w:pPr>
              <w:jc w:val="right"/>
              <w:ind w:right="432"/>
              <w:spacing w:after="0" w:line="118"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3"/>
              <w:spacing w:after="0" w:line="118"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2"/>
              <w:spacing w:after="0" w:line="118"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2(n)</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33,748,455</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42,654,982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48,518,932</w:t>
            </w:r>
          </w:p>
        </w:tc>
        <w:tc>
          <w:tcPr>
            <w:tcW w:w="1360" w:type="dxa"/>
            <w:vAlign w:val="bottom"/>
          </w:tcPr>
          <w:p>
            <w:pPr>
              <w:jc w:val="right"/>
              <w:spacing w:after="0"/>
              <w:rPr>
                <w:sz w:val="20"/>
                <w:szCs w:val="20"/>
                <w:color w:val="auto"/>
              </w:rPr>
            </w:pPr>
            <w:r>
              <w:rPr>
                <w:rFonts w:ascii="Arial" w:cs="Arial" w:eastAsia="Arial" w:hAnsi="Arial"/>
                <w:sz w:val="18"/>
                <w:szCs w:val="18"/>
                <w:color w:val="auto"/>
              </w:rPr>
              <w:t>7,056,786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4,430,389</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11,447,037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18,637,521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8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net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3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54,102,019</w:t>
            </w:r>
          </w:p>
        </w:tc>
        <w:tc>
          <w:tcPr>
            <w:tcW w:w="3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67,156,453</w:t>
            </w:r>
          </w:p>
        </w:tc>
        <w:tc>
          <w:tcPr>
            <w:tcW w:w="2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9,767,501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Cost of revenues</w:t>
            </w: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(12,602,876)</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(17,741,107)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(21,089,648)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(3,067,362)</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(3,912,156)</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(10,448,219)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(17,663,309)</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(2,569,022)</w:t>
            </w:r>
          </w:p>
        </w:tc>
        <w:tc>
          <w:tcPr>
            <w:tcW w:w="0" w:type="dxa"/>
            <w:vAlign w:val="bottom"/>
          </w:tcPr>
          <w:p>
            <w:pPr>
              <w:spacing w:after="0"/>
              <w:rPr>
                <w:sz w:val="1"/>
                <w:szCs w:val="1"/>
                <w:color w:val="auto"/>
              </w:rPr>
            </w:pPr>
          </w:p>
        </w:tc>
      </w:tr>
      <w:tr>
        <w:trPr>
          <w:trHeight w:val="206"/>
        </w:trPr>
        <w:tc>
          <w:tcPr>
            <w:tcW w:w="498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cost of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(16,515,032)</w:t>
            </w:r>
          </w:p>
        </w:tc>
        <w:tc>
          <w:tcPr>
            <w:tcW w:w="3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(28,189,326)</w:t>
            </w:r>
          </w:p>
        </w:tc>
        <w:tc>
          <w:tcPr>
            <w:tcW w:w="3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(38,752,957)</w:t>
            </w:r>
          </w:p>
        </w:tc>
        <w:tc>
          <w:tcPr>
            <w:tcW w:w="2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(5,636,384)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21,663,812</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25,912,693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28,403,496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4,131,117</w:t>
            </w:r>
          </w:p>
        </w:tc>
        <w:tc>
          <w:tcPr>
            <w:tcW w:w="0" w:type="dxa"/>
            <w:vAlign w:val="bottom"/>
          </w:tcPr>
          <w:p>
            <w:pPr>
              <w:spacing w:after="0"/>
              <w:rPr>
                <w:sz w:val="1"/>
                <w:szCs w:val="1"/>
                <w:color w:val="auto"/>
              </w:rPr>
            </w:pPr>
          </w:p>
        </w:tc>
      </w:tr>
      <w:tr>
        <w:trPr>
          <w:trHeight w:val="206"/>
        </w:trPr>
        <w:tc>
          <w:tcPr>
            <w:tcW w:w="49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(4,481,815)</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(6,957,596)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(9,526,470)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(1,385,568)</w:t>
            </w:r>
          </w:p>
        </w:tc>
        <w:tc>
          <w:tcPr>
            <w:tcW w:w="0" w:type="dxa"/>
            <w:vAlign w:val="bottom"/>
          </w:tcPr>
          <w:p>
            <w:pPr>
              <w:spacing w:after="0"/>
              <w:rPr>
                <w:sz w:val="1"/>
                <w:szCs w:val="1"/>
                <w:color w:val="auto"/>
              </w:rPr>
            </w:pPr>
          </w:p>
        </w:tc>
      </w:tr>
      <w:tr>
        <w:trPr>
          <w:trHeight w:val="213"/>
        </w:trPr>
        <w:tc>
          <w:tcPr>
            <w:tcW w:w="4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(1,506,154)</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(2,429,858)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(3,191,537)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(464,190)</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(3,046,979)</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(4,371,428)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(7,792,550)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(1,133,379)</w:t>
            </w:r>
          </w:p>
        </w:tc>
        <w:tc>
          <w:tcPr>
            <w:tcW w:w="0" w:type="dxa"/>
            <w:vAlign w:val="bottom"/>
          </w:tcPr>
          <w:p>
            <w:pPr>
              <w:spacing w:after="0"/>
              <w:rPr>
                <w:sz w:val="1"/>
                <w:szCs w:val="1"/>
                <w:color w:val="auto"/>
              </w:rPr>
            </w:pPr>
          </w:p>
        </w:tc>
      </w:tr>
      <w:tr>
        <w:trPr>
          <w:trHeight w:val="206"/>
        </w:trPr>
        <w:tc>
          <w:tcPr>
            <w:tcW w:w="498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operating expenses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(9,034,948)</w:t>
            </w:r>
          </w:p>
        </w:tc>
        <w:tc>
          <w:tcPr>
            <w:tcW w:w="3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(13,758,882)</w:t>
            </w:r>
          </w:p>
        </w:tc>
        <w:tc>
          <w:tcPr>
            <w:tcW w:w="3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(20,510,557)</w:t>
            </w:r>
          </w:p>
        </w:tc>
        <w:tc>
          <w:tcPr>
            <w:tcW w:w="2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(2,983,137)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12,628,864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12,153,811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7,892,939</w:t>
            </w:r>
          </w:p>
        </w:tc>
        <w:tc>
          <w:tcPr>
            <w:tcW w:w="1360" w:type="dxa"/>
            <w:vAlign w:val="bottom"/>
          </w:tcPr>
          <w:p>
            <w:pPr>
              <w:jc w:val="right"/>
              <w:spacing w:after="0"/>
              <w:rPr>
                <w:sz w:val="20"/>
                <w:szCs w:val="20"/>
                <w:color w:val="auto"/>
              </w:rPr>
            </w:pPr>
            <w:r>
              <w:rPr>
                <w:rFonts w:ascii="Arial" w:cs="Arial" w:eastAsia="Arial" w:hAnsi="Arial"/>
                <w:sz w:val="18"/>
                <w:szCs w:val="18"/>
                <w:color w:val="auto"/>
              </w:rPr>
              <w:t>1,147,980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Investment income/(losses), net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200,333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362,113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(22,266)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541,969</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667,323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587,518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85,451</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Exchange gains/(losses)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146,510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(448,827)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(113,323)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377,685</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277,080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599,230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87,154</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13,895,361</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13,011,500</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8,944,098</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(2,102,498)</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(2,162,363)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(2,466,681)</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(358,764)</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11,792,863</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10,849,137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6,477,417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942,101</w:t>
            </w:r>
          </w:p>
        </w:tc>
        <w:tc>
          <w:tcPr>
            <w:tcW w:w="0" w:type="dxa"/>
            <w:vAlign w:val="bottom"/>
          </w:tcPr>
          <w:p>
            <w:pPr>
              <w:spacing w:after="0"/>
              <w:rPr>
                <w:sz w:val="1"/>
                <w:szCs w:val="1"/>
                <w:color w:val="auto"/>
              </w:rPr>
            </w:pPr>
          </w:p>
        </w:tc>
      </w:tr>
      <w:tr>
        <w:trPr>
          <w:trHeight w:val="201"/>
        </w:trPr>
        <w:tc>
          <w:tcPr>
            <w:tcW w:w="4980" w:type="dxa"/>
            <w:vAlign w:val="bottom"/>
          </w:tcPr>
          <w:p>
            <w:pPr>
              <w:spacing w:after="0" w:line="201" w:lineRule="exact"/>
              <w:rPr>
                <w:sz w:val="20"/>
                <w:szCs w:val="20"/>
                <w:color w:val="auto"/>
              </w:rPr>
            </w:pPr>
            <w:r>
              <w:rPr>
                <w:rFonts w:ascii="Arial" w:cs="Arial" w:eastAsia="Arial" w:hAnsi="Arial"/>
                <w:sz w:val="18"/>
                <w:szCs w:val="18"/>
                <w:color w:val="auto"/>
                <w:w w:val="98"/>
              </w:rPr>
              <w:t>Accretion and deemed dividends in connection with repurchase</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180"/>
              <w:spacing w:after="0"/>
              <w:rPr>
                <w:sz w:val="20"/>
                <w:szCs w:val="20"/>
                <w:color w:val="auto"/>
              </w:rPr>
            </w:pPr>
            <w:r>
              <w:rPr>
                <w:rFonts w:ascii="Arial" w:cs="Arial" w:eastAsia="Arial" w:hAnsi="Arial"/>
                <w:sz w:val="18"/>
                <w:szCs w:val="18"/>
                <w:color w:val="auto"/>
              </w:rPr>
              <w:t>of redeemable noncontrolling interests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(248,098)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01"/>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 interests and</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(188,343)</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(141,198)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(76,912)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8"/>
                <w:szCs w:val="18"/>
                <w:b w:val="1"/>
                <w:bCs w:val="1"/>
                <w:color w:val="auto"/>
                <w:w w:val="98"/>
              </w:rPr>
              <w:t>Net income attributable to the NetEase, Inc.’s shareholders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11,604,520</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10,707,939</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6,152,407</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894,831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11,792,863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10,849,137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6,477,417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942,101</w:t>
            </w:r>
          </w:p>
        </w:tc>
        <w:tc>
          <w:tcPr>
            <w:tcW w:w="0" w:type="dxa"/>
            <w:vAlign w:val="bottom"/>
          </w:tcPr>
          <w:p>
            <w:pPr>
              <w:spacing w:after="0"/>
              <w:rPr>
                <w:sz w:val="1"/>
                <w:szCs w:val="1"/>
                <w:color w:val="auto"/>
              </w:rPr>
            </w:pPr>
          </w:p>
        </w:tc>
      </w:tr>
      <w:tr>
        <w:trPr>
          <w:trHeight w:val="193"/>
        </w:trPr>
        <w:tc>
          <w:tcPr>
            <w:tcW w:w="498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Other comprehensive income</w:t>
            </w:r>
          </w:p>
        </w:tc>
        <w:tc>
          <w:tcPr>
            <w:tcW w:w="1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Unrealized losses on available-for-sale securities, net of tax</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(232,633)</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(23,321)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adjustment for losses on available-for-sale</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recorded in net income, nil of tax</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266,660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(1,573)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18,624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0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34,027</w:t>
            </w: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(24,894)</w:t>
            </w: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18,624</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comprehensive income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11,826,890</w:t>
            </w:r>
          </w:p>
        </w:tc>
        <w:tc>
          <w:tcPr>
            <w:tcW w:w="3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10,824,243</w:t>
            </w:r>
          </w:p>
        </w:tc>
        <w:tc>
          <w:tcPr>
            <w:tcW w:w="3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6,496,041</w:t>
            </w: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944,810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Comprehensive income attributable to noncontrolling interests</w:t>
            </w:r>
          </w:p>
        </w:tc>
        <w:tc>
          <w:tcPr>
            <w:tcW w:w="1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redeemable noncontrolling interests</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(188,343)</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(141,198)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(76,912)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rPr>
              <w:t>Comprehensive income attributable to the NetEase, Inc.’s</w:t>
            </w: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80" w:type="dxa"/>
            <w:vAlign w:val="bottom"/>
            <w:vMerge w:val="continue"/>
          </w:tcPr>
          <w:p>
            <w:pPr>
              <w:spacing w:after="0"/>
              <w:rPr>
                <w:sz w:val="15"/>
                <w:szCs w:val="15"/>
                <w:color w:val="auto"/>
              </w:rPr>
            </w:pPr>
          </w:p>
        </w:tc>
        <w:tc>
          <w:tcPr>
            <w:tcW w:w="16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11,638,547</w:t>
            </w: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10,683,045</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6,419,129</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933,624</w:t>
            </w:r>
          </w:p>
        </w:tc>
        <w:tc>
          <w:tcPr>
            <w:tcW w:w="0" w:type="dxa"/>
            <w:vAlign w:val="bottom"/>
          </w:tcPr>
          <w:p>
            <w:pPr>
              <w:spacing w:after="0"/>
              <w:rPr>
                <w:sz w:val="1"/>
                <w:szCs w:val="1"/>
                <w:color w:val="auto"/>
              </w:rPr>
            </w:pPr>
          </w:p>
        </w:tc>
      </w:tr>
      <w:tr>
        <w:trPr>
          <w:trHeight w:val="258"/>
        </w:trPr>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1680" w:type="dxa"/>
            <w:vAlign w:val="bottom"/>
            <w:gridSpan w:val="2"/>
            <w:vMerge w:val="continue"/>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9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98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3"/>
        </w:trPr>
        <w:tc>
          <w:tcPr>
            <w:tcW w:w="4980" w:type="dxa"/>
            <w:vAlign w:val="bottom"/>
            <w:tcBorders>
              <w:top w:val="single" w:sz="8" w:color="CCEEFF"/>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Net income per ADS, basic</w:t>
            </w:r>
          </w:p>
        </w:tc>
        <w:tc>
          <w:tcPr>
            <w:tcW w:w="13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88.40</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81.36</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47.54</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income per share, diluted</w:t>
            </w:r>
          </w:p>
        </w:tc>
        <w:tc>
          <w:tcPr>
            <w:tcW w:w="16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80" w:type="dxa"/>
            <w:vAlign w:val="bottom"/>
            <w:tcBorders>
              <w:bottom w:val="single" w:sz="8" w:color="CCEEFF"/>
            </w:tcBorders>
            <w:vMerge w:val="continue"/>
          </w:tcPr>
          <w:p>
            <w:pPr>
              <w:spacing w:after="0"/>
              <w:rPr>
                <w:sz w:val="20"/>
                <w:szCs w:val="20"/>
                <w:color w:val="auto"/>
              </w:rPr>
            </w:pPr>
          </w:p>
        </w:tc>
        <w:tc>
          <w:tcPr>
            <w:tcW w:w="13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3.51</w:t>
            </w:r>
          </w:p>
        </w:tc>
        <w:tc>
          <w:tcPr>
            <w:tcW w:w="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3.23</w:t>
            </w:r>
          </w:p>
        </w:tc>
        <w:tc>
          <w:tcPr>
            <w:tcW w:w="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1.89</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98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Net income per ADS, diluted</w:t>
            </w:r>
          </w:p>
        </w:tc>
        <w:tc>
          <w:tcPr>
            <w:tcW w:w="13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87.72</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80.74</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47.26</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w w:val="97"/>
              </w:rPr>
              <w:t>Weighted average number of ordinary shares outstanding, basic</w:t>
            </w:r>
          </w:p>
        </w:tc>
        <w:tc>
          <w:tcPr>
            <w:tcW w:w="16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80" w:type="dxa"/>
            <w:vAlign w:val="bottom"/>
            <w:tcBorders>
              <w:bottom w:val="single" w:sz="8" w:color="CCEEFF"/>
            </w:tcBorders>
            <w:vMerge w:val="continue"/>
          </w:tcPr>
          <w:p>
            <w:pPr>
              <w:spacing w:after="0"/>
              <w:rPr>
                <w:sz w:val="20"/>
                <w:szCs w:val="20"/>
                <w:color w:val="auto"/>
              </w:rPr>
            </w:pPr>
          </w:p>
        </w:tc>
        <w:tc>
          <w:tcPr>
            <w:tcW w:w="13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3,281,729</w:t>
            </w:r>
          </w:p>
        </w:tc>
        <w:tc>
          <w:tcPr>
            <w:tcW w:w="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3,290,312</w:t>
            </w:r>
          </w:p>
        </w:tc>
        <w:tc>
          <w:tcPr>
            <w:tcW w:w="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3,235,324</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3,235,324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98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Weighted average number of ADS outstanding, basic</w:t>
            </w:r>
          </w:p>
        </w:tc>
        <w:tc>
          <w:tcPr>
            <w:tcW w:w="13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131,269</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131,612</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129,413</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129,413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w w:val="94"/>
              </w:rPr>
              <w:t>Weighted average number of ordinary shares outstanding, diluted</w:t>
            </w:r>
          </w:p>
        </w:tc>
        <w:tc>
          <w:tcPr>
            <w:tcW w:w="168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80" w:type="dxa"/>
            <w:vAlign w:val="bottom"/>
            <w:tcBorders>
              <w:bottom w:val="single" w:sz="8" w:color="CCEEFF"/>
            </w:tcBorders>
            <w:vMerge w:val="continue"/>
          </w:tcPr>
          <w:p>
            <w:pPr>
              <w:spacing w:after="0"/>
              <w:rPr>
                <w:sz w:val="20"/>
                <w:szCs w:val="20"/>
                <w:color w:val="auto"/>
              </w:rPr>
            </w:pPr>
          </w:p>
        </w:tc>
        <w:tc>
          <w:tcPr>
            <w:tcW w:w="13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3,307,109</w:t>
            </w:r>
          </w:p>
        </w:tc>
        <w:tc>
          <w:tcPr>
            <w:tcW w:w="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3,315,478</w:t>
            </w:r>
          </w:p>
        </w:tc>
        <w:tc>
          <w:tcPr>
            <w:tcW w:w="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3,254,689</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3,254,689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98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Weighted average number of ADS outstanding, diluted</w:t>
            </w:r>
          </w:p>
        </w:tc>
        <w:tc>
          <w:tcPr>
            <w:tcW w:w="13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132,284</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132,619</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130,188</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130,188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and share numbers,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Additional paid-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3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Ordinary shares</w:t>
            </w:r>
          </w:p>
        </w:tc>
        <w:tc>
          <w:tcPr>
            <w:tcW w:w="1100" w:type="dxa"/>
            <w:vAlign w:val="bottom"/>
            <w:gridSpan w:val="2"/>
            <w:vMerge w:val="continue"/>
          </w:tcPr>
          <w:p>
            <w:pPr>
              <w:spacing w:after="0"/>
              <w:rPr>
                <w:sz w:val="9"/>
                <w:szCs w:val="9"/>
                <w:color w:val="auto"/>
              </w:rPr>
            </w:pPr>
          </w:p>
        </w:tc>
        <w:tc>
          <w:tcPr>
            <w:tcW w:w="13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Statutory</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other comprehensive</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 shareholders’</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w:t>
            </w:r>
          </w:p>
        </w:tc>
        <w:tc>
          <w:tcPr>
            <w:tcW w:w="1360" w:type="dxa"/>
            <w:vAlign w:val="bottom"/>
            <w:gridSpan w:val="4"/>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5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0" w:lineRule="exact"/>
              <w:rPr>
                <w:sz w:val="20"/>
                <w:szCs w:val="20"/>
                <w:color w:val="auto"/>
              </w:rPr>
            </w:pPr>
            <w:r>
              <w:rPr>
                <w:rFonts w:ascii="Arial" w:cs="Arial" w:eastAsia="Arial" w:hAnsi="Arial"/>
                <w:sz w:val="14"/>
                <w:szCs w:val="14"/>
                <w:b w:val="1"/>
                <w:bCs w:val="1"/>
                <w:color w:val="auto"/>
              </w:rPr>
              <w:t>Share</w:t>
            </w:r>
          </w:p>
        </w:tc>
        <w:tc>
          <w:tcPr>
            <w:tcW w:w="5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94"/>
              </w:rPr>
              <w:t>capital</w:t>
            </w:r>
          </w:p>
        </w:tc>
        <w:tc>
          <w:tcPr>
            <w:tcW w:w="640" w:type="dxa"/>
            <w:vAlign w:val="bottom"/>
            <w:tcBorders>
              <w:top w:val="single" w:sz="8" w:color="auto"/>
            </w:tcBorders>
            <w:gridSpan w:val="2"/>
          </w:tcPr>
          <w:p>
            <w:pPr>
              <w:jc w:val="right"/>
              <w:ind w:right="180"/>
              <w:spacing w:after="0" w:line="140" w:lineRule="exact"/>
              <w:rPr>
                <w:sz w:val="20"/>
                <w:szCs w:val="20"/>
                <w:color w:val="auto"/>
              </w:rPr>
            </w:pPr>
            <w:r>
              <w:rPr>
                <w:rFonts w:ascii="Arial" w:cs="Arial" w:eastAsia="Arial" w:hAnsi="Arial"/>
                <w:sz w:val="14"/>
                <w:szCs w:val="14"/>
                <w:b w:val="1"/>
                <w:bCs w:val="1"/>
                <w:color w:val="auto"/>
              </w:rPr>
              <w:t>Share</w:t>
            </w:r>
          </w:p>
        </w:tc>
        <w:tc>
          <w:tcPr>
            <w:tcW w:w="6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reserves</w:t>
            </w:r>
          </w:p>
        </w:tc>
        <w:tc>
          <w:tcPr>
            <w:tcW w:w="136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89"/>
              </w:rPr>
              <w:t>income</w:t>
            </w:r>
          </w:p>
        </w:tc>
        <w:tc>
          <w:tcPr>
            <w:tcW w:w="76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9"/>
              </w:rPr>
              <w:t>earnings</w:t>
            </w:r>
          </w:p>
        </w:tc>
        <w:tc>
          <w:tcPr>
            <w:tcW w:w="10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9"/>
              </w:rPr>
              <w:t>Interests</w:t>
            </w:r>
          </w:p>
        </w:tc>
        <w:tc>
          <w:tcPr>
            <w:tcW w:w="126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ind w:right="49"/>
              <w:spacing w:after="0" w:line="140"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69"/>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 as of December 31, 2015</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89"/>
              </w:rPr>
              <w:t>3,286,932</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2,685</w:t>
            </w: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1,779,331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1,010,917</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27,452</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w w:val="94"/>
              </w:rPr>
              <w:t>26,419,698</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83,516</w:t>
            </w:r>
          </w:p>
        </w:tc>
        <w:tc>
          <w:tcPr>
            <w:tcW w:w="11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29,323,599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line="128" w:lineRule="exact"/>
              <w:rPr>
                <w:sz w:val="20"/>
                <w:szCs w:val="20"/>
                <w:color w:val="auto"/>
              </w:rPr>
            </w:pPr>
            <w:r>
              <w:rPr>
                <w:rFonts w:ascii="Arial" w:cs="Arial" w:eastAsia="Arial" w:hAnsi="Arial"/>
                <w:sz w:val="14"/>
                <w:szCs w:val="14"/>
                <w:color w:val="auto"/>
                <w:w w:val="95"/>
              </w:rPr>
              <w:t>Ordinary shares issued upon settlement of</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restricted share units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27,664</w:t>
            </w: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Share-based compensation</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1,057,715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1,057,715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Appropriation to statutory reserves</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149,244</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(149,244)</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Net income attributable to NetEase, Inc.</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and noncontrolling interest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11,604,520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188,343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11,792,863</w:t>
            </w: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(33,116) (1,199,102)</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(1,199,102)</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Cancellation of treasury stock</w:t>
            </w:r>
          </w:p>
        </w:tc>
        <w:tc>
          <w:tcPr>
            <w:tcW w:w="6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(33,116)</w:t>
            </w: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(27)</w:t>
            </w:r>
          </w:p>
        </w:tc>
        <w:tc>
          <w:tcPr>
            <w:tcW w:w="11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(1,199,075)</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33,116</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1,199,102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520" w:type="dxa"/>
            <w:vAlign w:val="bottom"/>
          </w:tcPr>
          <w:p>
            <w:pPr>
              <w:spacing w:after="0" w:line="128" w:lineRule="exact"/>
              <w:rPr>
                <w:sz w:val="20"/>
                <w:szCs w:val="20"/>
                <w:color w:val="auto"/>
              </w:rPr>
            </w:pPr>
            <w:r>
              <w:rPr>
                <w:rFonts w:ascii="Arial" w:cs="Arial" w:eastAsia="Arial" w:hAnsi="Arial"/>
                <w:sz w:val="14"/>
                <w:szCs w:val="14"/>
                <w:color w:val="auto"/>
              </w:rPr>
              <w:t>Net change in unrealized gains on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34,027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34,027</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Capital injection in subsidiaries by</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 shareholders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Dividends to shareholders</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w w:val="97"/>
              </w:rPr>
              <w:t>(2,546,165)</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(2,546,165)</w:t>
            </w:r>
          </w:p>
        </w:tc>
        <w:tc>
          <w:tcPr>
            <w:tcW w:w="0" w:type="dxa"/>
            <w:vAlign w:val="bottom"/>
          </w:tcPr>
          <w:p>
            <w:pPr>
              <w:spacing w:after="0"/>
              <w:rPr>
                <w:sz w:val="1"/>
                <w:szCs w:val="1"/>
                <w:color w:val="auto"/>
              </w:rPr>
            </w:pPr>
          </w:p>
        </w:tc>
      </w:tr>
      <w:tr>
        <w:trPr>
          <w:trHeight w:val="140"/>
        </w:trPr>
        <w:tc>
          <w:tcPr>
            <w:tcW w:w="25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Balance as of December 31, 2016</w:t>
            </w:r>
          </w:p>
        </w:tc>
        <w:tc>
          <w:tcPr>
            <w:tcW w:w="5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9"/>
              </w:rPr>
              <w:t>3,281,480</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2,676</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1,637,953</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400"/>
              <w:spacing w:after="0" w:line="140"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1,160,161</w:t>
            </w: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61,479</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4"/>
              </w:rPr>
              <w:t>35,328,812</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271,860</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38,462,941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2"/>
                <w:szCs w:val="12"/>
                <w:color w:val="auto"/>
              </w:rPr>
              <w:t>Ordinary shares issued upon settlement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restricted share units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29,805</w:t>
            </w: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Share-based compensation</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2,177,079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2,177,079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Appropriation to statutory reserves</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46,063</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(46,063)</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Net income attributable to NetEase, Inc.</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and noncontrolling interest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10,707,939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126,502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10,834,441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(28,068) (2,061,591)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(2,061,591)</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Cancellation of treasury stock</w:t>
            </w:r>
          </w:p>
        </w:tc>
        <w:tc>
          <w:tcPr>
            <w:tcW w:w="6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(28,068)</w:t>
            </w:r>
          </w:p>
        </w:tc>
        <w:tc>
          <w:tcPr>
            <w:tcW w:w="6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(19)</w:t>
            </w:r>
          </w:p>
        </w:tc>
        <w:tc>
          <w:tcPr>
            <w:tcW w:w="11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(2,061,572)</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28,068</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2,061,591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520" w:type="dxa"/>
            <w:vAlign w:val="bottom"/>
          </w:tcPr>
          <w:p>
            <w:pPr>
              <w:spacing w:after="0" w:line="128" w:lineRule="exact"/>
              <w:rPr>
                <w:sz w:val="20"/>
                <w:szCs w:val="20"/>
                <w:color w:val="auto"/>
              </w:rPr>
            </w:pPr>
            <w:r>
              <w:rPr>
                <w:rFonts w:ascii="Arial" w:cs="Arial" w:eastAsia="Arial" w:hAnsi="Arial"/>
                <w:sz w:val="14"/>
                <w:szCs w:val="14"/>
                <w:color w:val="auto"/>
              </w:rPr>
              <w:t>Net change in unrealized gains on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(23,321)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(23,321)</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Capital injection in subsidiaries by</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 shareholders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311,500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311,500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Dividends to shareholders</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w w:val="97"/>
              </w:rPr>
              <w:t>(3,257,607)</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(3,257,607)</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Foreign currency translation adjustment</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(1,573)</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Deconsolidation of a subsidiary</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(6,729)</w:t>
            </w:r>
          </w:p>
        </w:tc>
        <w:tc>
          <w:tcPr>
            <w:tcW w:w="1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(6,729)</w:t>
            </w:r>
          </w:p>
        </w:tc>
        <w:tc>
          <w:tcPr>
            <w:tcW w:w="0" w:type="dxa"/>
            <w:vAlign w:val="bottom"/>
          </w:tcPr>
          <w:p>
            <w:pPr>
              <w:spacing w:after="0"/>
              <w:rPr>
                <w:sz w:val="1"/>
                <w:szCs w:val="1"/>
                <w:color w:val="auto"/>
              </w:rPr>
            </w:pPr>
          </w:p>
        </w:tc>
      </w:tr>
      <w:tr>
        <w:trPr>
          <w:trHeight w:val="140"/>
        </w:trPr>
        <w:tc>
          <w:tcPr>
            <w:tcW w:w="25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Balance as of December 31, 2017</w:t>
            </w:r>
          </w:p>
        </w:tc>
        <w:tc>
          <w:tcPr>
            <w:tcW w:w="5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9"/>
              </w:rPr>
              <w:t>3,283,217</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2,678</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1,753,439</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400"/>
              <w:spacing w:after="0" w:line="140"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1,206,224</w:t>
            </w: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36,585</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4"/>
              </w:rPr>
              <w:t>42,733,081</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703,133</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46,435,140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2"/>
                <w:szCs w:val="12"/>
                <w:color w:val="auto"/>
              </w:rPr>
              <w:t>Cumulative effect of changes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520" w:type="dxa"/>
            <w:vAlign w:val="bottom"/>
          </w:tcPr>
          <w:p>
            <w:pPr>
              <w:ind w:left="180"/>
              <w:spacing w:after="0" w:line="147" w:lineRule="exact"/>
              <w:rPr>
                <w:sz w:val="20"/>
                <w:szCs w:val="20"/>
                <w:color w:val="auto"/>
              </w:rPr>
            </w:pPr>
            <w:r>
              <w:rPr>
                <w:rFonts w:ascii="Arial" w:cs="Arial" w:eastAsia="Arial" w:hAnsi="Arial"/>
                <w:sz w:val="14"/>
                <w:szCs w:val="14"/>
                <w:color w:val="auto"/>
              </w:rPr>
              <w:t>accounting principles related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20" w:type="dxa"/>
            <w:vAlign w:val="bottom"/>
          </w:tcPr>
          <w:p>
            <w:pPr>
              <w:ind w:left="180"/>
              <w:spacing w:after="0" w:line="147" w:lineRule="exact"/>
              <w:rPr>
                <w:sz w:val="20"/>
                <w:szCs w:val="20"/>
                <w:color w:val="auto"/>
              </w:rPr>
            </w:pPr>
            <w:r>
              <w:rPr>
                <w:rFonts w:ascii="Arial" w:cs="Arial" w:eastAsia="Arial" w:hAnsi="Arial"/>
                <w:sz w:val="14"/>
                <w:szCs w:val="14"/>
                <w:color w:val="auto"/>
              </w:rPr>
              <w:t>revenue recognition and financial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(38,159)</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65,608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12,367</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39,816</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w w:val="95"/>
              </w:rPr>
              <w:t>Ordinary shares issued upon settlement of</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share units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30,709</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Share-based compensation</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7" w:lineRule="exact"/>
              <w:rPr>
                <w:sz w:val="20"/>
                <w:szCs w:val="20"/>
                <w:color w:val="auto"/>
              </w:rPr>
            </w:pPr>
            <w:r>
              <w:rPr>
                <w:rFonts w:ascii="Arial" w:cs="Arial" w:eastAsia="Arial" w:hAnsi="Arial"/>
                <w:sz w:val="14"/>
                <w:szCs w:val="14"/>
                <w:color w:val="auto"/>
              </w:rPr>
              <w:t>2,397,798</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131,852</w:t>
            </w: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2,529,650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Appropriation to statutory reserves</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8,354</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(8,354)</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520" w:type="dxa"/>
            <w:vAlign w:val="bottom"/>
          </w:tcPr>
          <w:p>
            <w:pPr>
              <w:spacing w:after="0" w:line="128" w:lineRule="exact"/>
              <w:rPr>
                <w:sz w:val="20"/>
                <w:szCs w:val="20"/>
                <w:color w:val="auto"/>
              </w:rPr>
            </w:pPr>
            <w:r>
              <w:rPr>
                <w:rFonts w:ascii="Arial" w:cs="Arial" w:eastAsia="Arial" w:hAnsi="Arial"/>
                <w:sz w:val="14"/>
                <w:szCs w:val="14"/>
                <w:color w:val="auto"/>
              </w:rPr>
              <w:t>Net income attributable to NetEase, Inc.</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20" w:type="dxa"/>
            <w:vAlign w:val="bottom"/>
          </w:tcPr>
          <w:p>
            <w:pPr>
              <w:ind w:left="180"/>
              <w:spacing w:after="0" w:line="147" w:lineRule="exact"/>
              <w:rPr>
                <w:sz w:val="20"/>
                <w:szCs w:val="20"/>
                <w:color w:val="auto"/>
              </w:rPr>
            </w:pPr>
            <w:r>
              <w:rPr>
                <w:rFonts w:ascii="Arial" w:cs="Arial" w:eastAsia="Arial" w:hAnsi="Arial"/>
                <w:sz w:val="14"/>
                <w:szCs w:val="14"/>
                <w:color w:val="auto"/>
              </w:rPr>
              <w:t>and noncontrolling interest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shareholders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6,400,505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76,912</w:t>
            </w:r>
          </w:p>
        </w:tc>
        <w:tc>
          <w:tcPr>
            <w:tcW w:w="1160" w:type="dxa"/>
            <w:vAlign w:val="bottom"/>
          </w:tcPr>
          <w:p>
            <w:pPr>
              <w:jc w:val="right"/>
              <w:spacing w:after="0"/>
              <w:rPr>
                <w:sz w:val="20"/>
                <w:szCs w:val="20"/>
                <w:color w:val="auto"/>
              </w:rPr>
            </w:pPr>
            <w:r>
              <w:rPr>
                <w:rFonts w:ascii="Arial" w:cs="Arial" w:eastAsia="Arial" w:hAnsi="Arial"/>
                <w:sz w:val="14"/>
                <w:szCs w:val="14"/>
                <w:color w:val="auto"/>
              </w:rPr>
              <w:t>6,477,417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4"/>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5"/>
              </w:rPr>
              <w:t>(114,908) (7,592,598)</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(7,592,598)</w:t>
            </w: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Cancellation of treasury stock</w:t>
            </w:r>
          </w:p>
        </w:tc>
        <w:tc>
          <w:tcPr>
            <w:tcW w:w="6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(114,908)</w:t>
            </w:r>
          </w:p>
        </w:tc>
        <w:tc>
          <w:tcPr>
            <w:tcW w:w="6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(77)</w:t>
            </w:r>
          </w:p>
        </w:tc>
        <w:tc>
          <w:tcPr>
            <w:tcW w:w="11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(4,151,218)</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114,908</w:t>
            </w: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w w:val="96"/>
              </w:rPr>
              <w:t>7,592,598</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w w:val="97"/>
              </w:rPr>
              <w:t>(3,441,303)</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w w:val="96"/>
              </w:rPr>
              <w:t>Repurchase of noncontrolling interest and</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redeemable noncontrolling interests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(223,243)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(131,143)</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(354,386)</w:t>
            </w:r>
          </w:p>
        </w:tc>
        <w:tc>
          <w:tcPr>
            <w:tcW w:w="0" w:type="dxa"/>
            <w:vAlign w:val="bottom"/>
          </w:tcPr>
          <w:p>
            <w:pPr>
              <w:spacing w:after="0"/>
              <w:rPr>
                <w:sz w:val="1"/>
                <w:szCs w:val="1"/>
                <w:color w:val="auto"/>
              </w:rPr>
            </w:pPr>
          </w:p>
        </w:tc>
      </w:tr>
      <w:tr>
        <w:trPr>
          <w:trHeight w:val="128"/>
        </w:trPr>
        <w:tc>
          <w:tcPr>
            <w:tcW w:w="2520" w:type="dxa"/>
            <w:vAlign w:val="bottom"/>
          </w:tcPr>
          <w:p>
            <w:pPr>
              <w:spacing w:after="0" w:line="128" w:lineRule="exact"/>
              <w:rPr>
                <w:sz w:val="20"/>
                <w:szCs w:val="20"/>
                <w:color w:val="auto"/>
              </w:rPr>
            </w:pPr>
            <w:r>
              <w:rPr>
                <w:rFonts w:ascii="Arial" w:cs="Arial" w:eastAsia="Arial" w:hAnsi="Arial"/>
                <w:sz w:val="14"/>
                <w:szCs w:val="14"/>
                <w:color w:val="auto"/>
              </w:rPr>
              <w:t>Capital injection in subsidiaries by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noncontrolling interest shareholders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15,510</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15,510</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Dividends to shareholders</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7"/>
              </w:rPr>
              <w:t>(1,440,194)</w:t>
            </w:r>
          </w:p>
        </w:tc>
        <w:tc>
          <w:tcPr>
            <w:tcW w:w="10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(1,440,194)</w:t>
            </w: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Arial" w:cs="Arial" w:eastAsia="Arial" w:hAnsi="Arial"/>
                <w:sz w:val="14"/>
                <w:szCs w:val="14"/>
                <w:color w:val="auto"/>
              </w:rPr>
              <w:t>Foreign currency translation adjustment</w:t>
            </w:r>
          </w:p>
        </w:tc>
        <w:tc>
          <w:tcPr>
            <w:tcW w:w="6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18,624</w:t>
            </w:r>
          </w:p>
        </w:tc>
        <w:tc>
          <w:tcPr>
            <w:tcW w:w="7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18,624</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Disposal of a subsidiary</w:t>
            </w:r>
          </w:p>
        </w:tc>
        <w:tc>
          <w:tcPr>
            <w:tcW w:w="6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(5,654)</w:t>
            </w:r>
          </w:p>
        </w:tc>
        <w:tc>
          <w:tcPr>
            <w:tcW w:w="12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(5,654)</w:t>
            </w:r>
          </w:p>
        </w:tc>
        <w:tc>
          <w:tcPr>
            <w:tcW w:w="0" w:type="dxa"/>
            <w:vAlign w:val="bottom"/>
          </w:tcPr>
          <w:p>
            <w:pPr>
              <w:spacing w:after="0"/>
              <w:rPr>
                <w:sz w:val="1"/>
                <w:szCs w:val="1"/>
                <w:color w:val="auto"/>
              </w:rPr>
            </w:pPr>
          </w:p>
        </w:tc>
      </w:tr>
      <w:tr>
        <w:trPr>
          <w:trHeight w:val="128"/>
        </w:trPr>
        <w:tc>
          <w:tcPr>
            <w:tcW w:w="2520" w:type="dxa"/>
            <w:vAlign w:val="bottom"/>
          </w:tcPr>
          <w:p>
            <w:pPr>
              <w:spacing w:after="0" w:line="128" w:lineRule="exact"/>
              <w:rPr>
                <w:sz w:val="20"/>
                <w:szCs w:val="20"/>
                <w:color w:val="auto"/>
              </w:rPr>
            </w:pPr>
            <w:r>
              <w:rPr>
                <w:rFonts w:ascii="Arial" w:cs="Arial" w:eastAsia="Arial" w:hAnsi="Arial"/>
                <w:sz w:val="14"/>
                <w:szCs w:val="14"/>
                <w:color w:val="auto"/>
              </w:rPr>
              <w:t>Accretion of redeemable noncontrolling</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(88,712)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(8,768)</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(97,480)</w:t>
            </w:r>
          </w:p>
        </w:tc>
        <w:tc>
          <w:tcPr>
            <w:tcW w:w="0" w:type="dxa"/>
            <w:vAlign w:val="bottom"/>
          </w:tcPr>
          <w:p>
            <w:pPr>
              <w:spacing w:after="0"/>
              <w:rPr>
                <w:sz w:val="1"/>
                <w:szCs w:val="1"/>
                <w:color w:val="auto"/>
              </w:rPr>
            </w:pPr>
          </w:p>
        </w:tc>
      </w:tr>
      <w:tr>
        <w:trPr>
          <w:trHeight w:val="140"/>
        </w:trPr>
        <w:tc>
          <w:tcPr>
            <w:tcW w:w="252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Balance as of December 31, 2018</w:t>
            </w:r>
          </w:p>
        </w:tc>
        <w:tc>
          <w:tcPr>
            <w:tcW w:w="5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89"/>
              </w:rPr>
              <w:t>3,199,018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2,620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400"/>
              <w:spacing w:after="0" w:line="140"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1,214,578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17,050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94"/>
              </w:rPr>
              <w:t>43,997,388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794,209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46,025,845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For the year ended December 31,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4980" w:type="dxa"/>
            <w:vAlign w:val="bottom"/>
          </w:tcPr>
          <w:p>
            <w:pPr>
              <w:spacing w:after="0"/>
              <w:rPr>
                <w:sz w:val="12"/>
                <w:szCs w:val="12"/>
                <w:color w:val="auto"/>
              </w:rPr>
            </w:pPr>
          </w:p>
        </w:tc>
        <w:tc>
          <w:tcPr>
            <w:tcW w:w="1380" w:type="dxa"/>
            <w:vAlign w:val="bottom"/>
            <w:tcBorders>
              <w:bottom w:val="single" w:sz="8" w:color="auto"/>
            </w:tcBorders>
          </w:tcPr>
          <w:p>
            <w:pPr>
              <w:jc w:val="right"/>
              <w:ind w:right="469"/>
              <w:spacing w:after="0" w:line="140"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69"/>
              <w:spacing w:after="0" w:line="140"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69"/>
              <w:spacing w:after="0" w:line="140"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r>
      <w:tr>
        <w:trPr>
          <w:trHeight w:val="117"/>
        </w:trPr>
        <w:tc>
          <w:tcPr>
            <w:tcW w:w="4980" w:type="dxa"/>
            <w:vAlign w:val="bottom"/>
          </w:tcPr>
          <w:p>
            <w:pPr>
              <w:spacing w:after="0"/>
              <w:rPr>
                <w:sz w:val="10"/>
                <w:szCs w:val="10"/>
                <w:color w:val="auto"/>
              </w:rPr>
            </w:pPr>
          </w:p>
        </w:tc>
        <w:tc>
          <w:tcPr>
            <w:tcW w:w="1380" w:type="dxa"/>
            <w:vAlign w:val="bottom"/>
          </w:tcPr>
          <w:p>
            <w:pPr>
              <w:jc w:val="right"/>
              <w:ind w:right="449"/>
              <w:spacing w:after="0" w:line="118"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49"/>
              <w:spacing w:after="0" w:line="118"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49"/>
              <w:spacing w:after="0" w:line="118"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r>
      <w:tr>
        <w:trPr>
          <w:trHeight w:val="169"/>
        </w:trPr>
        <w:tc>
          <w:tcPr>
            <w:tcW w:w="4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2(n)</w:t>
            </w:r>
          </w:p>
        </w:tc>
      </w:tr>
      <w:tr>
        <w:trPr>
          <w:trHeight w:val="147"/>
        </w:trPr>
        <w:tc>
          <w:tcPr>
            <w:tcW w:w="4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Cash flows from operating activities:</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4980" w:type="dxa"/>
            <w:vAlign w:val="bottom"/>
          </w:tcPr>
          <w:p>
            <w:pPr>
              <w:spacing w:after="0" w:line="147" w:lineRule="exact"/>
              <w:rPr>
                <w:sz w:val="20"/>
                <w:szCs w:val="20"/>
                <w:color w:val="auto"/>
              </w:rPr>
            </w:pPr>
            <w:r>
              <w:rPr>
                <w:rFonts w:ascii="Arial" w:cs="Arial" w:eastAsia="Arial" w:hAnsi="Arial"/>
                <w:sz w:val="14"/>
                <w:szCs w:val="14"/>
                <w:color w:val="auto"/>
              </w:rPr>
              <w:t>Net income</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11,792,863</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10,849,137</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6,477,417</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942,101</w:t>
            </w:r>
          </w:p>
        </w:tc>
      </w:tr>
      <w:tr>
        <w:trPr>
          <w:trHeight w:val="128"/>
        </w:trPr>
        <w:tc>
          <w:tcPr>
            <w:tcW w:w="4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Adjustments to reconcile net income to net cash provided by operating</w:t>
            </w:r>
          </w:p>
        </w:tc>
        <w:tc>
          <w:tcPr>
            <w:tcW w:w="1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5"/>
        </w:trPr>
        <w:tc>
          <w:tcPr>
            <w:tcW w:w="4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activities:</w:t>
            </w: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Depreciation and amortization</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327,515</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801,804</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2,083,501</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303,033</w:t>
            </w:r>
          </w:p>
        </w:tc>
      </w:tr>
      <w:tr>
        <w:trPr>
          <w:trHeight w:val="128"/>
        </w:trPr>
        <w:tc>
          <w:tcPr>
            <w:tcW w:w="4980" w:type="dxa"/>
            <w:vAlign w:val="bottom"/>
            <w:shd w:val="clear" w:color="auto" w:fill="CCEEFF"/>
          </w:tcPr>
          <w:p>
            <w:pPr>
              <w:ind w:left="360"/>
              <w:spacing w:after="0" w:line="128" w:lineRule="exact"/>
              <w:rPr>
                <w:sz w:val="20"/>
                <w:szCs w:val="20"/>
                <w:color w:val="auto"/>
              </w:rPr>
            </w:pPr>
            <w:r>
              <w:rPr>
                <w:rFonts w:ascii="Arial" w:cs="Arial" w:eastAsia="Arial" w:hAnsi="Arial"/>
                <w:sz w:val="14"/>
                <w:szCs w:val="14"/>
                <w:color w:val="auto"/>
              </w:rPr>
              <w:t>Fair value change of equity security investments and other financial</w:t>
            </w:r>
          </w:p>
        </w:tc>
        <w:tc>
          <w:tcPr>
            <w:tcW w:w="1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5"/>
        </w:trPr>
        <w:tc>
          <w:tcPr>
            <w:tcW w:w="4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instruments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248,169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36,095</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Investment impairment</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278,906</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58,537</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159,703</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23,228</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Share-based compensation cost</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990,131</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2,004,263</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2,529,650</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367,922</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Allowance for doubtful accounts</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9,952</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60,826</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50,954</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7,411</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Loss/(Gain) on disposal of property, equipment and software</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1,276</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5,072</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(1,385)</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(201)</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Unrealized exchange (gains)/losses</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(166,638)</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437,868</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39,427</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5,735</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Gain on disposal of long-term investments, business and subsidiaries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(234,050)</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(9,595)</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(213,339)</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(31,029)</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Deferred income taxes</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66,676</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(438,043)</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(69,899)</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(10,166)</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Net equity share of losses from equity method investees</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85,813</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12,232</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98,301</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14,297</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Fair value changes of short-term investments</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(304,605)</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(389,793)</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(463,600)</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(67,428)</w:t>
            </w:r>
          </w:p>
        </w:tc>
      </w:tr>
      <w:tr>
        <w:trPr>
          <w:trHeight w:val="147"/>
        </w:trPr>
        <w:tc>
          <w:tcPr>
            <w:tcW w:w="4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Changes in operating assets and liabilities:</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Accounts receivable</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(1,646,885)</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565,228</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(710,932)</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(103,401)</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Inventories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(760,365)</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(3,896,799)</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457,053</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66,476</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Prepayments and other current assets</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(1,063,997)</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(116,240)</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(722,711)</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(105,114)</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Accounts payable</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604,089</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1,100,787</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(85,195)</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(12,391)</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Salary and welfare payables</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570,466</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700,479</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806,401</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117,286</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Taxes payable</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986,390</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(155,904)</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693,639</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100,886</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Deferred revenue</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2,879,489</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(1,291,890)</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1,804,579</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262,465</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Accrued liabilities and other payables</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1,071,240</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1,591,269</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234,144</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34,055</w:t>
            </w:r>
          </w:p>
        </w:tc>
      </w:tr>
      <w:tr>
        <w:trPr>
          <w:trHeight w:val="140"/>
        </w:trPr>
        <w:tc>
          <w:tcPr>
            <w:tcW w:w="4980" w:type="dxa"/>
            <w:vAlign w:val="bottom"/>
            <w:tcBorders>
              <w:bottom w:val="single" w:sz="8" w:color="CCEEFF"/>
            </w:tcBorders>
          </w:tcPr>
          <w:p>
            <w:pPr>
              <w:ind w:left="180"/>
              <w:spacing w:after="0" w:line="140" w:lineRule="exact"/>
              <w:rPr>
                <w:sz w:val="20"/>
                <w:szCs w:val="20"/>
                <w:color w:val="auto"/>
              </w:rPr>
            </w:pPr>
            <w:r>
              <w:rPr>
                <w:rFonts w:ascii="Arial" w:cs="Arial" w:eastAsia="Arial" w:hAnsi="Arial"/>
                <w:sz w:val="14"/>
                <w:szCs w:val="14"/>
                <w:color w:val="auto"/>
              </w:rPr>
              <w:t>Net cash provided by operating activities</w:t>
            </w:r>
          </w:p>
        </w:tc>
        <w:tc>
          <w:tcPr>
            <w:tcW w:w="13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15,488,266</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11,889,238</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13,415,877</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1,951,260</w:t>
            </w:r>
          </w:p>
        </w:tc>
        <w:tc>
          <w:tcPr>
            <w:tcW w:w="100" w:type="dxa"/>
            <w:vAlign w:val="bottom"/>
            <w:tcBorders>
              <w:bottom w:val="single" w:sz="8" w:color="CCEEFF"/>
            </w:tcBorders>
          </w:tcPr>
          <w:p>
            <w:pPr>
              <w:spacing w:after="0"/>
              <w:rPr>
                <w:sz w:val="12"/>
                <w:szCs w:val="12"/>
                <w:color w:val="auto"/>
              </w:rPr>
            </w:pPr>
          </w:p>
        </w:tc>
      </w:tr>
      <w:tr>
        <w:trPr>
          <w:trHeight w:val="140"/>
        </w:trPr>
        <w:tc>
          <w:tcPr>
            <w:tcW w:w="49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498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from investing activities:</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Purchase of property, equipment and software</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(1,135,533)</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(1,842,933)</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(2,528,149)</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(367,704)</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Proceeds from sale of property, equipment and software</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2,064</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4,425</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6,691</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973</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Purchase of intangible assets and licensed copyrights of music content</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(4,434)</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(674,803)</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(1,349,905)</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(196,336)</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Purchase of land use right</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(60)</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(6,488)</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(3,007,959)</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(437,489)</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Net change of short-term investments with terms of three months or less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(3,704,332)</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(895,298)</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(1,172,326)</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(170,508)</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Purchase of short-term investments</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(12,439,000)</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(12,491,000)</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(13,423,000)</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(1,952,294)</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Proceeds from maturities of short-term investments</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9,879,319</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15,615,544</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13,101,476</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1,905,531</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Investment in equity method investees</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(364,486)</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(235,769)</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(272,451)</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(39,626)</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Acquisitions of other equity investments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(181,117)</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(900,712)</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(2,751,040)</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(400,123)</w:t>
            </w:r>
          </w:p>
        </w:tc>
      </w:tr>
      <w:tr>
        <w:trPr>
          <w:trHeight w:val="128"/>
        </w:trPr>
        <w:tc>
          <w:tcPr>
            <w:tcW w:w="4980" w:type="dxa"/>
            <w:vAlign w:val="bottom"/>
          </w:tcPr>
          <w:p>
            <w:pPr>
              <w:ind w:left="360"/>
              <w:spacing w:after="0" w:line="128" w:lineRule="exact"/>
              <w:rPr>
                <w:sz w:val="20"/>
                <w:szCs w:val="20"/>
                <w:color w:val="auto"/>
              </w:rPr>
            </w:pPr>
            <w:r>
              <w:rPr>
                <w:rFonts w:ascii="Arial" w:cs="Arial" w:eastAsia="Arial" w:hAnsi="Arial"/>
                <w:sz w:val="14"/>
                <w:szCs w:val="14"/>
                <w:color w:val="auto"/>
                <w:w w:val="98"/>
              </w:rPr>
              <w:t>Proceeds from disposal of investment in equity method investees and other</w:t>
            </w: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4980" w:type="dxa"/>
            <w:vAlign w:val="bottom"/>
          </w:tcPr>
          <w:p>
            <w:pPr>
              <w:ind w:left="540"/>
              <w:spacing w:after="0"/>
              <w:rPr>
                <w:sz w:val="20"/>
                <w:szCs w:val="20"/>
                <w:color w:val="auto"/>
              </w:rPr>
            </w:pPr>
            <w:r>
              <w:rPr>
                <w:rFonts w:ascii="Arial" w:cs="Arial" w:eastAsia="Arial" w:hAnsi="Arial"/>
                <w:sz w:val="14"/>
                <w:szCs w:val="14"/>
                <w:color w:val="auto"/>
              </w:rPr>
              <w:t>equity investments</w:t>
            </w:r>
          </w:p>
        </w:tc>
        <w:tc>
          <w:tcPr>
            <w:tcW w:w="1680" w:type="dxa"/>
            <w:vAlign w:val="bottom"/>
            <w:gridSpan w:val="2"/>
          </w:tcPr>
          <w:p>
            <w:pPr>
              <w:jc w:val="right"/>
              <w:ind w:right="300"/>
              <w:spacing w:after="0"/>
              <w:rPr>
                <w:sz w:val="20"/>
                <w:szCs w:val="20"/>
                <w:color w:val="auto"/>
              </w:rPr>
            </w:pPr>
            <w:r>
              <w:rPr>
                <w:rFonts w:ascii="Arial" w:cs="Arial" w:eastAsia="Arial" w:hAnsi="Arial"/>
                <w:sz w:val="14"/>
                <w:szCs w:val="14"/>
                <w:color w:val="auto"/>
              </w:rPr>
              <w:t>249,569</w:t>
            </w:r>
          </w:p>
        </w:tc>
        <w:tc>
          <w:tcPr>
            <w:tcW w:w="1660" w:type="dxa"/>
            <w:vAlign w:val="bottom"/>
            <w:gridSpan w:val="2"/>
          </w:tcPr>
          <w:p>
            <w:pPr>
              <w:jc w:val="right"/>
              <w:ind w:right="300"/>
              <w:spacing w:after="0"/>
              <w:rPr>
                <w:sz w:val="20"/>
                <w:szCs w:val="20"/>
                <w:color w:val="auto"/>
              </w:rPr>
            </w:pPr>
            <w:r>
              <w:rPr>
                <w:rFonts w:ascii="Arial" w:cs="Arial" w:eastAsia="Arial" w:hAnsi="Arial"/>
                <w:sz w:val="14"/>
                <w:szCs w:val="14"/>
                <w:color w:val="auto"/>
              </w:rPr>
              <w:t>350,418</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Placement/rollover of time deposits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(20,367,430)</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(33,984,148)</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(41,553,428)</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(6,043,695)</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Proceeds from maturity of time deposits</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16,377,449</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22,429,597</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39,924,525</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5,806,781</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Change in other long-term assets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(173,402)</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(224,103)</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(543,949)</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(79,114)</w:t>
            </w:r>
          </w:p>
        </w:tc>
      </w:tr>
      <w:tr>
        <w:trPr>
          <w:trHeight w:val="140"/>
        </w:trPr>
        <w:tc>
          <w:tcPr>
            <w:tcW w:w="4980" w:type="dxa"/>
            <w:vAlign w:val="bottom"/>
            <w:tcBorders>
              <w:bottom w:val="single" w:sz="8" w:color="CCEEFF"/>
            </w:tcBorders>
          </w:tcPr>
          <w:p>
            <w:pPr>
              <w:ind w:left="180"/>
              <w:spacing w:after="0" w:line="140" w:lineRule="exact"/>
              <w:rPr>
                <w:sz w:val="20"/>
                <w:szCs w:val="20"/>
                <w:color w:val="auto"/>
              </w:rPr>
            </w:pPr>
            <w:r>
              <w:rPr>
                <w:rFonts w:ascii="Arial" w:cs="Arial" w:eastAsia="Arial" w:hAnsi="Arial"/>
                <w:sz w:val="14"/>
                <w:szCs w:val="14"/>
                <w:color w:val="auto"/>
              </w:rPr>
              <w:t>Net cash used in investing activities</w:t>
            </w:r>
          </w:p>
        </w:tc>
        <w:tc>
          <w:tcPr>
            <w:tcW w:w="13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(11,861,393)</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(12,855,270)</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(13,569,515)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(1,973,604)</w:t>
            </w:r>
          </w:p>
        </w:tc>
        <w:tc>
          <w:tcPr>
            <w:tcW w:w="100" w:type="dxa"/>
            <w:vAlign w:val="bottom"/>
            <w:tcBorders>
              <w:bottom w:val="single" w:sz="8" w:color="CCEEFF"/>
            </w:tcBorders>
          </w:tcPr>
          <w:p>
            <w:pPr>
              <w:spacing w:after="0"/>
              <w:rPr>
                <w:sz w:val="12"/>
                <w:szCs w:val="12"/>
                <w:color w:val="auto"/>
              </w:rPr>
            </w:pPr>
          </w:p>
        </w:tc>
      </w:tr>
      <w:tr>
        <w:trPr>
          <w:trHeight w:val="127"/>
        </w:trPr>
        <w:tc>
          <w:tcPr>
            <w:tcW w:w="4980" w:type="dxa"/>
            <w:vAlign w:val="bottom"/>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Cash flows from financing activities:</w:t>
            </w:r>
          </w:p>
        </w:tc>
        <w:tc>
          <w:tcPr>
            <w:tcW w:w="1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Net proceeds from short-term loan with terms of three months or less</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1,494,756</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3,095,465</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6,194,113</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900,896</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Proceeds of short-term loan</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9,505</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34,256</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4,982</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Repayment of short-term loan</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(18,761)</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(2,728)</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Dividends paid to shareholders</w:t>
            </w:r>
          </w:p>
        </w:tc>
        <w:tc>
          <w:tcPr>
            <w:tcW w:w="16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(2,546,165)</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(3,257,607)</w:t>
            </w:r>
          </w:p>
        </w:tc>
        <w:tc>
          <w:tcPr>
            <w:tcW w:w="16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(1,440,194)</w:t>
            </w:r>
          </w:p>
        </w:tc>
        <w:tc>
          <w:tcPr>
            <w:tcW w:w="14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(209,468)</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Repurchase of redeemable noncontrolling interests</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(780,000)</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(113,446)</w:t>
            </w:r>
          </w:p>
        </w:tc>
      </w:tr>
      <w:tr>
        <w:trPr>
          <w:trHeight w:val="128"/>
        </w:trPr>
        <w:tc>
          <w:tcPr>
            <w:tcW w:w="4980" w:type="dxa"/>
            <w:vAlign w:val="bottom"/>
            <w:shd w:val="clear" w:color="auto" w:fill="CCEEFF"/>
          </w:tcPr>
          <w:p>
            <w:pPr>
              <w:ind w:left="360"/>
              <w:spacing w:after="0" w:line="128" w:lineRule="exact"/>
              <w:rPr>
                <w:sz w:val="20"/>
                <w:szCs w:val="20"/>
                <w:color w:val="auto"/>
              </w:rPr>
            </w:pPr>
            <w:r>
              <w:rPr>
                <w:rFonts w:ascii="Arial" w:cs="Arial" w:eastAsia="Arial" w:hAnsi="Arial"/>
                <w:sz w:val="14"/>
                <w:szCs w:val="14"/>
                <w:color w:val="auto"/>
                <w:w w:val="97"/>
              </w:rPr>
              <w:t>Proceeds from issuance of redeemable noncontrolling interest shareholders,</w:t>
            </w:r>
          </w:p>
        </w:tc>
        <w:tc>
          <w:tcPr>
            <w:tcW w:w="1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5"/>
        </w:trPr>
        <w:tc>
          <w:tcPr>
            <w:tcW w:w="4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of issuance cost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600,000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5,294,174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770,006</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Repurchase of noncontrolling interest</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(195,000)</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(28,362)</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Capital injection from noncontrolling interest shareholders</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4</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311,500</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15,510</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2,256</w:t>
            </w: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Repurchase of shares</w:t>
            </w:r>
          </w:p>
        </w:tc>
        <w:tc>
          <w:tcPr>
            <w:tcW w:w="16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(1,199,102)</w:t>
            </w:r>
          </w:p>
        </w:tc>
        <w:tc>
          <w:tcPr>
            <w:tcW w:w="16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(2,061,591)</w:t>
            </w:r>
          </w:p>
        </w:tc>
        <w:tc>
          <w:tcPr>
            <w:tcW w:w="16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(7,516,679)</w:t>
            </w:r>
          </w:p>
        </w:tc>
        <w:tc>
          <w:tcPr>
            <w:tcW w:w="14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(1,093,256)</w:t>
            </w:r>
          </w:p>
        </w:tc>
      </w:tr>
      <w:tr>
        <w:trPr>
          <w:trHeight w:val="140"/>
        </w:trPr>
        <w:tc>
          <w:tcPr>
            <w:tcW w:w="4980" w:type="dxa"/>
            <w:vAlign w:val="bottom"/>
            <w:tcBorders>
              <w:top w:val="single" w:sz="8" w:color="CCEEFF"/>
            </w:tcBorders>
            <w:shd w:val="clear" w:color="auto" w:fill="CCEEFF"/>
          </w:tcPr>
          <w:p>
            <w:pPr>
              <w:ind w:left="180"/>
              <w:spacing w:after="0" w:line="140" w:lineRule="exact"/>
              <w:rPr>
                <w:sz w:val="20"/>
                <w:szCs w:val="20"/>
                <w:color w:val="auto"/>
              </w:rPr>
            </w:pPr>
            <w:r>
              <w:rPr>
                <w:rFonts w:ascii="Arial" w:cs="Arial" w:eastAsia="Arial" w:hAnsi="Arial"/>
                <w:sz w:val="14"/>
                <w:szCs w:val="14"/>
                <w:color w:val="auto"/>
              </w:rPr>
              <w:t>Net cash (used in)/provided by financing activities</w:t>
            </w:r>
          </w:p>
        </w:tc>
        <w:tc>
          <w:tcPr>
            <w:tcW w:w="13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(2,250,507)</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(1,302,728)</w:t>
            </w:r>
          </w:p>
        </w:tc>
        <w:tc>
          <w:tcPr>
            <w:tcW w:w="3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1,587,419</w:t>
            </w:r>
          </w:p>
        </w:tc>
        <w:tc>
          <w:tcPr>
            <w:tcW w:w="2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230,880</w:t>
            </w:r>
          </w:p>
        </w:tc>
        <w:tc>
          <w:tcPr>
            <w:tcW w:w="100" w:type="dxa"/>
            <w:vAlign w:val="bottom"/>
            <w:tcBorders>
              <w:top w:val="single" w:sz="8" w:color="CCEEFF"/>
            </w:tcBorders>
            <w:shd w:val="clear" w:color="auto" w:fill="CCEEFF"/>
          </w:tcPr>
          <w:p>
            <w:pPr>
              <w:spacing w:after="0"/>
              <w:rPr>
                <w:sz w:val="12"/>
                <w:szCs w:val="12"/>
                <w:color w:val="auto"/>
              </w:rPr>
            </w:pPr>
          </w:p>
        </w:tc>
      </w:tr>
      <w:tr>
        <w:trPr>
          <w:trHeight w:val="140"/>
        </w:trPr>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4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Effect of exchange rate changes on cash held in foreign currencies</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132,285</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(12,766)</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81,511</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11,855</w:t>
            </w:r>
          </w:p>
        </w:tc>
      </w:tr>
      <w:tr>
        <w:trPr>
          <w:trHeight w:val="147"/>
        </w:trPr>
        <w:tc>
          <w:tcPr>
            <w:tcW w:w="4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4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Net increase/(decrease) in cash, cash equivalents and restricted cash</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1,508,651</w:t>
            </w:r>
          </w:p>
        </w:tc>
        <w:tc>
          <w:tcPr>
            <w:tcW w:w="16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(2,281,526)</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1,515,292</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220,391</w:t>
            </w:r>
          </w:p>
        </w:tc>
      </w:tr>
      <w:tr>
        <w:trPr>
          <w:trHeight w:val="147"/>
        </w:trPr>
        <w:tc>
          <w:tcPr>
            <w:tcW w:w="4980" w:type="dxa"/>
            <w:vAlign w:val="bottom"/>
          </w:tcPr>
          <w:p>
            <w:pPr>
              <w:spacing w:after="0" w:line="147" w:lineRule="exact"/>
              <w:rPr>
                <w:sz w:val="20"/>
                <w:szCs w:val="20"/>
                <w:color w:val="auto"/>
              </w:rPr>
            </w:pPr>
            <w:r>
              <w:rPr>
                <w:rFonts w:ascii="Arial" w:cs="Arial" w:eastAsia="Arial" w:hAnsi="Arial"/>
                <w:sz w:val="14"/>
                <w:szCs w:val="14"/>
                <w:b w:val="1"/>
                <w:bCs w:val="1"/>
                <w:color w:val="auto"/>
              </w:rPr>
              <w:t>Cash, cash equivalents and restricted cash, beginning of the year</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9,464,121</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10,972,772</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8,691,246</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1,264,089</w:t>
            </w:r>
          </w:p>
        </w:tc>
      </w:tr>
      <w:tr>
        <w:trPr>
          <w:trHeight w:val="140"/>
        </w:trPr>
        <w:tc>
          <w:tcPr>
            <w:tcW w:w="498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Cash, cash equivalents and restricted cash, end of the year</w:t>
            </w:r>
          </w:p>
        </w:tc>
        <w:tc>
          <w:tcPr>
            <w:tcW w:w="13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10,972,772</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8,691,246</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10,206,538</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1,484,480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6"/>
        </w:trPr>
        <w:tc>
          <w:tcPr>
            <w:tcW w:w="49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7"/>
        </w:trPr>
        <w:tc>
          <w:tcPr>
            <w:tcW w:w="4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4980" w:type="dxa"/>
            <w:vAlign w:val="bottom"/>
          </w:tcPr>
          <w:p>
            <w:pPr>
              <w:ind w:left="360"/>
              <w:spacing w:after="0" w:line="147" w:lineRule="exact"/>
              <w:rPr>
                <w:sz w:val="20"/>
                <w:szCs w:val="20"/>
                <w:color w:val="auto"/>
              </w:rPr>
            </w:pPr>
            <w:r>
              <w:rPr>
                <w:rFonts w:ascii="Arial" w:cs="Arial" w:eastAsia="Arial" w:hAnsi="Arial"/>
                <w:sz w:val="14"/>
                <w:szCs w:val="14"/>
                <w:color w:val="auto"/>
              </w:rPr>
              <w:t>Cash paid for income taxes, net of tax refund</w:t>
            </w:r>
          </w:p>
        </w:tc>
        <w:tc>
          <w:tcPr>
            <w:tcW w:w="16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1,097,178</w:t>
            </w:r>
          </w:p>
        </w:tc>
        <w:tc>
          <w:tcPr>
            <w:tcW w:w="16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2,712,875</w:t>
            </w:r>
          </w:p>
        </w:tc>
        <w:tc>
          <w:tcPr>
            <w:tcW w:w="16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2,006,657</w:t>
            </w:r>
          </w:p>
        </w:tc>
        <w:tc>
          <w:tcPr>
            <w:tcW w:w="14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291,856</w:t>
            </w: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Cash paid for interest expenses</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31,171</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84,708</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301,761</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43,889</w:t>
            </w:r>
          </w:p>
        </w:tc>
      </w:tr>
      <w:tr>
        <w:trPr>
          <w:trHeight w:val="147"/>
        </w:trPr>
        <w:tc>
          <w:tcPr>
            <w:tcW w:w="4980" w:type="dxa"/>
            <w:vAlign w:val="bottom"/>
          </w:tcPr>
          <w:p>
            <w:pPr>
              <w:spacing w:after="0" w:line="147"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4980" w:type="dxa"/>
            <w:vAlign w:val="bottom"/>
            <w:shd w:val="clear" w:color="auto" w:fill="CCEEFF"/>
          </w:tcPr>
          <w:p>
            <w:pPr>
              <w:ind w:left="360"/>
              <w:spacing w:after="0" w:line="147" w:lineRule="exact"/>
              <w:rPr>
                <w:sz w:val="20"/>
                <w:szCs w:val="20"/>
                <w:color w:val="auto"/>
              </w:rPr>
            </w:pPr>
            <w:r>
              <w:rPr>
                <w:rFonts w:ascii="Arial" w:cs="Arial" w:eastAsia="Arial" w:hAnsi="Arial"/>
                <w:sz w:val="14"/>
                <w:szCs w:val="14"/>
                <w:color w:val="auto"/>
              </w:rPr>
              <w:t>Fixed asset purchases financed by accounts payable</w:t>
            </w:r>
          </w:p>
        </w:tc>
        <w:tc>
          <w:tcPr>
            <w:tcW w:w="16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260,277</w:t>
            </w:r>
          </w:p>
        </w:tc>
        <w:tc>
          <w:tcPr>
            <w:tcW w:w="16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293,194</w:t>
            </w:r>
          </w:p>
        </w:tc>
        <w:tc>
          <w:tcPr>
            <w:tcW w:w="16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409,222</w:t>
            </w:r>
          </w:p>
        </w:tc>
        <w:tc>
          <w:tcPr>
            <w:tcW w:w="14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59,519</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Renminbi (“RMB”), unless otherwise stated)</w:t>
      </w:r>
    </w:p>
    <w:p>
      <w:pPr>
        <w:spacing w:after="0" w:line="202" w:lineRule="exact"/>
        <w:rPr>
          <w:sz w:val="20"/>
          <w:szCs w:val="20"/>
          <w:color w:val="auto"/>
        </w:rPr>
      </w:pPr>
    </w:p>
    <w:p>
      <w:pPr>
        <w:ind w:left="380" w:hanging="373"/>
        <w:spacing w:after="0"/>
        <w:tabs>
          <w:tab w:leader="none" w:pos="3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The Group</w:t>
      </w:r>
    </w:p>
    <w:p>
      <w:pPr>
        <w:spacing w:after="0" w:line="22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NetEase.com, Inc. was incorporated in the Cayman Islands on July 6, 1999 and changed its name to “NetEase, Inc.” (“the Company”) with effect from March 29, 2012. The Company has been listed on the Nasdaq National Market (now the Nasdaq Global Select Market) in the United States of America since July 2000. As of December 31, 2018, the Company has wholly-owned and majority-owned subsidiaries incorporated in countries and jurisdictions mainly in the People’s Republic of China (“PRC”), Hong Kong, Cayman Islands and British Virgin Islands (“BVI”). The Company also effectively controls a number of variable interest entities (“VIEs”) for which the Company is the primary beneficiary. The Company, its subsidiaries and VIEs are hereinafter collectively referred to as the “Group”. The major subsidiaries and VIEs through which the Company conducts its business operations as of December 31, 2018 are described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Subsidiaries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Place and year of</w:t>
            </w:r>
          </w:p>
        </w:tc>
        <w:tc>
          <w:tcPr>
            <w:tcW w:w="0" w:type="dxa"/>
            <w:vAlign w:val="bottom"/>
          </w:tcPr>
          <w:p>
            <w:pPr>
              <w:spacing w:after="0"/>
              <w:rPr>
                <w:sz w:val="1"/>
                <w:szCs w:val="1"/>
                <w:color w:val="auto"/>
              </w:rPr>
            </w:pPr>
          </w:p>
        </w:tc>
      </w:tr>
      <w:tr>
        <w:trPr>
          <w:trHeight w:val="169"/>
        </w:trPr>
        <w:tc>
          <w:tcPr>
            <w:tcW w:w="8580" w:type="dxa"/>
            <w:vAlign w:val="bottom"/>
            <w:gridSpan w:val="2"/>
            <w:vMerge w:val="continue"/>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0" w:type="dxa"/>
            <w:vAlign w:val="bottom"/>
          </w:tcPr>
          <w:p>
            <w:pPr>
              <w:spacing w:after="0"/>
              <w:rPr>
                <w:sz w:val="1"/>
                <w:szCs w:val="1"/>
                <w:color w:val="auto"/>
              </w:rPr>
            </w:pPr>
          </w:p>
        </w:tc>
      </w:tr>
      <w:tr>
        <w:trPr>
          <w:trHeight w:val="206"/>
        </w:trPr>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 (“NetEase Beijing”)</w:t>
            </w:r>
          </w:p>
        </w:tc>
        <w:tc>
          <w:tcPr>
            <w:tcW w:w="2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Beijing, China 1999</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8"/>
                <w:szCs w:val="18"/>
                <w:color w:val="auto"/>
              </w:rPr>
              <w:t>Guangzhou Boguan Telecommunication Technology Co., Ltd. (“Boguan”)</w:t>
            </w:r>
          </w:p>
        </w:tc>
        <w:tc>
          <w:tcPr>
            <w:tcW w:w="2840" w:type="dxa"/>
            <w:vAlign w:val="bottom"/>
          </w:tcPr>
          <w:p>
            <w:pPr>
              <w:jc w:val="center"/>
              <w:spacing w:after="0"/>
              <w:rPr>
                <w:sz w:val="20"/>
                <w:szCs w:val="20"/>
                <w:color w:val="auto"/>
              </w:rPr>
            </w:pPr>
            <w:r>
              <w:rPr>
                <w:rFonts w:ascii="Arial" w:cs="Arial" w:eastAsia="Arial" w:hAnsi="Arial"/>
                <w:sz w:val="18"/>
                <w:szCs w:val="18"/>
                <w:color w:val="auto"/>
                <w:w w:val="88"/>
              </w:rPr>
              <w:t>Guangzhou, China 2003</w:t>
            </w:r>
          </w:p>
        </w:tc>
        <w:tc>
          <w:tcPr>
            <w:tcW w:w="0" w:type="dxa"/>
            <w:vAlign w:val="bottom"/>
          </w:tcPr>
          <w:p>
            <w:pPr>
              <w:spacing w:after="0"/>
              <w:rPr>
                <w:sz w:val="1"/>
                <w:szCs w:val="1"/>
                <w:color w:val="auto"/>
              </w:rPr>
            </w:pPr>
          </w:p>
        </w:tc>
      </w:tr>
      <w:tr>
        <w:trPr>
          <w:trHeight w:val="213"/>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 (“Youdao Information”)</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Beijing, China 2006</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8"/>
                <w:szCs w:val="18"/>
                <w:color w:val="auto"/>
              </w:rPr>
              <w:t>NetEase (Hangzhou) Network Co., Ltd. (“NetEase Hangzhou”)</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Hangzhou, China 2006</w:t>
            </w:r>
          </w:p>
        </w:tc>
        <w:tc>
          <w:tcPr>
            <w:tcW w:w="0" w:type="dxa"/>
            <w:vAlign w:val="bottom"/>
          </w:tcPr>
          <w:p>
            <w:pPr>
              <w:spacing w:after="0"/>
              <w:rPr>
                <w:sz w:val="1"/>
                <w:szCs w:val="1"/>
                <w:color w:val="auto"/>
              </w:rPr>
            </w:pPr>
          </w:p>
        </w:tc>
      </w:tr>
      <w:tr>
        <w:trPr>
          <w:trHeight w:val="213"/>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Langhe Technology Co., Ltd. (“Hangzhou Langhe”)</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Hangzhou, China 2009</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8"/>
                <w:szCs w:val="18"/>
                <w:color w:val="auto"/>
              </w:rPr>
              <w:t>NetEase Media Technology (Beijing) Co., Ltd. (“Media Beijing”)</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Beijing, China 2012</w:t>
            </w:r>
          </w:p>
        </w:tc>
        <w:tc>
          <w:tcPr>
            <w:tcW w:w="0" w:type="dxa"/>
            <w:vAlign w:val="bottom"/>
          </w:tcPr>
          <w:p>
            <w:pPr>
              <w:spacing w:after="0"/>
              <w:rPr>
                <w:sz w:val="1"/>
                <w:szCs w:val="1"/>
                <w:color w:val="auto"/>
              </w:rPr>
            </w:pPr>
          </w:p>
        </w:tc>
      </w:tr>
      <w:tr>
        <w:trPr>
          <w:trHeight w:val="213"/>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HQG, Limited (“HQG”)</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Hong Kong, China 2014</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8"/>
                <w:szCs w:val="18"/>
                <w:color w:val="auto"/>
              </w:rPr>
              <w:t>Hangzhou Youmai Technology Co., Ltd. (“Hangzhou Youmai”)</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Hangzhou, China 2014</w:t>
            </w:r>
          </w:p>
        </w:tc>
        <w:tc>
          <w:tcPr>
            <w:tcW w:w="0" w:type="dxa"/>
            <w:vAlign w:val="bottom"/>
          </w:tcPr>
          <w:p>
            <w:pPr>
              <w:spacing w:after="0"/>
              <w:rPr>
                <w:sz w:val="1"/>
                <w:szCs w:val="1"/>
                <w:color w:val="auto"/>
              </w:rPr>
            </w:pPr>
          </w:p>
        </w:tc>
      </w:tr>
      <w:tr>
        <w:trPr>
          <w:trHeight w:val="213"/>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 Wang Zhi Yi Innovation and Technology Co., Ltd. (“Tianjin Technology”)</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Tianjin, China 2015</w:t>
            </w:r>
          </w:p>
        </w:tc>
        <w:tc>
          <w:tcPr>
            <w:tcW w:w="0" w:type="dxa"/>
            <w:vAlign w:val="bottom"/>
          </w:tcPr>
          <w:p>
            <w:pPr>
              <w:spacing w:after="0"/>
              <w:rPr>
                <w:sz w:val="1"/>
                <w:szCs w:val="1"/>
                <w:color w:val="auto"/>
              </w:rPr>
            </w:pPr>
          </w:p>
        </w:tc>
      </w:tr>
      <w:tr>
        <w:trPr>
          <w:trHeight w:val="224"/>
        </w:trPr>
        <w:tc>
          <w:tcPr>
            <w:tcW w:w="8580" w:type="dxa"/>
            <w:vAlign w:val="bottom"/>
            <w:gridSpan w:val="2"/>
          </w:tcPr>
          <w:p>
            <w:pPr>
              <w:spacing w:after="0"/>
              <w:rPr>
                <w:sz w:val="20"/>
                <w:szCs w:val="20"/>
                <w:color w:val="auto"/>
              </w:rPr>
            </w:pPr>
            <w:r>
              <w:rPr>
                <w:rFonts w:ascii="Arial" w:cs="Arial" w:eastAsia="Arial" w:hAnsi="Arial"/>
                <w:sz w:val="18"/>
                <w:szCs w:val="18"/>
                <w:color w:val="auto"/>
              </w:rPr>
              <w:t>Hangzhou Netease Yanxuan Trading Co., Ltd. (“Hangzhou Yanxuan”)</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Hangzhou, China 2016</w:t>
            </w:r>
          </w:p>
        </w:tc>
        <w:tc>
          <w:tcPr>
            <w:tcW w:w="0" w:type="dxa"/>
            <w:vAlign w:val="bottom"/>
          </w:tcPr>
          <w:p>
            <w:pPr>
              <w:spacing w:after="0"/>
              <w:rPr>
                <w:sz w:val="1"/>
                <w:szCs w:val="1"/>
                <w:color w:val="auto"/>
              </w:rPr>
            </w:pPr>
          </w:p>
        </w:tc>
      </w:tr>
      <w:tr>
        <w:trPr>
          <w:trHeight w:val="326"/>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VIEs and VIEs’ subsidiaries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Place and year of</w:t>
            </w:r>
          </w:p>
        </w:tc>
        <w:tc>
          <w:tcPr>
            <w:tcW w:w="0" w:type="dxa"/>
            <w:vAlign w:val="bottom"/>
          </w:tcPr>
          <w:p>
            <w:pPr>
              <w:spacing w:after="0"/>
              <w:rPr>
                <w:sz w:val="1"/>
                <w:szCs w:val="1"/>
                <w:color w:val="auto"/>
              </w:rPr>
            </w:pPr>
          </w:p>
        </w:tc>
      </w:tr>
      <w:tr>
        <w:trPr>
          <w:trHeight w:val="169"/>
        </w:trPr>
        <w:tc>
          <w:tcPr>
            <w:tcW w:w="8580" w:type="dxa"/>
            <w:vAlign w:val="bottom"/>
            <w:gridSpan w:val="2"/>
            <w:vMerge w:val="continue"/>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0" w:type="dxa"/>
            <w:vAlign w:val="bottom"/>
          </w:tcPr>
          <w:p>
            <w:pPr>
              <w:spacing w:after="0"/>
              <w:rPr>
                <w:sz w:val="1"/>
                <w:szCs w:val="1"/>
                <w:color w:val="auto"/>
              </w:rPr>
            </w:pPr>
          </w:p>
        </w:tc>
      </w:tr>
      <w:tr>
        <w:trPr>
          <w:trHeight w:val="206"/>
        </w:trPr>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 (“Guangzhou NetEase”)</w:t>
            </w:r>
          </w:p>
        </w:tc>
        <w:tc>
          <w:tcPr>
            <w:tcW w:w="2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Guangzhou, China 1997</w:t>
            </w:r>
          </w:p>
        </w:tc>
        <w:tc>
          <w:tcPr>
            <w:tcW w:w="0" w:type="dxa"/>
            <w:vAlign w:val="bottom"/>
          </w:tcPr>
          <w:p>
            <w:pPr>
              <w:spacing w:after="0"/>
              <w:rPr>
                <w:sz w:val="1"/>
                <w:szCs w:val="1"/>
                <w:color w:val="auto"/>
              </w:rPr>
            </w:pPr>
          </w:p>
        </w:tc>
      </w:tr>
      <w:tr>
        <w:trPr>
          <w:trHeight w:val="201"/>
        </w:trPr>
        <w:tc>
          <w:tcPr>
            <w:tcW w:w="8580" w:type="dxa"/>
            <w:vAlign w:val="bottom"/>
            <w:gridSpan w:val="2"/>
          </w:tcPr>
          <w:p>
            <w:pPr>
              <w:spacing w:after="0" w:line="201" w:lineRule="exact"/>
              <w:rPr>
                <w:sz w:val="20"/>
                <w:szCs w:val="20"/>
                <w:color w:val="auto"/>
              </w:rPr>
            </w:pPr>
            <w:r>
              <w:rPr>
                <w:rFonts w:ascii="Arial" w:cs="Arial" w:eastAsia="Arial" w:hAnsi="Arial"/>
                <w:sz w:val="18"/>
                <w:szCs w:val="18"/>
                <w:color w:val="auto"/>
              </w:rPr>
              <w:t>Beijing NetEase Media Co., Ltd. (previously named “Beijing Guangyitong Advertising Co., Ltd.”) (“NetEase</w:t>
            </w:r>
          </w:p>
        </w:tc>
        <w:tc>
          <w:tcPr>
            <w:tcW w:w="2840" w:type="dxa"/>
            <w:vAlign w:val="bottom"/>
          </w:tcPr>
          <w:p>
            <w:pPr>
              <w:jc w:val="center"/>
              <w:spacing w:after="0" w:line="201" w:lineRule="exact"/>
              <w:rPr>
                <w:sz w:val="20"/>
                <w:szCs w:val="20"/>
                <w:color w:val="auto"/>
              </w:rPr>
            </w:pPr>
            <w:r>
              <w:rPr>
                <w:rFonts w:ascii="Arial" w:cs="Arial" w:eastAsia="Arial" w:hAnsi="Arial"/>
                <w:sz w:val="18"/>
                <w:szCs w:val="18"/>
                <w:color w:val="auto"/>
                <w:w w:val="92"/>
              </w:rPr>
              <w:t>Beijing, China 1999</w:t>
            </w:r>
          </w:p>
        </w:tc>
        <w:tc>
          <w:tcPr>
            <w:tcW w:w="0" w:type="dxa"/>
            <w:vAlign w:val="bottom"/>
          </w:tcPr>
          <w:p>
            <w:pPr>
              <w:spacing w:after="0"/>
              <w:rPr>
                <w:sz w:val="1"/>
                <w:szCs w:val="1"/>
                <w:color w:val="auto"/>
              </w:rPr>
            </w:pPr>
          </w:p>
        </w:tc>
      </w:tr>
      <w:tr>
        <w:trPr>
          <w:trHeight w:val="225"/>
        </w:trPr>
        <w:tc>
          <w:tcPr>
            <w:tcW w:w="858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EaseNet Network Technology Co., Ltd. (“Shanghai EaseNet”)</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Shanghai, China 2008</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8"/>
                <w:szCs w:val="18"/>
                <w:color w:val="auto"/>
              </w:rPr>
              <w:t>StormNet Information Technology (Hong Kong) Limited (“StormNet IT HK”)</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Hong Kong, China 2008</w:t>
            </w:r>
          </w:p>
        </w:tc>
        <w:tc>
          <w:tcPr>
            <w:tcW w:w="0" w:type="dxa"/>
            <w:vAlign w:val="bottom"/>
          </w:tcPr>
          <w:p>
            <w:pPr>
              <w:spacing w:after="0"/>
              <w:rPr>
                <w:sz w:val="1"/>
                <w:szCs w:val="1"/>
                <w:color w:val="auto"/>
              </w:rPr>
            </w:pPr>
          </w:p>
        </w:tc>
      </w:tr>
      <w:tr>
        <w:trPr>
          <w:trHeight w:val="213"/>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StormNet Information Technology (Shanghai) Co., Ltd. (“StormNet IT SH”)</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Shanghai, China 2008</w:t>
            </w:r>
          </w:p>
        </w:tc>
        <w:tc>
          <w:tcPr>
            <w:tcW w:w="0" w:type="dxa"/>
            <w:vAlign w:val="bottom"/>
          </w:tcPr>
          <w:p>
            <w:pPr>
              <w:spacing w:after="0"/>
              <w:rPr>
                <w:sz w:val="1"/>
                <w:szCs w:val="1"/>
                <w:color w:val="auto"/>
              </w:rPr>
            </w:pPr>
          </w:p>
        </w:tc>
      </w:tr>
      <w:tr>
        <w:trPr>
          <w:trHeight w:val="213"/>
        </w:trPr>
        <w:tc>
          <w:tcPr>
            <w:tcW w:w="8580" w:type="dxa"/>
            <w:vAlign w:val="bottom"/>
            <w:gridSpan w:val="2"/>
          </w:tcPr>
          <w:p>
            <w:pPr>
              <w:spacing w:after="0"/>
              <w:rPr>
                <w:sz w:val="20"/>
                <w:szCs w:val="20"/>
                <w:color w:val="auto"/>
              </w:rPr>
            </w:pPr>
            <w:r>
              <w:rPr>
                <w:rFonts w:ascii="Arial" w:cs="Arial" w:eastAsia="Arial" w:hAnsi="Arial"/>
                <w:sz w:val="18"/>
                <w:szCs w:val="18"/>
                <w:color w:val="auto"/>
              </w:rPr>
              <w:t>Hangzhou NetEase Leihuo Network Co., Ltd. (“HZ Leihuo”)</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Hangzhou, China 2009</w:t>
            </w:r>
          </w:p>
        </w:tc>
        <w:tc>
          <w:tcPr>
            <w:tcW w:w="0" w:type="dxa"/>
            <w:vAlign w:val="bottom"/>
          </w:tcPr>
          <w:p>
            <w:pPr>
              <w:spacing w:after="0"/>
              <w:rPr>
                <w:sz w:val="1"/>
                <w:szCs w:val="1"/>
                <w:color w:val="auto"/>
              </w:rPr>
            </w:pPr>
          </w:p>
        </w:tc>
      </w:tr>
      <w:tr>
        <w:trPr>
          <w:trHeight w:val="213"/>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Wangyibao Co., Ltd. (“Wangyibao Company”)</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Hangzhou, China 2010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Guangzhou NetEase, a principal VIE of the Company, was incorporated in June 1997 in China and owned by William Lei Ding, or Mr. Ding, the Company’s Chief Executive Officer, director and major shareholder, and another Chinese employee of the Group. It is responsible for providing online game, e-mail and other value-added telecommunication services.</w:t>
      </w:r>
    </w:p>
    <w:p>
      <w:pPr>
        <w:spacing w:after="0" w:line="188"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NetEase Advertising, owned by Mr. Ding and another Chinese employee of the Group, was incorporated in November 1999 in China. NetEase Advertising operates the Company’s portal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HZ Leihuo was incorporated in April 2009 in China by two Chinese employees of the Group and currently operates the Company’s mobile game business.</w:t>
      </w:r>
    </w:p>
    <w:p>
      <w:pPr>
        <w:spacing w:after="0" w:line="24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Wangyibao Company was incorporated in July 2010 in China as a wholly-owned subsidiary of Guangzhou NetEase for the purpose of operating the NetEase Pay (formerly known as Wangyibao) online payment platform of the Company to facilitate e-payments by online game or other services customers to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Shanghai EaseNet is a PRC company owned by Mr. Ding, and has contractual arrangements with the joint venture established between, and owned equally by, Blizzard Entertainment, Inc. (“Blizzard”) and the Company, and with the Company. The joint venture was established concurrently with the licensing of certain online games in August 2008 and provides technical services to Shanghai EaseNet. The joint venture currently consists of two companies, StormNet IT HK and its wholly-owned subsidiary StormNet IT SH.</w:t>
      </w:r>
    </w:p>
    <w:p>
      <w:pPr>
        <w:spacing w:after="0" w:line="19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 xml:space="preserve">The following combined financial information of the Group’s VIEs was included in the accompanying consolidated financial statements of the Group as follows </w:t>
      </w:r>
      <w:r>
        <w:rPr>
          <w:rFonts w:ascii="Arial" w:cs="Arial" w:eastAsia="Arial" w:hAnsi="Arial"/>
          <w:sz w:val="17"/>
          <w:szCs w:val="17"/>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0"/>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0"/>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9,729,718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10,491,261</w:t>
            </w:r>
          </w:p>
        </w:tc>
      </w:t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8,897,521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9,892,724</w:t>
            </w:r>
          </w:p>
        </w:tc>
        <w:tc>
          <w:tcPr>
            <w:tcW w:w="100" w:type="dxa"/>
            <w:vAlign w:val="bottom"/>
          </w:tcPr>
          <w:p>
            <w:pPr>
              <w:spacing w:after="0"/>
              <w:rPr>
                <w:sz w:val="19"/>
                <w:szCs w:val="19"/>
                <w:color w:val="auto"/>
              </w:rPr>
            </w:pPr>
          </w:p>
        </w:tc>
      </w:tr>
      <w:tr>
        <w:trPr>
          <w:trHeight w:val="349"/>
        </w:trPr>
        <w:tc>
          <w:tcPr>
            <w:tcW w:w="6640" w:type="dxa"/>
            <w:vAlign w:val="bottom"/>
          </w:tcPr>
          <w:p>
            <w:pPr>
              <w:spacing w:after="0"/>
              <w:rPr>
                <w:sz w:val="24"/>
                <w:szCs w:val="24"/>
                <w:color w:val="auto"/>
              </w:rPr>
            </w:pPr>
          </w:p>
        </w:tc>
        <w:tc>
          <w:tcPr>
            <w:tcW w:w="3460" w:type="dxa"/>
            <w:vAlign w:val="bottom"/>
            <w:tcBorders>
              <w:bottom w:val="single" w:sz="8" w:color="auto"/>
            </w:tcBorders>
            <w:gridSpan w:val="7"/>
          </w:tcPr>
          <w:p>
            <w:pPr>
              <w:jc w:val="center"/>
              <w:ind w:left="1141"/>
              <w:spacing w:after="0"/>
              <w:rPr>
                <w:sz w:val="20"/>
                <w:szCs w:val="20"/>
                <w:color w:val="auto"/>
              </w:rPr>
            </w:pPr>
            <w:r>
              <w:rPr>
                <w:rFonts w:ascii="Arial" w:cs="Arial" w:eastAsia="Arial" w:hAnsi="Arial"/>
                <w:sz w:val="14"/>
                <w:szCs w:val="14"/>
                <w:b w:val="1"/>
                <w:bCs w:val="1"/>
                <w:color w:val="auto"/>
                <w:w w:val="90"/>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664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3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0"/>
              <w:spacing w:after="0" w:line="140"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r>
      <w:tr>
        <w:trPr>
          <w:trHeight w:val="140"/>
        </w:trPr>
        <w:tc>
          <w:tcPr>
            <w:tcW w:w="66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20"/>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60"/>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31,043,737</w:t>
            </w: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40,584,251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43,323,784</w:t>
            </w:r>
          </w:p>
        </w:tc>
      </w:t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448,771</w:t>
            </w:r>
          </w:p>
        </w:tc>
        <w:tc>
          <w:tcPr>
            <w:tcW w:w="280" w:type="dxa"/>
            <w:vAlign w:val="bottom"/>
          </w:tcPr>
          <w:p>
            <w:pPr>
              <w:spacing w:after="0"/>
              <w:rPr>
                <w:sz w:val="19"/>
                <w:szCs w:val="19"/>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8"/>
                <w:szCs w:val="18"/>
                <w:color w:val="auto"/>
              </w:rPr>
              <w:t>357,163</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224,220</w:t>
            </w:r>
          </w:p>
        </w:tc>
      </w:tr>
      <w:tr>
        <w:trPr>
          <w:trHeight w:val="349"/>
        </w:trPr>
        <w:tc>
          <w:tcPr>
            <w:tcW w:w="6640" w:type="dxa"/>
            <w:vAlign w:val="bottom"/>
          </w:tcPr>
          <w:p>
            <w:pPr>
              <w:spacing w:after="0"/>
              <w:rPr>
                <w:sz w:val="24"/>
                <w:szCs w:val="24"/>
                <w:color w:val="auto"/>
              </w:rPr>
            </w:pPr>
          </w:p>
        </w:tc>
        <w:tc>
          <w:tcPr>
            <w:tcW w:w="3460" w:type="dxa"/>
            <w:vAlign w:val="bottom"/>
            <w:tcBorders>
              <w:bottom w:val="single" w:sz="8" w:color="auto"/>
            </w:tcBorders>
            <w:gridSpan w:val="7"/>
          </w:tcPr>
          <w:p>
            <w:pPr>
              <w:jc w:val="center"/>
              <w:ind w:left="1141"/>
              <w:spacing w:after="0"/>
              <w:rPr>
                <w:sz w:val="20"/>
                <w:szCs w:val="20"/>
                <w:color w:val="auto"/>
              </w:rPr>
            </w:pPr>
            <w:r>
              <w:rPr>
                <w:rFonts w:ascii="Arial" w:cs="Arial" w:eastAsia="Arial" w:hAnsi="Arial"/>
                <w:sz w:val="14"/>
                <w:szCs w:val="14"/>
                <w:b w:val="1"/>
                <w:bCs w:val="1"/>
                <w:color w:val="auto"/>
                <w:w w:val="90"/>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664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3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0"/>
              <w:spacing w:after="0" w:line="140"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r>
      <w:tr>
        <w:trPr>
          <w:trHeight w:val="140"/>
        </w:trPr>
        <w:tc>
          <w:tcPr>
            <w:tcW w:w="66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20"/>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60"/>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1,736,702</w:t>
            </w:r>
          </w:p>
        </w:tc>
        <w:tc>
          <w:tcPr>
            <w:tcW w:w="2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(124,670)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402,754</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Net cash (used in)/provided by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(270,733)</w:t>
            </w:r>
          </w:p>
        </w:tc>
        <w:tc>
          <w:tcPr>
            <w:tcW w:w="1660" w:type="dxa"/>
            <w:vAlign w:val="bottom"/>
            <w:gridSpan w:val="4"/>
          </w:tcPr>
          <w:p>
            <w:pPr>
              <w:jc w:val="right"/>
              <w:ind w:right="280"/>
              <w:spacing w:after="0"/>
              <w:rPr>
                <w:sz w:val="20"/>
                <w:szCs w:val="20"/>
                <w:color w:val="auto"/>
              </w:rPr>
            </w:pPr>
            <w:r>
              <w:rPr>
                <w:rFonts w:ascii="Arial" w:cs="Arial" w:eastAsia="Arial" w:hAnsi="Arial"/>
                <w:sz w:val="18"/>
                <w:szCs w:val="18"/>
                <w:color w:val="auto"/>
              </w:rPr>
              <w:t>122,286</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(720,675)</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229,862</w:t>
            </w:r>
          </w:p>
        </w:tc>
      </w:tr>
    </w:tbl>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RMB536.2 million and RMB562.2 million, respectively, as of December 31, 2017 and 2018, as well as certain non-distributable statutory reserves amounting to approximately RMB27.2 million and RMB32.1 million, respectively, as of December 31, 2017 and 2018. As the respective VIEs are incorporated as limited liability companies under the PRC Company Law, creditors do not have recourse to the general credit of the Company for the liabilities of the respective VIEs.</w:t>
      </w:r>
    </w:p>
    <w:p>
      <w:pPr>
        <w:spacing w:after="0" w:line="182" w:lineRule="exact"/>
        <w:rPr>
          <w:sz w:val="20"/>
          <w:szCs w:val="20"/>
          <w:color w:val="auto"/>
        </w:rPr>
      </w:pPr>
    </w:p>
    <w:p>
      <w:pPr>
        <w:jc w:val="both"/>
        <w:ind w:right="180"/>
        <w:spacing w:after="0" w:line="267" w:lineRule="auto"/>
        <w:rPr>
          <w:sz w:val="20"/>
          <w:szCs w:val="20"/>
          <w:color w:val="auto"/>
        </w:rPr>
      </w:pPr>
      <w:r>
        <w:rPr>
          <w:rFonts w:ascii="Arial" w:cs="Arial" w:eastAsia="Arial" w:hAnsi="Arial"/>
          <w:sz w:val="18"/>
          <w:szCs w:val="18"/>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There is no entity in the Company’s group for which the Company has a variable interest but is not the primary beneficiary as of December 31, 2018.</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4"/>
          <w:szCs w:val="14"/>
          <w:b w:val="1"/>
          <w:bCs w:val="1"/>
          <w:color w:val="auto"/>
        </w:rPr>
        <w:t>Nature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generates revenues from providing online game services, e-commerce, advertising services, and initiative businesses and others.</w:t>
      </w:r>
    </w:p>
    <w:p>
      <w:pPr>
        <w:spacing w:after="0" w:line="21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industry in which the Group operates is subject to a number of industry-specific risk factors, including, but not limited to, rapidly changing technologies; government regulations of the Internet, online game and e-commerce industry in China; significant numbers of new entrants; dependence on key individuals; competition of similar services from larger companies; customer preferences; and the need for the continued successful development, marketing and selling of its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 Arrangements with Guangzhou NetEase, NetEase Advertising, HZ Leihuo, and Shanghai EaseNet</w:t>
      </w:r>
    </w:p>
    <w:p>
      <w:pPr>
        <w:spacing w:after="0" w:line="21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principal VIEs with respect to the operation of the NetEase websites, operation of self-developed and licensed PC-client and mobile games, Internet content and wireless value-added services, as well as the provision of advertising services. Our major VIEs include: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1300" w:hanging="654"/>
        <w:spacing w:after="0"/>
        <w:tabs>
          <w:tab w:leader="none" w:pos="13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Guangzhou NetEase (owned by Mr. Ding and a Chinese employee of the Group, (together referred as “the VIE shareholders”)),</w:t>
      </w:r>
    </w:p>
    <w:p>
      <w:pPr>
        <w:spacing w:after="0" w:line="230" w:lineRule="exact"/>
        <w:rPr>
          <w:rFonts w:ascii="Arial" w:cs="Arial" w:eastAsia="Arial" w:hAnsi="Arial"/>
          <w:sz w:val="17"/>
          <w:szCs w:val="17"/>
          <w:color w:val="auto"/>
        </w:rPr>
      </w:pPr>
    </w:p>
    <w:p>
      <w:pPr>
        <w:ind w:left="1300" w:hanging="65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NetEase Advertising (owned by Mr. Ding and another Chinese employee of the Group),</w:t>
      </w:r>
    </w:p>
    <w:p>
      <w:pPr>
        <w:spacing w:after="0" w:line="219" w:lineRule="exact"/>
        <w:rPr>
          <w:rFonts w:ascii="Arial" w:cs="Arial" w:eastAsia="Arial" w:hAnsi="Arial"/>
          <w:sz w:val="18"/>
          <w:szCs w:val="18"/>
          <w:color w:val="auto"/>
        </w:rPr>
      </w:pPr>
    </w:p>
    <w:p>
      <w:pPr>
        <w:ind w:left="1300" w:hanging="65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HZ Leihuo (owned by two employees of the Group), and</w:t>
      </w:r>
    </w:p>
    <w:p>
      <w:pPr>
        <w:spacing w:after="0" w:line="219" w:lineRule="exact"/>
        <w:rPr>
          <w:rFonts w:ascii="Arial" w:cs="Arial" w:eastAsia="Arial" w:hAnsi="Arial"/>
          <w:sz w:val="18"/>
          <w:szCs w:val="18"/>
          <w:color w:val="auto"/>
        </w:rPr>
      </w:pPr>
    </w:p>
    <w:p>
      <w:pPr>
        <w:ind w:left="1300" w:hanging="65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Shanghai EaseNet (owned by Mr. Ding).</w:t>
      </w:r>
    </w:p>
    <w:p>
      <w:pPr>
        <w:spacing w:after="0" w:line="21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Based on the agreements with these VIEs, the Company’s subsidiaries NetEase Beijing, Media Beijing, Boguan and NetEase Hangzhou provided technical consulting and related services to these VIEs. The principal agreements that transfer economic benefits of Guangzhou NetEase, NetEase Advertising and HZ Leihuo to the Company and its subsidiaries are:</w:t>
      </w:r>
    </w:p>
    <w:p>
      <w:pPr>
        <w:spacing w:after="0" w:line="188" w:lineRule="exact"/>
        <w:rPr>
          <w:sz w:val="20"/>
          <w:szCs w:val="20"/>
          <w:color w:val="auto"/>
        </w:rPr>
      </w:pPr>
    </w:p>
    <w:p>
      <w:pPr>
        <w:jc w:val="both"/>
        <w:ind w:left="1320" w:right="440" w:hanging="674"/>
        <w:spacing w:after="0" w:line="257" w:lineRule="auto"/>
        <w:tabs>
          <w:tab w:leader="none" w:pos="1286"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with Guangzhou NetEase — </w:t>
      </w:r>
      <w:r>
        <w:rPr>
          <w:rFonts w:ascii="Arial" w:cs="Arial" w:eastAsia="Arial" w:hAnsi="Arial"/>
          <w:sz w:val="18"/>
          <w:szCs w:val="18"/>
          <w:color w:val="auto"/>
        </w:rPr>
        <w:t>under these agreements, the Company’s subsidiaries NetEase Beijing, Boguan and</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Hangzhou provide various technical consulting and related services to Guangzhou NetEase in exchange for substantially all of Guangzhou NetEase’s net profits.</w:t>
      </w:r>
    </w:p>
    <w:p>
      <w:pPr>
        <w:spacing w:after="0" w:line="187" w:lineRule="exact"/>
        <w:rPr>
          <w:rFonts w:ascii="Arial" w:cs="Arial" w:eastAsia="Arial" w:hAnsi="Arial"/>
          <w:sz w:val="18"/>
          <w:szCs w:val="18"/>
          <w:color w:val="auto"/>
        </w:rPr>
      </w:pPr>
    </w:p>
    <w:p>
      <w:pPr>
        <w:jc w:val="both"/>
        <w:ind w:left="1320" w:right="180" w:hanging="674"/>
        <w:spacing w:after="0" w:line="257" w:lineRule="auto"/>
        <w:tabs>
          <w:tab w:leader="none" w:pos="1284"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with NetEase Advertising </w:t>
      </w:r>
      <w:r>
        <w:rPr>
          <w:rFonts w:ascii="Arial" w:cs="Arial" w:eastAsia="Arial" w:hAnsi="Arial"/>
          <w:sz w:val="18"/>
          <w:szCs w:val="18"/>
          <w:color w:val="auto"/>
        </w:rPr>
        <w:t>— under these agreements, NetEase Beijing until October 2013, and Media Beijing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2013 onwards, provide various technical consulting and related services in exchange for substantially all of NetEase Advertising’s profits.</w:t>
      </w:r>
    </w:p>
    <w:p>
      <w:pPr>
        <w:spacing w:after="0" w:line="188" w:lineRule="exact"/>
        <w:rPr>
          <w:sz w:val="20"/>
          <w:szCs w:val="20"/>
          <w:color w:val="auto"/>
        </w:rPr>
      </w:pPr>
    </w:p>
    <w:p>
      <w:pPr>
        <w:ind w:left="1260" w:right="360" w:hanging="488"/>
        <w:spacing w:after="0" w:line="267" w:lineRule="auto"/>
        <w:tabs>
          <w:tab w:leader="none" w:pos="1224"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with HZ Leihuo </w:t>
      </w:r>
      <w:r>
        <w:rPr>
          <w:rFonts w:ascii="Arial" w:cs="Arial" w:eastAsia="Arial" w:hAnsi="Arial"/>
          <w:sz w:val="18"/>
          <w:szCs w:val="18"/>
          <w:color w:val="auto"/>
        </w:rPr>
        <w:t>— under this agreement, the Company’s subsidiary NetEase Hangzhou provides various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related services to HZ Leihuo in exchange for substantially all of HZ Leihuo’s net profits.</w:t>
      </w:r>
    </w:p>
    <w:p>
      <w:pPr>
        <w:spacing w:after="0" w:line="179" w:lineRule="exact"/>
        <w:rPr>
          <w:sz w:val="20"/>
          <w:szCs w:val="20"/>
          <w:color w:val="auto"/>
        </w:rPr>
      </w:pPr>
    </w:p>
    <w:p>
      <w:pPr>
        <w:ind w:left="1280" w:right="400"/>
        <w:spacing w:after="0" w:line="267" w:lineRule="auto"/>
        <w:rPr>
          <w:sz w:val="20"/>
          <w:szCs w:val="20"/>
          <w:color w:val="auto"/>
        </w:rPr>
      </w:pPr>
      <w:r>
        <w:rPr>
          <w:rFonts w:ascii="Arial" w:cs="Arial" w:eastAsia="Arial" w:hAnsi="Arial"/>
          <w:sz w:val="18"/>
          <w:szCs w:val="18"/>
          <w:color w:val="auto"/>
        </w:rPr>
        <w:t>Each cooperative agreement will remain in effect indefinitely unless any one of the contract parties terminates such agreement by written notice or otherwise required by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Guangzhou NetEase are:</w:t>
      </w:r>
    </w:p>
    <w:p>
      <w:pPr>
        <w:spacing w:after="0" w:line="219" w:lineRule="exact"/>
        <w:rPr>
          <w:sz w:val="20"/>
          <w:szCs w:val="20"/>
          <w:color w:val="auto"/>
        </w:rPr>
      </w:pPr>
    </w:p>
    <w:p>
      <w:pPr>
        <w:ind w:left="1320" w:hanging="674"/>
        <w:spacing w:after="0" w:line="304" w:lineRule="auto"/>
        <w:tabs>
          <w:tab w:leader="none" w:pos="1284" w:val="left"/>
        </w:tabs>
        <w:numPr>
          <w:ilvl w:val="0"/>
          <w:numId w:val="91"/>
        </w:numPr>
        <w:rPr>
          <w:rFonts w:ascii="Arial" w:cs="Arial" w:eastAsia="Arial" w:hAnsi="Arial"/>
          <w:sz w:val="16"/>
          <w:szCs w:val="16"/>
          <w:color w:val="auto"/>
        </w:rPr>
      </w:pPr>
      <w:r>
        <w:rPr>
          <w:rFonts w:ascii="Arial" w:cs="Arial" w:eastAsia="Arial" w:hAnsi="Arial"/>
          <w:sz w:val="16"/>
          <w:szCs w:val="16"/>
          <w:color w:val="auto"/>
        </w:rPr>
        <w:t>Shareholder Voting Rights Trust Agreement among the VIE shareholders and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53" w:lineRule="exact"/>
        <w:rPr>
          <w:rFonts w:ascii="Arial" w:cs="Arial" w:eastAsia="Arial" w:hAnsi="Arial"/>
          <w:sz w:val="16"/>
          <w:szCs w:val="16"/>
          <w:color w:val="auto"/>
        </w:rPr>
      </w:pPr>
    </w:p>
    <w:p>
      <w:pPr>
        <w:ind w:left="1320" w:right="100" w:hanging="674"/>
        <w:spacing w:after="0" w:line="288" w:lineRule="auto"/>
        <w:tabs>
          <w:tab w:leader="none" w:pos="1284" w:val="left"/>
        </w:tabs>
        <w:numPr>
          <w:ilvl w:val="0"/>
          <w:numId w:val="91"/>
        </w:numPr>
        <w:rPr>
          <w:rFonts w:ascii="Arial" w:cs="Arial" w:eastAsia="Arial" w:hAnsi="Arial"/>
          <w:sz w:val="16"/>
          <w:szCs w:val="16"/>
          <w:color w:val="auto"/>
        </w:rPr>
      </w:pPr>
      <w:r>
        <w:rPr>
          <w:rFonts w:ascii="Arial" w:cs="Arial" w:eastAsia="Arial" w:hAnsi="Arial"/>
          <w:sz w:val="16"/>
          <w:szCs w:val="16"/>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 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67" w:lineRule="exact"/>
        <w:rPr>
          <w:rFonts w:ascii="Arial" w:cs="Arial" w:eastAsia="Arial" w:hAnsi="Arial"/>
          <w:sz w:val="16"/>
          <w:szCs w:val="16"/>
          <w:color w:val="auto"/>
        </w:rPr>
      </w:pPr>
    </w:p>
    <w:p>
      <w:pPr>
        <w:ind w:left="1320" w:right="100" w:hanging="674"/>
        <w:spacing w:after="0" w:line="253" w:lineRule="auto"/>
        <w:tabs>
          <w:tab w:leader="none" w:pos="1284"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NetEase Advertising are:</w:t>
      </w:r>
    </w:p>
    <w:p>
      <w:pPr>
        <w:spacing w:after="0" w:line="219" w:lineRule="exact"/>
        <w:rPr>
          <w:sz w:val="20"/>
          <w:szCs w:val="20"/>
          <w:color w:val="auto"/>
        </w:rPr>
      </w:pPr>
    </w:p>
    <w:p>
      <w:pPr>
        <w:ind w:left="1320" w:right="20" w:hanging="674"/>
        <w:spacing w:after="0" w:line="285" w:lineRule="auto"/>
        <w:tabs>
          <w:tab w:leader="none" w:pos="1284" w:val="left"/>
        </w:tabs>
        <w:numPr>
          <w:ilvl w:val="0"/>
          <w:numId w:val="92"/>
        </w:numPr>
        <w:rPr>
          <w:rFonts w:ascii="Arial" w:cs="Arial" w:eastAsia="Arial" w:hAnsi="Arial"/>
          <w:sz w:val="16"/>
          <w:szCs w:val="16"/>
          <w:color w:val="auto"/>
        </w:rPr>
      </w:pPr>
      <w:r>
        <w:rPr>
          <w:rFonts w:ascii="Arial" w:cs="Arial" w:eastAsia="Arial" w:hAnsi="Arial"/>
          <w:sz w:val="16"/>
          <w:szCs w:val="16"/>
          <w:color w:val="auto"/>
        </w:rPr>
        <w:t>Operating Agreement among Media Beijing, NetEase Advertising and the VIE shareholders of NetEase Advertising. To ensure the successful performance of the various agreements between the parties, NetEase Advertising and its VIE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VIE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70" w:lineRule="exact"/>
        <w:rPr>
          <w:rFonts w:ascii="Arial" w:cs="Arial" w:eastAsia="Arial" w:hAnsi="Arial"/>
          <w:sz w:val="16"/>
          <w:szCs w:val="16"/>
          <w:color w:val="auto"/>
        </w:rPr>
      </w:pPr>
    </w:p>
    <w:p>
      <w:pPr>
        <w:ind w:left="1320" w:hanging="674"/>
        <w:spacing w:after="0" w:line="252" w:lineRule="auto"/>
        <w:tabs>
          <w:tab w:leader="none" w:pos="12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Shareholder Voting Rights Trust Agreement among Media Beijing and the VIE Shareholders of NetEase Advertising. Under these agreements, each dated November 30, 2015, each of the VIE shareholders agreed to irrevocably entrust a person designated by Media Beijing to represent him to exercise all the voting rights and other shareholders’ rights to which he is entitled as a shareholder of NetEase Advertising. Each agreement shall remain effective for as long as the VIE shareholder remains a shareholder of NetEase Advertising unless Media Beijing unilaterally terminates the agreement by written notice.</w:t>
      </w:r>
    </w:p>
    <w:p>
      <w:pPr>
        <w:spacing w:after="0" w:line="192" w:lineRule="exact"/>
        <w:rPr>
          <w:rFonts w:ascii="Arial" w:cs="Arial" w:eastAsia="Arial" w:hAnsi="Arial"/>
          <w:sz w:val="18"/>
          <w:szCs w:val="18"/>
          <w:color w:val="auto"/>
        </w:rPr>
      </w:pPr>
    </w:p>
    <w:p>
      <w:pPr>
        <w:ind w:left="1320" w:hanging="674"/>
        <w:spacing w:after="0" w:line="284" w:lineRule="auto"/>
        <w:tabs>
          <w:tab w:leader="none" w:pos="1284"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Exclusive Purchase Option Agreements among Media Beijing, NetEase Advertising and the VIE shareholders of NetEase Advertising. Under the Exclusive Purchase Option Agreements, each dated November 30, 2015, each of the VIE shareholders has granted Media Beijing an option to purchase all or a portion of his equity interest in NetEase Advertising at a price equal to the original paid-in capital paid by the VIE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VIE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HZ Leihuo are:</w:t>
      </w:r>
    </w:p>
    <w:p>
      <w:pPr>
        <w:spacing w:after="0" w:line="219" w:lineRule="exact"/>
        <w:rPr>
          <w:sz w:val="20"/>
          <w:szCs w:val="20"/>
          <w:color w:val="auto"/>
        </w:rPr>
      </w:pPr>
    </w:p>
    <w:p>
      <w:pPr>
        <w:ind w:left="1320" w:right="40" w:hanging="674"/>
        <w:spacing w:after="0" w:line="285" w:lineRule="auto"/>
        <w:tabs>
          <w:tab w:leader="none" w:pos="1284" w:val="left"/>
        </w:tabs>
        <w:numPr>
          <w:ilvl w:val="0"/>
          <w:numId w:val="93"/>
        </w:numPr>
        <w:rPr>
          <w:rFonts w:ascii="Arial" w:cs="Arial" w:eastAsia="Arial" w:hAnsi="Arial"/>
          <w:sz w:val="16"/>
          <w:szCs w:val="16"/>
          <w:color w:val="auto"/>
        </w:rPr>
      </w:pPr>
      <w:r>
        <w:rPr>
          <w:rFonts w:ascii="Arial" w:cs="Arial" w:eastAsia="Arial" w:hAnsi="Arial"/>
          <w:sz w:val="16"/>
          <w:szCs w:val="16"/>
          <w:color w:val="auto"/>
        </w:rPr>
        <w:t>Operating Agreement among NetEase Hangzhou, HZ Leihuo and the VIE shareholders of HZ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170" w:lineRule="exact"/>
        <w:rPr>
          <w:rFonts w:ascii="Arial" w:cs="Arial" w:eastAsia="Arial" w:hAnsi="Arial"/>
          <w:sz w:val="16"/>
          <w:szCs w:val="16"/>
          <w:color w:val="auto"/>
        </w:rPr>
      </w:pPr>
    </w:p>
    <w:p>
      <w:pPr>
        <w:ind w:left="1320" w:right="140" w:hanging="674"/>
        <w:spacing w:after="0" w:line="252" w:lineRule="auto"/>
        <w:tabs>
          <w:tab w:leader="none" w:pos="12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Shareholder Voting Rights Trust Agreement among NetEase Hangzhou and the VIE shareholders of HZ Leihuo. Under these agreements, each dated December 1, 2015, each of the VIE shareholders of HZ Leihuo has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92" w:lineRule="exact"/>
        <w:rPr>
          <w:rFonts w:ascii="Arial" w:cs="Arial" w:eastAsia="Arial" w:hAnsi="Arial"/>
          <w:sz w:val="18"/>
          <w:szCs w:val="18"/>
          <w:color w:val="auto"/>
        </w:rPr>
      </w:pPr>
    </w:p>
    <w:p>
      <w:pPr>
        <w:ind w:left="1320" w:hanging="674"/>
        <w:spacing w:after="0" w:line="266" w:lineRule="auto"/>
        <w:tabs>
          <w:tab w:leader="none" w:pos="12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Exclusive Purchase Option Agreements among NetEase Hangzhou, HZ Leihuo and the VIE shareholders of HZ Leihuo. Under the Exclusive Purchase Option Agreements, each dated December 1, 2015, each of VIE shareholders of HZ Leihuo has granted NetEase Hangzhou an option to purchase all or a portion of his equity interest in HZ Leihuo at a price equal to the original paid-in capital paid by the ultimate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Joint Venture</w:t>
      </w:r>
    </w:p>
    <w:p>
      <w:pPr>
        <w:spacing w:after="0" w:line="219" w:lineRule="exact"/>
        <w:rPr>
          <w:sz w:val="20"/>
          <w:szCs w:val="20"/>
          <w:color w:val="auto"/>
        </w:rPr>
      </w:pPr>
    </w:p>
    <w:p>
      <w:pPr>
        <w:ind w:right="500"/>
        <w:spacing w:after="0" w:line="330" w:lineRule="auto"/>
        <w:rPr>
          <w:sz w:val="20"/>
          <w:szCs w:val="20"/>
          <w:color w:val="auto"/>
        </w:rPr>
      </w:pPr>
      <w:r>
        <w:rPr>
          <w:rFonts w:ascii="Arial" w:cs="Arial" w:eastAsia="Arial" w:hAnsi="Arial"/>
          <w:sz w:val="16"/>
          <w:szCs w:val="16"/>
          <w:color w:val="auto"/>
        </w:rPr>
        <w:t>In addition to the foregoing, in connection with the licensing of certain online games by Blizzard to Shanghai EaseNet for operation in the PRC, there are certain contractual arrangements among Shanghai EaseNet, the joint venture established between Blizzard and the Company, and the Company.</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As Blizzard receives its interest as an indirect contribution from NetEase, Blizzard and the Company are considered related parties for purposes of identifying which party is the primary beneficiary under ASC 810. Since the aggregate variable interests held by Blizzard and NetEase would, if held by a single party, identify that party as the primary beneficiary, either Blizzard or the Company will be the primary beneficiary. Based on the assessment of all relevant facts and circumstances, the Company determined that the Company is most closely associated with the JV Group and therefore is the primary beneficiary. As a result, the JV Group’s results of operations, assets and liabilities have been included in the Company’s consolidated financial statements.</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VIE arrangements</w:t>
      </w:r>
    </w:p>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believes that its contractual arrangements with the VIEs are in compliance with PRC law and are legally enforceable. Mr. Ding, who is the major shareholder of Guangzhou NetEase, and is in turn the major shareholder of Wangyibao Company, and of Shanghai EaseNet and NetEase Advertising,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It is unclear, however, how such restructuring could impact the Company’s business and operating results, as the Chinese government has not yet found any such contractual arrangements non-compliant. If the legal structure and contractual arrangements were found to be in violation of any existing PRC laws and regulations, the PRC government could potentially:</w:t>
      </w:r>
    </w:p>
    <w:p>
      <w:pPr>
        <w:spacing w:after="0" w:line="170" w:lineRule="exact"/>
        <w:rPr>
          <w:sz w:val="20"/>
          <w:szCs w:val="20"/>
          <w:color w:val="auto"/>
        </w:rPr>
      </w:pPr>
    </w:p>
    <w:p>
      <w:pPr>
        <w:ind w:left="1280" w:hanging="63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17" w:lineRule="exact"/>
        <w:rPr>
          <w:rFonts w:ascii="Arial" w:cs="Arial" w:eastAsia="Arial" w:hAnsi="Arial"/>
          <w:sz w:val="18"/>
          <w:szCs w:val="18"/>
          <w:color w:val="auto"/>
        </w:rPr>
      </w:pPr>
    </w:p>
    <w:p>
      <w:pPr>
        <w:ind w:left="1280" w:hanging="63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require the Group to discontinue or restrict operations;</w:t>
      </w:r>
    </w:p>
    <w:p>
      <w:pPr>
        <w:spacing w:after="0" w:line="6" w:lineRule="exact"/>
        <w:rPr>
          <w:rFonts w:ascii="Arial" w:cs="Arial" w:eastAsia="Arial" w:hAnsi="Arial"/>
          <w:sz w:val="18"/>
          <w:szCs w:val="18"/>
          <w:color w:val="auto"/>
        </w:rPr>
      </w:pPr>
    </w:p>
    <w:p>
      <w:pPr>
        <w:ind w:left="1280" w:hanging="63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6" w:lineRule="exact"/>
        <w:rPr>
          <w:rFonts w:ascii="Arial" w:cs="Arial" w:eastAsia="Arial" w:hAnsi="Arial"/>
          <w:sz w:val="18"/>
          <w:szCs w:val="18"/>
          <w:color w:val="auto"/>
        </w:rPr>
      </w:pPr>
    </w:p>
    <w:p>
      <w:pPr>
        <w:ind w:left="1280" w:hanging="63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6" w:lineRule="exact"/>
        <w:rPr>
          <w:rFonts w:ascii="Arial" w:cs="Arial" w:eastAsia="Arial" w:hAnsi="Arial"/>
          <w:sz w:val="18"/>
          <w:szCs w:val="18"/>
          <w:color w:val="auto"/>
        </w:rPr>
      </w:pPr>
    </w:p>
    <w:p>
      <w:pPr>
        <w:ind w:left="1320" w:right="120" w:hanging="674"/>
        <w:spacing w:after="0" w:line="247" w:lineRule="auto"/>
        <w:tabs>
          <w:tab w:leader="none" w:pos="12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require the Group to restructure the operations in such a way as to compel the Group to establish a new enterprise, re-apply for the necessary licenses or relocate the Group’s businesses, staff and assets;</w:t>
      </w:r>
    </w:p>
    <w:p>
      <w:pPr>
        <w:ind w:left="1280" w:hanging="63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6" w:lineRule="exact"/>
        <w:rPr>
          <w:rFonts w:ascii="Arial" w:cs="Arial" w:eastAsia="Arial" w:hAnsi="Arial"/>
          <w:sz w:val="18"/>
          <w:szCs w:val="18"/>
          <w:color w:val="auto"/>
        </w:rPr>
      </w:pPr>
    </w:p>
    <w:p>
      <w:pPr>
        <w:ind w:left="1280" w:hanging="63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20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380" w:hanging="373"/>
        <w:spacing w:after="0"/>
        <w:tabs>
          <w:tab w:leader="none" w:pos="3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Basis of consolidation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4"/>
          <w:szCs w:val="14"/>
          <w:b w:val="1"/>
          <w:bCs w:val="1"/>
          <w:color w:val="auto"/>
        </w:rPr>
        <w:t>Basis of presentation</w:t>
      </w:r>
    </w:p>
    <w:p>
      <w:pPr>
        <w:spacing w:after="0" w:line="225"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These estimates and assumptions include, but are not limited to, assessing the following: average playing period of paying players of online games, realization of deferred tax assets and the determination of uncertain tax positions, lower of cost and market value of inventories, useful lives and impairment provision of property, equipment and software and intangibles, assumptions related to stock-based compensation and impairment of long-term investments.</w:t>
      </w:r>
    </w:p>
    <w:p>
      <w:pPr>
        <w:spacing w:after="0" w:line="176" w:lineRule="exact"/>
        <w:rPr>
          <w:sz w:val="20"/>
          <w:szCs w:val="20"/>
          <w:color w:val="auto"/>
        </w:rPr>
      </w:pPr>
    </w:p>
    <w:p>
      <w:pPr>
        <w:ind w:left="400" w:hanging="393"/>
        <w:spacing w:after="0"/>
        <w:tabs>
          <w:tab w:leader="none" w:pos="4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1, 2018, the Group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the Group’s historic accounting under Topic 605. For the year ended December 31, 2018, net revenue recognized from sources other than contracts with customers under ASC 606 was immaterial.</w:t>
      </w:r>
    </w:p>
    <w:p>
      <w:pPr>
        <w:spacing w:after="0" w:line="1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 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volume sales rebates. The amount and timing of the Group’s revenues could be different if management made different judgments or utilized different estimates.</w:t>
      </w:r>
    </w:p>
    <w:p>
      <w:pPr>
        <w:spacing w:after="0" w:line="193"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The Group’s service sales represent revenues from online game services, advertising services, other initiative businesses and others. Product sales represent revenue from the sale of products through its e-commerce platform where the Group records revenue on a gross basis. </w:t>
      </w:r>
      <w:r>
        <w:rPr>
          <w:rFonts w:ascii="Arial" w:cs="Arial" w:eastAsia="Arial" w:hAnsi="Arial"/>
          <w:sz w:val="17"/>
          <w:szCs w:val="17"/>
          <w:color w:val="auto"/>
        </w:rPr>
        <w:t>Refer to “Note 24 — Segment</w:t>
      </w:r>
      <w:r>
        <w:rPr>
          <w:rFonts w:ascii="Arial" w:cs="Arial" w:eastAsia="Arial" w:hAnsi="Arial"/>
          <w:sz w:val="18"/>
          <w:szCs w:val="18"/>
          <w:color w:val="auto"/>
        </w:rPr>
        <w:t xml:space="preserve"> </w:t>
      </w:r>
      <w:r>
        <w:rPr>
          <w:rFonts w:ascii="Arial" w:cs="Arial" w:eastAsia="Arial" w:hAnsi="Arial"/>
          <w:sz w:val="17"/>
          <w:szCs w:val="17"/>
          <w:color w:val="auto"/>
        </w:rPr>
        <w:t>Information” for disaggregation of revenue.</w:t>
      </w:r>
    </w:p>
    <w:p>
      <w:pPr>
        <w:spacing w:after="0" w:line="188" w:lineRule="exact"/>
        <w:rPr>
          <w:sz w:val="20"/>
          <w:szCs w:val="20"/>
          <w:color w:val="auto"/>
        </w:rPr>
      </w:pPr>
    </w:p>
    <w:p>
      <w:pPr>
        <w:ind w:left="380" w:hanging="373"/>
        <w:spacing w:after="0"/>
        <w:tabs>
          <w:tab w:leader="none" w:pos="38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Online game services</w:t>
      </w:r>
    </w:p>
    <w:p>
      <w:pPr>
        <w:spacing w:after="0" w:line="219" w:lineRule="exact"/>
        <w:rPr>
          <w:sz w:val="20"/>
          <w:szCs w:val="20"/>
          <w:color w:val="auto"/>
        </w:rPr>
      </w:pPr>
    </w:p>
    <w:p>
      <w:pPr>
        <w:jc w:val="both"/>
        <w:ind w:right="80"/>
        <w:spacing w:after="0" w:line="304" w:lineRule="auto"/>
        <w:rPr>
          <w:sz w:val="20"/>
          <w:szCs w:val="20"/>
          <w:color w:val="auto"/>
        </w:rPr>
      </w:pPr>
      <w:r>
        <w:rPr>
          <w:rFonts w:ascii="Arial" w:cs="Arial" w:eastAsia="Arial" w:hAnsi="Arial"/>
          <w:sz w:val="16"/>
          <w:szCs w:val="16"/>
          <w:color w:val="auto"/>
        </w:rPr>
        <w:t>The Group operates mobile games and PC-client games. The Group is the principal of all games it operates, including both self-developed games and licensed games. As all these games are hosted on the Group’s servers, the Group has the pricing discretion, and is responsible for the sale and marketing of the games as well as customer services. Fees paid to game developers, distribution channels (app stores) and payment channels are recorded as cost of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1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The Group generates mobile game revenues from the sale of in-game virtual items, including items, avatars, skills, privileges or other in-game consumables, features or functionality, within the games. </w:t>
      </w:r>
      <w:r>
        <w:rPr>
          <w:rFonts w:ascii="Arial" w:cs="Arial" w:eastAsia="Arial" w:hAnsi="Arial"/>
          <w:sz w:val="16"/>
          <w:szCs w:val="16"/>
          <w:color w:val="auto"/>
        </w:rPr>
        <w:t>The Group’s performance obligation is</w:t>
      </w:r>
      <w:r>
        <w:rPr>
          <w:rFonts w:ascii="Arial" w:cs="Arial" w:eastAsia="Arial" w:hAnsi="Arial"/>
          <w:sz w:val="17"/>
          <w:szCs w:val="17"/>
          <w:color w:val="auto"/>
        </w:rPr>
        <w:t xml:space="preserve">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Group considers the average period that players typically play the games and other game player behavior patterns, as well as various other factors to arrive at the best estimates for the estimated playing period of the paying players for each game.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PC-client games</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Group sells prepaid point cards to the end users. Customers can purchase physical prepaid point cards in different locations in China, including Internet cafés, software stores, convenience stores and bookstores. Customers can also purchase “virtual” prepaid points from vendors who register the points in the Group’s system and “virtual” prepaid cards online via debit and credit cards or bank transfers via the online payment services platforms, and receive the prepaid point information over the Internet. Customers can use the points to play the Group’s PC-client games, pay for in-game items and use other fee-based services. Proceeds received from the sales of prepaid point cards and online points to players are recorded as deferred revenues.</w:t>
      </w:r>
    </w:p>
    <w:p>
      <w:pPr>
        <w:spacing w:after="0" w:line="1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Group earns revenue through providing PC-client game services to players under two types of revenue models: time-based revenue model and item-based revenue model. For PC-client games using the time-based model, players are charged based on the time they spend playing games. Revenues are recognized ratably over the game playing period as the performance obligations are satisfied.</w:t>
      </w:r>
    </w:p>
    <w:p>
      <w:pPr>
        <w:spacing w:after="0" w:line="1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 xml:space="preserve">Under the item-based model, the basic game play functions are free of charge, and players are charged for purchases of in-game items. </w:t>
      </w:r>
      <w:r>
        <w:rPr>
          <w:rFonts w:ascii="Arial" w:cs="Arial" w:eastAsia="Arial" w:hAnsi="Arial"/>
          <w:sz w:val="17"/>
          <w:szCs w:val="17"/>
          <w:color w:val="auto"/>
        </w:rPr>
        <w:t>In-game items have</w:t>
      </w:r>
      <w:r>
        <w:rPr>
          <w:rFonts w:ascii="Arial" w:cs="Arial" w:eastAsia="Arial" w:hAnsi="Arial"/>
          <w:sz w:val="18"/>
          <w:szCs w:val="18"/>
          <w:color w:val="auto"/>
        </w:rPr>
        <w:t xml:space="preserve"> </w:t>
      </w:r>
      <w:r>
        <w:rPr>
          <w:rFonts w:ascii="Arial" w:cs="Arial" w:eastAsia="Arial" w:hAnsi="Arial"/>
          <w:sz w:val="17"/>
          <w:szCs w:val="17"/>
          <w:color w:val="auto"/>
        </w:rPr>
        <w:t>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playing period of the paying players for the permanent in-game items of PC-client games. This estimate is re-assessed on a quarterly basis. Adjustments arising from the changes of estimated playing period of the paying players are applied prospectively as such changes are resulted from new information indicating a change in the game player behavior patterns.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Breakage of unused PC-client game points</w:t>
      </w:r>
    </w:p>
    <w:p>
      <w:pPr>
        <w:spacing w:after="0" w:line="219"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Group recognizes expected breakage associated with the Group’s unused online points with expiry dates in a personal game account as revenue in proportion to the pattern of points consumed by the customer, subject to the constrain for estimating variable consideration. For game points that do not expire, the Group recognizes the expected breakage amount as revenue when the likelihood of the customer exercising its remaining rights becomes remote.</w:t>
      </w:r>
    </w:p>
    <w:p>
      <w:pPr>
        <w:spacing w:after="0" w:line="153" w:lineRule="exact"/>
        <w:rPr>
          <w:sz w:val="20"/>
          <w:szCs w:val="20"/>
          <w:color w:val="auto"/>
        </w:rPr>
      </w:pPr>
    </w:p>
    <w:p>
      <w:pPr>
        <w:ind w:left="380" w:hanging="373"/>
        <w:spacing w:after="0"/>
        <w:tabs>
          <w:tab w:leader="none" w:pos="38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E-commerce</w:t>
      </w:r>
    </w:p>
    <w:p>
      <w:pPr>
        <w:spacing w:after="0" w:line="219" w:lineRule="exact"/>
        <w:rPr>
          <w:sz w:val="20"/>
          <w:szCs w:val="20"/>
          <w:color w:val="auto"/>
        </w:rPr>
      </w:pPr>
    </w:p>
    <w:p>
      <w:pPr>
        <w:jc w:val="both"/>
        <w:ind w:right="420"/>
        <w:spacing w:after="0" w:line="257" w:lineRule="auto"/>
        <w:rPr>
          <w:sz w:val="20"/>
          <w:szCs w:val="20"/>
          <w:color w:val="auto"/>
        </w:rPr>
      </w:pPr>
      <w:r>
        <w:rPr>
          <w:rFonts w:ascii="Arial" w:cs="Arial" w:eastAsia="Arial" w:hAnsi="Arial"/>
          <w:sz w:val="18"/>
          <w:szCs w:val="18"/>
          <w:color w:val="auto"/>
        </w:rPr>
        <w:t>The Group’s e-commerce businesses mainly include cross-border and domestic e-commerce business. The Group established its cross-border e-commerce platform Kaola, in January 2015 and primarily sells imported maternity and baby products, skincare and cosmetics and other general merchandise through online direct sales.</w:t>
      </w:r>
    </w:p>
    <w:p>
      <w:pPr>
        <w:spacing w:after="0" w:line="188"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In addition, the Group established its domestic e-commerce platform Yanxuan, in April 2016 and sells its private label products, including apparel, homeware, kitchenware and other general merchandise which are sourced primarily directly from original design manufacturers in China.</w:t>
      </w:r>
    </w:p>
    <w:p>
      <w:pPr>
        <w:spacing w:after="0" w:line="157"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our delivery to the customer.</w:t>
      </w:r>
    </w:p>
    <w:p>
      <w:pPr>
        <w:spacing w:after="0" w:line="15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Group also act as the marketplace service provider for third-party vendors to sell their products on the Group’s platform. In online marketplace business, third-party sellers offer products to customers on the Group’s platform and the Group acts as the marketplace service provider. The Group is not the seller of the third-parties’ goods in these transactions and recognize revenue when services are rendered based on a pre-determined service fee rate.</w:t>
      </w:r>
    </w:p>
    <w:p>
      <w:pPr>
        <w:spacing w:after="0" w:line="15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Group also provides discount coupons to its customers for use in purchases on the Kaola and Yanxuan platform, which are treated as a reduction of revenue when the related transaction is recognized.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allowance</w:t>
      </w:r>
    </w:p>
    <w:p>
      <w:pPr>
        <w:spacing w:after="0" w:line="21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Return allowances, which reduce revenue and cost of sales, are estimated using historical experience. Liabilities for return allowances and rights to recover products from customers associated with the Group’s liabilities are recorded as “Accrue liabilities and other payables” and “Inventories, net”, respectively, on the Group’s consolidated balance sheets. Both of the balances are not material as of December 31, 2017 and 2018.</w:t>
      </w:r>
    </w:p>
    <w:p>
      <w:pPr>
        <w:spacing w:after="0" w:line="171" w:lineRule="exact"/>
        <w:rPr>
          <w:sz w:val="20"/>
          <w:szCs w:val="20"/>
          <w:color w:val="auto"/>
        </w:rPr>
      </w:pPr>
    </w:p>
    <w:p>
      <w:pPr>
        <w:ind w:left="380" w:hanging="373"/>
        <w:spacing w:after="0"/>
        <w:tabs>
          <w:tab w:leader="none" w:pos="38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Advertising services</w:t>
      </w:r>
    </w:p>
    <w:p>
      <w:pPr>
        <w:spacing w:after="0" w:line="21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Group derives its advertising revenues principally from short-term online advertising contracts. Advertising service contracts may consist of multiple performance obligations with a typical term of less than three months. Each performance obligation generally represent different formats of advertisement, including but not limited to banners, text-links, videos, logos, buttons and rich media.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spacing w:after="0" w:line="185"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The Group also enters into performance-based advertising arrangements with customers. The Group enters into cost per mille (“CPM”), or cost per thousand impressions, advertising arrangements with customers, under which the Group recognizes revenues based on the number of times that the advertisement has been displayed.</w:t>
      </w:r>
    </w:p>
    <w:p>
      <w:pPr>
        <w:spacing w:after="0" w:line="18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Group also enters into cost per action (“CPA”) advertising arrangements with customers, under which the Group recognizes revenues based on the number of actions completed resulted from the advertisements, including but not limited to when users click on links.</w:t>
      </w:r>
    </w:p>
    <w:p>
      <w:pPr>
        <w:spacing w:after="0" w:line="17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Certain customers may receive volume rebates, which are accounted for as variable consideration. The Group estimates annual expected revenue volume with reference to their historical results and reduce revenues recognized.</w:t>
      </w:r>
    </w:p>
    <w:p>
      <w:pPr>
        <w:spacing w:after="0" w:line="17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Group recognizes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the Group is not able to reliably determine the fair value of noncash consideration in some situations, the value of the noncash consideration received is measured indirectly by reference to the standalone selling price of advertising services provided by the Group.</w:t>
      </w:r>
    </w:p>
    <w:p>
      <w:pPr>
        <w:spacing w:after="0" w:line="176"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Group has been engaged in certain advertising barter transactions, which primarily involved exchanges of advertising services rendered by the Group for advertising, promotional benefits, content, consulting services and software provided by the counterparties. For the years ended December 31, 2016 and 2017, no revenue from rendering advertising services in exchange for non-cash consideration was recognized as the fair value was not determinable. For the year ended December 31, 2018, revenue from rendering adverting services in exchange for non-cash consideration is insignificant.</w:t>
      </w:r>
    </w:p>
    <w:p>
      <w:pPr>
        <w:spacing w:after="0" w:line="161" w:lineRule="exact"/>
        <w:rPr>
          <w:sz w:val="20"/>
          <w:szCs w:val="20"/>
          <w:color w:val="auto"/>
        </w:rPr>
      </w:pPr>
    </w:p>
    <w:p>
      <w:pPr>
        <w:ind w:left="380" w:hanging="373"/>
        <w:spacing w:after="0"/>
        <w:tabs>
          <w:tab w:leader="none" w:pos="38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Innovative businesses and others</w:t>
      </w:r>
    </w:p>
    <w:p>
      <w:pPr>
        <w:spacing w:after="0" w:line="21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On December 31, 2018, the Group renamed its “e-mail and others” segment to “innovative businesses and others” to better articulate the businesses included in this segment. For details please see Note 24 — Segment Information.</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 from innovative businesses and others is predominantly derived from fee-based premium services, online payment platform services and other online services. Fee-based premium services revenues, mostly operated on either consumption-basis or a monthly subscription basis, are derived principally from providing premium live-streaming services, online music services, online reading, e-mail and other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spacing w:after="0" w:line="19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Group generates revenue from the operation of its live streaming platforms whereby users can enjoy live performances provided by the hosts and interact with the hosts. Most of the hosts host the performance on their own. The Group creates and sells virtual items to users so that the users present them simultaneously to hosts to show their support. The virtual items sold by the Group comprise of either (i) consumable items or (ii) time-based item, such as privilege titles etc. Under the arrangements with the hosts,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2009, the Group launched its NetEase Pay payment platform, through which customers registered for NetEase Pay operations can deposit money in their accounts and use the accounts to pay for game point cards and other fee-based services and products. The Group recognizes revenue when services are rendered to account holders in accordance with service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Group offers online services related to third-party virtual products to facilitate the sale of products from third-party providers. The Group acts as an agent and do not buy, sell, manufacture, or design such products. Revenues are recognized when services are rendered to customers based on the pre-determined service fee rate. The Group also operated its “Duobao” platform, which provides services that allow users to purchase the virtual currency, “Duobao Bi”, and use them to exchange for products. For the services where the Group acts as an agent, products are provided by third-party suppliers and revenues are recognized on a net basis when services are rendered. The Group terminated the Duobao platform in early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Group has used the following practical expedients as allowed under ASC 606:</w:t>
      </w:r>
    </w:p>
    <w:p>
      <w:pPr>
        <w:spacing w:after="0" w:line="219" w:lineRule="exact"/>
        <w:rPr>
          <w:sz w:val="20"/>
          <w:szCs w:val="20"/>
          <w:color w:val="auto"/>
        </w:rPr>
      </w:pPr>
    </w:p>
    <w:p>
      <w:pPr>
        <w:ind w:left="320" w:right="40" w:hanging="313"/>
        <w:spacing w:after="0" w:line="330" w:lineRule="auto"/>
        <w:tabs>
          <w:tab w:leader="none" w:pos="32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effects of a significant financing component has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133" w:lineRule="exact"/>
        <w:rPr>
          <w:rFonts w:ascii="Arial" w:cs="Arial" w:eastAsia="Arial" w:hAnsi="Arial"/>
          <w:sz w:val="16"/>
          <w:szCs w:val="16"/>
          <w:color w:val="auto"/>
        </w:rPr>
      </w:pPr>
    </w:p>
    <w:p>
      <w:pPr>
        <w:ind w:left="320" w:right="340" w:hanging="313"/>
        <w:spacing w:after="0" w:line="304" w:lineRule="auto"/>
        <w:tabs>
          <w:tab w:leader="none" w:pos="3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Group applied the portfolio approach in determining the commencement date of consumption and the estimated average playing period of paying players for PC-client games permanent virtual items and of mobile games for the recognition of online game revenue given that the effect of applying a portfolio approach to a group game players’ behaviors would not differ materially from considering each one of them individually.</w:t>
      </w:r>
    </w:p>
    <w:p>
      <w:pPr>
        <w:spacing w:after="0" w:line="153" w:lineRule="exact"/>
        <w:rPr>
          <w:rFonts w:ascii="Arial" w:cs="Arial" w:eastAsia="Arial" w:hAnsi="Arial"/>
          <w:sz w:val="16"/>
          <w:szCs w:val="16"/>
          <w:color w:val="auto"/>
        </w:rPr>
      </w:pPr>
    </w:p>
    <w:p>
      <w:pPr>
        <w:ind w:left="360" w:hanging="353"/>
        <w:spacing w:after="0"/>
        <w:tabs>
          <w:tab w:leader="none" w:pos="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Group elects to expense the costs to obtain a contract as incurred when the expected amortization period is one year or less.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 The Group closely monitors the collection of its accounts receivables and records a reserve for doubtful accounts against aged accounts and for specifically identified non-recoverable amounts. If the economic situation and the financial condition of the customer deteriorate resulting in an impairment of the customer’s ability to make payments, additional allowances might be required. Accounts receivables balances are written off when they are determined to be uncollectible.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the movements of the allowance for doubtful accounts for the years ended December 31, 2016, 2017 and 2018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Charged to/(Write-back</w:t>
            </w: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Write-off of receivable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0" w:type="dxa"/>
            <w:vAlign w:val="bottom"/>
            <w:vMerge w:val="restart"/>
          </w:tcPr>
          <w:p>
            <w:pPr>
              <w:jc w:val="center"/>
              <w:ind w:left="449"/>
              <w:spacing w:after="0"/>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1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balances and</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6"/>
              </w:rPr>
              <w:t>against) cost and</w:t>
            </w:r>
          </w:p>
        </w:tc>
        <w:tc>
          <w:tcPr>
            <w:tcW w:w="1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corresponding</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200" w:type="dxa"/>
            <w:vAlign w:val="bottom"/>
          </w:tcPr>
          <w:p>
            <w:pPr>
              <w:jc w:val="center"/>
              <w:ind w:left="449"/>
              <w:spacing w:after="0"/>
              <w:rPr>
                <w:sz w:val="20"/>
                <w:szCs w:val="20"/>
                <w:color w:val="auto"/>
              </w:rPr>
            </w:pPr>
            <w:r>
              <w:rPr>
                <w:rFonts w:ascii="Arial" w:cs="Arial" w:eastAsia="Arial" w:hAnsi="Arial"/>
                <w:sz w:val="14"/>
                <w:szCs w:val="14"/>
                <w:b w:val="1"/>
                <w:bCs w:val="1"/>
                <w:color w:val="auto"/>
                <w:w w:val="92"/>
              </w:rPr>
              <w:t>January 1,</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provisions</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200" w:type="dxa"/>
            <w:vAlign w:val="bottom"/>
            <w:tcBorders>
              <w:top w:val="single" w:sz="8" w:color="auto"/>
            </w:tcBorders>
          </w:tcPr>
          <w:p>
            <w:pPr>
              <w:jc w:val="center"/>
              <w:ind w:left="449"/>
              <w:spacing w:after="0" w:line="140"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jc w:val="right"/>
              <w:ind w:right="2591"/>
              <w:spacing w:after="0"/>
              <w:rPr>
                <w:sz w:val="20"/>
                <w:szCs w:val="20"/>
                <w:color w:val="auto"/>
              </w:rPr>
            </w:pPr>
            <w:r>
              <w:rPr>
                <w:rFonts w:ascii="Arial" w:cs="Arial" w:eastAsia="Arial" w:hAnsi="Arial"/>
                <w:sz w:val="18"/>
                <w:szCs w:val="18"/>
                <w:color w:val="auto"/>
                <w:w w:val="84"/>
              </w:rPr>
              <w:t>2016</w:t>
            </w: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14,185</w:t>
            </w: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9,952</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24,136</w:t>
            </w:r>
          </w:p>
        </w:tc>
        <w:tc>
          <w:tcPr>
            <w:tcW w:w="0" w:type="dxa"/>
            <w:vAlign w:val="bottom"/>
          </w:tcPr>
          <w:p>
            <w:pPr>
              <w:spacing w:after="0"/>
              <w:rPr>
                <w:sz w:val="1"/>
                <w:szCs w:val="1"/>
                <w:color w:val="auto"/>
              </w:rPr>
            </w:pPr>
          </w:p>
        </w:tc>
      </w:tr>
      <w:tr>
        <w:trPr>
          <w:trHeight w:val="213"/>
        </w:trPr>
        <w:tc>
          <w:tcPr>
            <w:tcW w:w="3040" w:type="dxa"/>
            <w:vAlign w:val="bottom"/>
          </w:tcPr>
          <w:p>
            <w:pPr>
              <w:jc w:val="right"/>
              <w:ind w:right="2591"/>
              <w:spacing w:after="0"/>
              <w:rPr>
                <w:sz w:val="20"/>
                <w:szCs w:val="20"/>
                <w:color w:val="auto"/>
              </w:rPr>
            </w:pPr>
            <w:r>
              <w:rPr>
                <w:rFonts w:ascii="Arial" w:cs="Arial" w:eastAsia="Arial" w:hAnsi="Arial"/>
                <w:sz w:val="18"/>
                <w:szCs w:val="18"/>
                <w:color w:val="auto"/>
                <w:w w:val="84"/>
              </w:rPr>
              <w:t>2017</w:t>
            </w:r>
          </w:p>
        </w:tc>
        <w:tc>
          <w:tcPr>
            <w:tcW w:w="1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24,136</w:t>
            </w:r>
          </w:p>
        </w:tc>
        <w:tc>
          <w:tcPr>
            <w:tcW w:w="2560" w:type="dxa"/>
            <w:vAlign w:val="bottom"/>
            <w:gridSpan w:val="2"/>
          </w:tcPr>
          <w:p>
            <w:pPr>
              <w:jc w:val="right"/>
              <w:ind w:right="280"/>
              <w:spacing w:after="0"/>
              <w:rPr>
                <w:sz w:val="20"/>
                <w:szCs w:val="20"/>
                <w:color w:val="auto"/>
              </w:rPr>
            </w:pPr>
            <w:r>
              <w:rPr>
                <w:rFonts w:ascii="Arial" w:cs="Arial" w:eastAsia="Arial" w:hAnsi="Arial"/>
                <w:sz w:val="18"/>
                <w:szCs w:val="18"/>
                <w:color w:val="auto"/>
              </w:rPr>
              <w:t>60,826</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84,909</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jc w:val="right"/>
              <w:ind w:right="2591"/>
              <w:spacing w:after="0"/>
              <w:rPr>
                <w:sz w:val="20"/>
                <w:szCs w:val="20"/>
                <w:color w:val="auto"/>
              </w:rPr>
            </w:pPr>
            <w:r>
              <w:rPr>
                <w:rFonts w:ascii="Arial" w:cs="Arial" w:eastAsia="Arial" w:hAnsi="Arial"/>
                <w:sz w:val="18"/>
                <w:szCs w:val="18"/>
                <w:color w:val="auto"/>
                <w:w w:val="84"/>
              </w:rPr>
              <w:t>2018</w:t>
            </w: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84,909</w:t>
            </w:r>
          </w:p>
        </w:tc>
        <w:tc>
          <w:tcPr>
            <w:tcW w:w="2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50,954</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(5,215)</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130,648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color w:val="auto"/>
        </w:rPr>
        <w:t>The Group’s right to consideration in exchange for goods or services that the Group has transferred to a customer is recognized as a contract asset. Contract assets as of January 1, 2018 and December 31, 2018 were not material.</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contract liability is the Group’s obligation to transfer goods or services to a customer for which the Group has received consideration (or an amount of consideration is due) from the customer. Contract liabilities are presented as “Deferred Revenue” on the consolidated balance sheets of the Group. Refer to Note 14 - Deferred revenue for further information, including changes in deferred revenue during the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4"/>
          <w:szCs w:val="14"/>
          <w:b w:val="1"/>
          <w:bCs w:val="1"/>
          <w:color w:val="auto"/>
        </w:rPr>
        <w:t>Cost of revenues</w:t>
      </w:r>
    </w:p>
    <w:p>
      <w:pPr>
        <w:spacing w:after="0" w:line="225" w:lineRule="exact"/>
        <w:rPr>
          <w:sz w:val="20"/>
          <w:szCs w:val="20"/>
          <w:color w:val="auto"/>
        </w:rPr>
      </w:pPr>
    </w:p>
    <w:p>
      <w:pPr>
        <w:jc w:val="both"/>
        <w:ind w:right="240"/>
        <w:spacing w:after="0" w:line="323" w:lineRule="auto"/>
        <w:rPr>
          <w:sz w:val="20"/>
          <w:szCs w:val="20"/>
          <w:color w:val="auto"/>
        </w:rPr>
      </w:pPr>
      <w:r>
        <w:rPr>
          <w:rFonts w:ascii="Arial" w:cs="Arial" w:eastAsia="Arial" w:hAnsi="Arial"/>
          <w:sz w:val="14"/>
          <w:szCs w:val="14"/>
          <w:color w:val="auto"/>
        </w:rPr>
        <w:t>Costs of revenues consist primarily of purchase price, inbound shipping costs and inventory write downs, staff costs, royalties and consultancy fees related to licensed games, revenue sharing cost related to mobile games, depreciation and amortization of computers and software, server custody fees, bandwidth, and other direct costs of providing these services. These costs are charged to the consolidated statements of operations and comprehensive income as incurred.</w:t>
      </w:r>
    </w:p>
    <w:p>
      <w:pPr>
        <w:ind w:right="40"/>
        <w:spacing w:after="0" w:line="249" w:lineRule="auto"/>
        <w:rPr>
          <w:sz w:val="20"/>
          <w:szCs w:val="20"/>
          <w:color w:val="auto"/>
        </w:rPr>
      </w:pPr>
      <w:r>
        <w:rPr>
          <w:rFonts w:ascii="Arial" w:cs="Arial" w:eastAsia="Arial" w:hAnsi="Arial"/>
          <w:sz w:val="18"/>
          <w:szCs w:val="18"/>
          <w:color w:val="auto"/>
        </w:rPr>
        <w:t>Shipping and handling costs, which primarily include third-party delivery costs relating to the delivery of products from distribution centers to customers, fulfillment expenses occurred in the Group’s various distribution facilities and packing material expenses, are classified as selling and marketing expenses. Shipping and handling costs included in selling and marketing expenses were approximately RMB503.0 million, RMB1,182.7 million and RMB1,670.4 million (US$242.9 million) for the years ended December 31, 2016, 2017 and 2018, respectively.</w:t>
      </w:r>
    </w:p>
    <w:p>
      <w:pPr>
        <w:spacing w:after="0" w:line="189" w:lineRule="exact"/>
        <w:rPr>
          <w:sz w:val="20"/>
          <w:szCs w:val="20"/>
          <w:color w:val="auto"/>
        </w:rPr>
      </w:pPr>
    </w:p>
    <w:p>
      <w:pPr>
        <w:ind w:left="400" w:hanging="393"/>
        <w:spacing w:after="0"/>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22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products development. For the years ended December 31, 2016, 2017 and 2018, the costs incurred for development of online game products have not been capitalized because the period after the date technical feasibility is reached and the time when the game is marketed is short historically and the development cost incurred in the period are insignificant.</w:t>
      </w:r>
    </w:p>
    <w:p>
      <w:pPr>
        <w:spacing w:after="0" w:line="155" w:lineRule="exact"/>
        <w:rPr>
          <w:sz w:val="20"/>
          <w:szCs w:val="20"/>
          <w:color w:val="auto"/>
        </w:rPr>
      </w:pPr>
    </w:p>
    <w:p>
      <w:pPr>
        <w:ind w:left="380" w:hanging="373"/>
        <w:spacing w:after="0"/>
        <w:tabs>
          <w:tab w:leader="none" w:pos="3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time deposits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mainly represent cash on hand, demand deposits placed with large reputable banks in Hong Kong or China, and highly liquid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investments that are readily convertible to known amounts of cash and with original maturities from the date of purchase with terms of less than three months.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there were cash at bank and demand deposits with terms of less than three months denominated in US dollars, HK dollars and Euro</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amounting to approximately US$112.5 million, HK$5.3 million and Euro1.6 million, respectively. As of December 31, 2018, there were cash at bank and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demand deposits with terms of less than three months denominated in US dollars, HK dollars and Euro amounting to approximately US$269.9 million,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HK$90.7 million and Euro1.0 million, respectively (equivalent to approximately RMB1,852.7 million, RMB79.5 million and RMB7.7 million, respectively).</w:t>
      </w:r>
    </w:p>
    <w:p>
      <w:pPr>
        <w:spacing w:after="0" w:line="2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Time deposits represent time deposits placed with banks with original maturities of three months or more. As of December 31, 2017, there were time deposits denominated in US dollars amounting to approximately US$2,547.8 million. As of December 31, 2018, there were time deposits denominated in US dollars amounting to approximately US$2,456.3 million (equivalent to approximately RMB16,857.9 million).</w:t>
      </w:r>
    </w:p>
    <w:p>
      <w:pPr>
        <w:spacing w:after="0" w:line="188" w:lineRule="exact"/>
        <w:rPr>
          <w:sz w:val="20"/>
          <w:szCs w:val="20"/>
          <w:color w:val="auto"/>
        </w:rPr>
      </w:pPr>
    </w:p>
    <w:p>
      <w:pPr>
        <w:ind w:right="160"/>
        <w:spacing w:after="0" w:line="330" w:lineRule="auto"/>
        <w:rPr>
          <w:sz w:val="20"/>
          <w:szCs w:val="20"/>
          <w:color w:val="auto"/>
        </w:rPr>
      </w:pPr>
      <w:r>
        <w:rPr>
          <w:rFonts w:ascii="Arial" w:cs="Arial" w:eastAsia="Arial" w:hAnsi="Arial"/>
          <w:sz w:val="16"/>
          <w:szCs w:val="16"/>
          <w:color w:val="auto"/>
        </w:rPr>
        <w:t>As of December 31, 2017 and 2018, the Group had approximately RMB15.1 billion and RMB12.7 billion cash and cash equivalents and time deposits held by its PRC subsidiaries and VIEs, representing 45.1% and 33.1% of total cash and cash equivalents and time deposits of the Group, respectively.</w:t>
      </w:r>
    </w:p>
    <w:p>
      <w:pPr>
        <w:spacing w:after="0" w:line="133" w:lineRule="exact"/>
        <w:rPr>
          <w:sz w:val="20"/>
          <w:szCs w:val="20"/>
          <w:color w:val="auto"/>
        </w:rPr>
      </w:pPr>
    </w:p>
    <w:p>
      <w:pPr>
        <w:ind w:right="600"/>
        <w:spacing w:after="0" w:line="267" w:lineRule="auto"/>
        <w:rPr>
          <w:sz w:val="20"/>
          <w:szCs w:val="20"/>
          <w:color w:val="auto"/>
        </w:rPr>
      </w:pPr>
      <w:r>
        <w:rPr>
          <w:rFonts w:ascii="Arial" w:cs="Arial" w:eastAsia="Arial" w:hAnsi="Arial"/>
          <w:sz w:val="18"/>
          <w:szCs w:val="18"/>
          <w:color w:val="auto"/>
        </w:rPr>
        <w:t>As of December 31, 2017 and 2018, the Group had a restricted cash balance approximately RMB5,927.1 million and RMB4,817.3 million, respectively, comprising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0"/>
        </w:trPr>
        <w:tc>
          <w:tcPr>
            <w:tcW w:w="8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 of NetEase Pay accounts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CEEFF"/>
          </w:tcPr>
          <w:p>
            <w:pPr>
              <w:spacing w:after="0"/>
              <w:rPr>
                <w:sz w:val="18"/>
                <w:szCs w:val="18"/>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Pledge deposits for short-term bank borrowings — Current</w:t>
            </w:r>
          </w:p>
        </w:tc>
        <w:tc>
          <w:tcPr>
            <w:tcW w:w="1360" w:type="dxa"/>
            <w:vAlign w:val="bottom"/>
          </w:tcPr>
          <w:p>
            <w:pPr>
              <w:jc w:val="right"/>
              <w:spacing w:after="0"/>
              <w:rPr>
                <w:sz w:val="20"/>
                <w:szCs w:val="20"/>
                <w:color w:val="auto"/>
              </w:rPr>
            </w:pPr>
            <w:r>
              <w:rPr>
                <w:rFonts w:ascii="Arial" w:cs="Arial" w:eastAsia="Arial" w:hAnsi="Arial"/>
                <w:sz w:val="18"/>
                <w:szCs w:val="18"/>
                <w:color w:val="auto"/>
              </w:rPr>
              <w:t>4,091.0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2,695.0</w:t>
            </w:r>
          </w:p>
        </w:tc>
        <w:tc>
          <w:tcPr>
            <w:tcW w:w="100" w:type="dxa"/>
            <w:vAlign w:val="bottom"/>
          </w:tcPr>
          <w:p>
            <w:pPr>
              <w:spacing w:after="0"/>
              <w:rPr>
                <w:sz w:val="18"/>
                <w:szCs w:val="18"/>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Pledge deposits for Letter of Guarantee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748.5</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06"/>
        </w:trPr>
        <w:tc>
          <w:tcPr>
            <w:tcW w:w="830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other lien arrangements during 2017 and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Fair value of financial instruments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9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19"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The Group’s financial instruments include cash and cash equivalents and time deposits, accounts receivable, prepayments and other current assets, short-term investments, accounts payable, short-term loan, deferred revenue and accrued liabilities and other payables, which the carrying values approximate their fair value. Please see Note 25 for additional information.</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4"/>
          <w:szCs w:val="14"/>
          <w:b w:val="1"/>
          <w:bCs w:val="1"/>
          <w:color w:val="auto"/>
        </w:rPr>
        <w:t>Inventories, net</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Inventories, net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87" w:lineRule="exact"/>
        <w:rPr>
          <w:sz w:val="20"/>
          <w:szCs w:val="20"/>
          <w:color w:val="auto"/>
        </w:rPr>
      </w:pPr>
    </w:p>
    <w:p>
      <w:pPr>
        <w:ind w:left="380" w:hanging="373"/>
        <w:spacing w:after="0"/>
        <w:tabs>
          <w:tab w:leader="none" w:pos="3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19"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all of which are with an original maturities of less than 12 months.</w:t>
      </w:r>
    </w:p>
    <w:p>
      <w:pPr>
        <w:spacing w:after="0" w:line="1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net. Fair value is estimated based on quoted prices of similar products provided by banks at the end of each period. The Group classifies the valuation techniques that use these inputs as Level 2 of fair value measurements. Please see Note 5 and Note 25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are comprised of equity investments in publicly traded companies and privately-held companies.</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Equity investments in publicly traded companies are reported at fair value as equity investment with </w:t>
      </w:r>
      <w:r>
        <w:rPr>
          <w:rFonts w:ascii="Arial" w:cs="Arial" w:eastAsia="Arial" w:hAnsi="Arial"/>
          <w:sz w:val="15"/>
          <w:szCs w:val="15"/>
          <w:color w:val="auto"/>
        </w:rPr>
        <w:t>readily determinable fair value</w:t>
      </w:r>
      <w:r>
        <w:rPr>
          <w:rFonts w:ascii="Arial" w:cs="Arial" w:eastAsia="Arial" w:hAnsi="Arial"/>
          <w:sz w:val="16"/>
          <w:szCs w:val="16"/>
          <w:color w:val="auto"/>
        </w:rPr>
        <w:t>. Prior to January 1, 2018, they were classified as available-for-sale equity securities under long-term investments, with unrealized gains or losses, if any, recorded in accumulated other comprehensive income/(loss) in shareholders’ equity. The treatment of a decline in the fair value of an individual security was based on whether the decline was other-than-temporary. The Group assessed its available-for-sale equity securities for other-than-temporary impairment by considering factors including, but not limited to, its ability and intent to hold the individual security, severity of the impairment, expected duration of the impairment and forecasted recovery of fair value. If the Group determines a decline in fair value was other-than-temporary, the cost basis of the individual security was written down to fair value as a new cost basis and the amount of the write-down was accounted for as a realized loss charged to the consolidated statements of comprehensive income. The fair value of the investment would then become the new cost basis of the investment and were not adjusted for subsequent recoveries in fair value. Starting January 1, 2018, upon the adoption of ASU 2016-01, unrealized gains and losses during the year are recognized in other income/(expense), net.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Prior to January 1, 2018, investments in common stock or in-substance common stock issued by privately-held companies on which the Group does not have significant influence, and investments in privately-held companies’ shares that are not ordinary shares or in-substance ordinary shares, as these equity securities do not have readily determinable fair value, the Group carried these investment at cost and only adjusts for other-than-temporary declines in fair value and distributions of earnings that exceed the Group’s share of earnings since its investment. Starting January 1, 2018, upon the adoption of ASU 2016-01, the Group elects to measure these equity securities investments without readily determinable fair value at cost, less impairment, if any, plus or minus changes resulting from observable price changes in orderly transactions for the identical or a similar investment of the same issuer (referred to as the measurement alternative). All gains and losses on these equity securities, realized and unrealized, are recognized in other income/(expense), net.</w:t>
      </w:r>
    </w:p>
    <w:p>
      <w:pPr>
        <w:spacing w:after="0" w:line="1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Management regularly evaluates the impairment of the investments in privately-held companies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86" w:lineRule="exact"/>
        <w:rPr>
          <w:sz w:val="20"/>
          <w:szCs w:val="20"/>
          <w:color w:val="auto"/>
        </w:rPr>
      </w:pPr>
    </w:p>
    <w:p>
      <w:pPr>
        <w:ind w:left="400" w:hanging="393"/>
        <w:spacing w:after="0"/>
        <w:tabs>
          <w:tab w:leader="none" w:pos="4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method investees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 and are reported under long-term investments in the consolidated balance sheets.</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4"/>
          <w:szCs w:val="14"/>
          <w:b w:val="1"/>
          <w:bCs w:val="1"/>
          <w:color w:val="auto"/>
        </w:rPr>
        <w:t>Property, equipment and software</w:t>
      </w:r>
    </w:p>
    <w:p>
      <w:pPr>
        <w:spacing w:after="0" w:line="225" w:lineRule="exact"/>
        <w:rPr>
          <w:sz w:val="20"/>
          <w:szCs w:val="20"/>
          <w:color w:val="auto"/>
        </w:rPr>
      </w:pPr>
    </w:p>
    <w:p>
      <w:pPr>
        <w:ind w:right="560"/>
        <w:spacing w:after="0" w:line="267" w:lineRule="auto"/>
        <w:rPr>
          <w:sz w:val="20"/>
          <w:szCs w:val="20"/>
          <w:color w:val="auto"/>
        </w:rPr>
      </w:pPr>
      <w:r>
        <w:rPr>
          <w:rFonts w:ascii="Arial" w:cs="Arial" w:eastAsia="Arial" w:hAnsi="Arial"/>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ectPr>
          <w:pgSz w:w="11900" w:h="16838" w:orient="portrait"/>
          <w:cols w:equalWidth="0" w:num="1">
            <w:col w:w="11420"/>
          </w:cols>
          <w:pgMar w:left="240" w:top="127"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Decoration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Furniture, fixtures, office and other equipment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Vehicles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Servers and computers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20 years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lesser of the term of the lease and the estimated useful lives of the assets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3-10 years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3860" w:space="720"/>
            <w:col w:w="6840"/>
          </w:cols>
          <w:pgMar w:left="240" w:top="127" w:right="239" w:bottom="1440" w:gutter="0" w:footer="0" w:header="0"/>
          <w:type w:val="continuous"/>
        </w:sectPr>
      </w:pPr>
    </w:p>
    <w:p>
      <w:pPr>
        <w:spacing w:after="0" w:line="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Repairs and maintenance expenditures, which are not considered improvements and do not extend the useful life of the property and equipment, are expensed as incurred.</w:t>
      </w:r>
    </w:p>
    <w:p>
      <w:pPr>
        <w:spacing w:after="0" w:line="173" w:lineRule="exact"/>
        <w:rPr>
          <w:sz w:val="20"/>
          <w:szCs w:val="20"/>
          <w:color w:val="auto"/>
        </w:rPr>
      </w:pPr>
    </w:p>
    <w:p>
      <w:pPr>
        <w:ind w:left="380" w:hanging="373"/>
        <w:spacing w:after="0"/>
        <w:tabs>
          <w:tab w:leader="none" w:pos="3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5"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Finite-lived intangible assets are tested for impairment if impairment indicators arise. The Group amortizes its finite-lived intangible assets using the straight-line method:</w:t>
      </w:r>
    </w:p>
    <w:p>
      <w:pPr>
        <w:sectPr>
          <w:pgSz w:w="11900" w:h="16838" w:orient="portrait"/>
          <w:cols w:equalWidth="0" w:num="1">
            <w:col w:w="11420"/>
          </w:cols>
          <w:pgMar w:left="240" w:top="127" w:right="2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Land use right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License right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over the remaining term of the land use right period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over the license period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 years</w:t>
      </w:r>
    </w:p>
    <w:p>
      <w:pPr>
        <w:spacing w:after="0" w:line="200" w:lineRule="exact"/>
        <w:rPr>
          <w:sz w:val="20"/>
          <w:szCs w:val="20"/>
          <w:color w:val="auto"/>
        </w:rPr>
      </w:pPr>
    </w:p>
    <w:p>
      <w:pPr>
        <w:sectPr>
          <w:pgSz w:w="11900" w:h="16838" w:orient="portrait"/>
          <w:cols w:equalWidth="0" w:num="2">
            <w:col w:w="3860" w:space="720"/>
            <w:col w:w="6840"/>
          </w:cols>
          <w:pgMar w:left="240" w:top="127" w:right="239" w:bottom="1440" w:gutter="0" w:footer="0" w:header="0"/>
          <w:type w:val="continuous"/>
        </w:sectPr>
      </w:pPr>
    </w:p>
    <w:p>
      <w:pPr>
        <w:spacing w:after="0" w:line="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Group obtains music content for customers through licensing agreements. When the license fee for music title is determinable or reasonably estimable and the content is available for streaming,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Advertising expenses</w:t>
      </w:r>
    </w:p>
    <w:p>
      <w:pPr>
        <w:spacing w:after="0" w:line="225" w:lineRule="exact"/>
        <w:rPr>
          <w:sz w:val="20"/>
          <w:szCs w:val="20"/>
          <w:color w:val="auto"/>
        </w:rPr>
      </w:pPr>
    </w:p>
    <w:p>
      <w:pPr>
        <w:ind w:right="400"/>
        <w:spacing w:after="0" w:line="411" w:lineRule="auto"/>
        <w:rPr>
          <w:sz w:val="20"/>
          <w:szCs w:val="20"/>
          <w:color w:val="auto"/>
        </w:rPr>
      </w:pPr>
      <w:r>
        <w:rPr>
          <w:rFonts w:ascii="Arial" w:cs="Arial" w:eastAsia="Arial" w:hAnsi="Arial"/>
          <w:sz w:val="14"/>
          <w:szCs w:val="14"/>
          <w:color w:val="auto"/>
        </w:rPr>
        <w:t>The Group expenses advertising costs as incurred and reports these costs under selling and marketing expense. Advertising expenses totaled approximately RMB1,116.9 million, RMB2,310.6 million and RMB2,933.8(US$426.7 million) for the years ended December 31, 2016, 2017 and 2018, respectively.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6"/>
          <w:szCs w:val="16"/>
          <w:b w:val="1"/>
          <w:bCs w:val="1"/>
          <w:color w:val="auto"/>
        </w:rPr>
        <w:t>Foreign currency translation</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Group’s reporting currency is RMB. The Company and its subsidiaries and VIEs, with an exception of several subsidiaries incorporated in Cayman Islands, use RMB as their functional currency. In 2017, several of the Company’s subsidiaries incorporated in Cayman Islands changed their functional currency from RMB to US$. The determination of the respective functional currency is based on the criteria of ASC 830, Foreign Currency Matters and such change has not resulted in any material effect on the Group’s financial statements.</w:t>
      </w:r>
    </w:p>
    <w:p>
      <w:pPr>
        <w:spacing w:after="0" w:line="193"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Translations of amounts from RMB into United States dollars for the convenience of the reader were calculated at the noon buying rate of US$1.00 = RMB6.8755 on the last trading day of 2018 (December 31, 2018) as set forth in the H.10 statistical release of the U.S. Federal Reserve Board. No representation is made that the RMB amounts could have been, or could be, converted into United States dollars at such rate.</w:t>
      </w:r>
    </w:p>
    <w:p>
      <w:pPr>
        <w:spacing w:after="0" w:line="16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4"/>
          <w:szCs w:val="14"/>
          <w:b w:val="1"/>
          <w:bCs w:val="1"/>
          <w:color w:val="auto"/>
        </w:rPr>
        <w:t>Share-based compensation</w:t>
      </w:r>
    </w:p>
    <w:p>
      <w:pPr>
        <w:spacing w:after="0" w:line="2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Under its 2009 Restricted Share Unit Plan (see Note 18(a)),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83"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subsidiaries of the Company granted options exercisable for ordinary shares to certain of the Group’s employees. The options expire five to seven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93" w:lineRule="exact"/>
        <w:rPr>
          <w:sz w:val="20"/>
          <w:szCs w:val="20"/>
          <w:color w:val="auto"/>
        </w:rPr>
      </w:pPr>
    </w:p>
    <w:p>
      <w:pPr>
        <w:jc w:val="both"/>
        <w:ind w:right="380"/>
        <w:spacing w:after="0" w:line="257" w:lineRule="auto"/>
        <w:rPr>
          <w:sz w:val="20"/>
          <w:szCs w:val="20"/>
          <w:color w:val="auto"/>
        </w:rPr>
      </w:pPr>
      <w:r>
        <w:rPr>
          <w:rFonts w:ascii="Arial" w:cs="Arial" w:eastAsia="Arial" w:hAnsi="Arial"/>
          <w:sz w:val="18"/>
          <w:szCs w:val="18"/>
          <w:color w:val="auto"/>
        </w:rPr>
        <w:t>Forfeitures were estimated based on the Group’s weighted average historical forfeiture rate of the past five years. Differences between actual and estimated forfeitures are expensed in the period that the differences occur. See Note 18 for further information regarding share-based compensation assumptions and expense.</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88"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allowances are established, when necessary, to reduce deferred tax assets to the amount “more likely than not” to be realized in future tax returns.</w:t>
      </w:r>
    </w:p>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2016, 2017 and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have any significant unrecognized uncertain tax positions as of December 31, 2017 and 2018.</w:t>
      </w:r>
    </w:p>
    <w:p>
      <w:pPr>
        <w:spacing w:after="0" w:line="219"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Net earnings per share (“EPS”) and per American Depositary Share (“ADS”)</w:t>
      </w:r>
    </w:p>
    <w:p>
      <w:pPr>
        <w:spacing w:after="0" w:line="22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87" w:lineRule="exact"/>
        <w:rPr>
          <w:sz w:val="20"/>
          <w:szCs w:val="20"/>
          <w:color w:val="auto"/>
        </w:rPr>
      </w:pPr>
    </w:p>
    <w:p>
      <w:pPr>
        <w:ind w:left="400" w:hanging="393"/>
        <w:spacing w:after="0"/>
        <w:tabs>
          <w:tab w:leader="none" w:pos="4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22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w:t>
      </w:r>
    </w:p>
    <w:p>
      <w:pPr>
        <w:ind w:right="80" w:firstLine="7"/>
        <w:spacing w:after="0" w:line="250" w:lineRule="auto"/>
        <w:tabs>
          <w:tab w:leader="none" w:pos="26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9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93"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staff bonus and welfare fund is a liability in nature. The other statutory reserves are not transferable to the Company in the form of cash dividends, loans or advances, and therefore are not available for distribution except in liquidation.</w:t>
      </w:r>
    </w:p>
    <w:p>
      <w:pPr>
        <w:spacing w:after="0" w:line="173" w:lineRule="exact"/>
        <w:rPr>
          <w:sz w:val="20"/>
          <w:szCs w:val="20"/>
          <w:color w:val="auto"/>
        </w:rPr>
      </w:pPr>
    </w:p>
    <w:p>
      <w:pPr>
        <w:ind w:left="400" w:hanging="393"/>
        <w:spacing w:after="0"/>
        <w:tabs>
          <w:tab w:leader="none" w:pos="4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and Redeemable noncontrolling interests</w:t>
      </w:r>
    </w:p>
    <w:p>
      <w:pPr>
        <w:spacing w:after="0" w:line="225"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color w:val="auto"/>
        </w:rPr>
        <w:t>Noncontrolling interests are recognized to reflect the portion of the equity of majority-owned subsidiaries and VIEs which is not attributable, directly or indirectly, to the controlling shareholder.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noncontrolling interest will continue to be attributed its share of losses even if that attribution results in a deficit noncontrolling interest balance.</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Redeemable noncontrolling interests represent redeemable equity interests issued by the Group’s subsidiaries to certain investors (see Note 15),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p>
      <w:pPr>
        <w:spacing w:after="0" w:line="176" w:lineRule="exact"/>
        <w:rPr>
          <w:sz w:val="20"/>
          <w:szCs w:val="20"/>
          <w:color w:val="auto"/>
        </w:rPr>
      </w:pPr>
    </w:p>
    <w:p>
      <w:pPr>
        <w:ind w:left="400" w:hanging="393"/>
        <w:spacing w:after="0"/>
        <w:tabs>
          <w:tab w:leader="none" w:pos="4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4"/>
          <w:szCs w:val="14"/>
          <w:b w:val="1"/>
          <w:bCs w:val="1"/>
          <w:color w:val="auto"/>
        </w:rPr>
        <w:t>Comprehensive income</w:t>
      </w:r>
    </w:p>
    <w:p>
      <w:pPr>
        <w:spacing w:after="0" w:line="22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Comprehensive income for the years ended December 31, 2016 and 2017 includes net income, change in unrealized gains/(losses) on marketable securities classified as available-for-sale securities (net of tax) and foreign currency translation adjustment. Starting from January 1, 2018, upon adoption of ASU 2016-01, gain/(losses) on marketable securities are recognized in other income/(expense), net.</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4"/>
          <w:szCs w:val="14"/>
          <w:b w:val="1"/>
          <w:bCs w:val="1"/>
          <w:color w:val="auto"/>
        </w:rPr>
        <w:t>Segment reporting</w:t>
      </w:r>
    </w:p>
    <w:p>
      <w:pPr>
        <w:spacing w:after="0" w:line="22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Group’s internal organizational structure as well as information about geographical areas, business segments and major customers in financial statements is set out in detail under Note 24.</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(w)</w:t>
      </w:r>
      <w:r>
        <w:rPr>
          <w:sz w:val="20"/>
          <w:szCs w:val="20"/>
          <w:color w:val="auto"/>
        </w:rPr>
        <w:tab/>
      </w:r>
      <w:r>
        <w:rPr>
          <w:rFonts w:ascii="Arial" w:cs="Arial" w:eastAsia="Arial" w:hAnsi="Arial"/>
          <w:sz w:val="14"/>
          <w:szCs w:val="14"/>
          <w:b w:val="1"/>
          <w:b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 of the Company are recognized when declared.</w:t>
      </w:r>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4"/>
          <w:szCs w:val="14"/>
          <w:b w:val="1"/>
          <w:b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2014, the FASB issued Accounting Standards Update No. 2014-09 (Topic 606) “Revenue from Contracts with Customers.” Topic 606 supersedes the revenue recognition requirements in Topic 605 “Revenue Recognition” (Topic 605), and requires entities to recognize revenue when control of the promised goods or services is transferred to customers at an amount that reflects the consideration to which the entity expects to be entitled to in exchange for those goods or services. The Group adopted Topic 606 on January 1, 2018 using the modified retrospective method. Additionally, the Group elected to apply the new revenue accounting standard only to contracts not completed as of the adoption date. The Group recognized the cumulative effect of initially applying the new revenue accounting standard as an adjustment to the opening balance of retained earnings. The comparative financial statements have not been restated and continue to be reported under the accounting standards in effect for those periods.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adoption of Topic 606 primarily impacts the accounting of the recognition of breakage associated with the Group’s unused online points in a personal game account as a result of recording revenue based upon estimates of breakage under the new revenue standard. Under Topic 605, revenue for unused points was not recorded until the points expired. Thus, for unused points, revenue is recorded earlier under the new standard. The cumulative-effect adjustment upon adoption includes a reduction of its deferred revenue of approximately RMB81.7 million and a net increase to its retained earnings of approximately RMB27.4 million (net of tax). Revenues of related game points would have been recorded in the consolidated statement of operations and comprehensive income for the year ended December 31, 2018 under Topic 605 based on its actual expiry date. Therefore, adoption of the new revenue accounting standard impacted the Company’s consolidated statement of operations and comprehensive income for the year ended December 31, 2018 by reducing RMB81.7 million of revenues. The adoption of Topic 606 does not have significant impact to other used game points as of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January 2016, the FASB issued Accounting Standards Update No. 2016-01 (ASU No. 2016-01) “Financial Instruments-Overall (Subtopic 825-10): Recognition and Measurement of Financial Assets and Financial Liabilities.” The Group adopted this guidance on January 1, 2018, and RMB38.2 million of accumulated other comprehensive income for the Group’s available-for-sale equity securities that existed as of December 31, 2017 was reclassified into retained earnings upon the adoption. For equity investments without readily determinable fair value, the Group elected to measure them at their costs minus impairment (if any), plus or minus changes resulting from observable price changes in orderly transactions for the identical or similar investments of the same issuer. The Group did not record any changes to the carrying value of equity investments without readily determinable fair value for the year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November 2016, the FASB issued ASU 2016-18 “Statement of Cash Flows (Topic 230): Restricted Cash”. The guidance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in the statement of cash flows. The standard should be applied using a retrospective transition method to each period presented. The Group adopted this guidance on January 1, 2018 on a retrospective transition method. Pursuant to the new guidance, the net change of cash, cash equivalents and restricted cash increased RMB2,140.6 million and decreased RMB393.8 million for the year ended 31 December, 2016 and 2017, respectively, compared to the amounts presented under previous guidance.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(y)</w:t>
      </w:r>
      <w:r>
        <w:rPr>
          <w:sz w:val="20"/>
          <w:szCs w:val="20"/>
          <w:color w:val="auto"/>
        </w:rPr>
        <w:tab/>
      </w:r>
      <w:r>
        <w:rPr>
          <w:rFonts w:ascii="Arial" w:cs="Arial" w:eastAsia="Arial" w:hAnsi="Arial"/>
          <w:sz w:val="14"/>
          <w:szCs w:val="14"/>
          <w:b w:val="1"/>
          <w:bCs w:val="1"/>
          <w:color w:val="auto"/>
        </w:rPr>
        <w:t>Recently issued accounting pronouncements not yet adopted</w:t>
      </w:r>
    </w:p>
    <w:p>
      <w:pPr>
        <w:spacing w:after="0" w:line="22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February 2016, the FASB issued ASU 2016-02 “Leases” as amended, which generally requires lessees to recognize operating and financing lease liabilities and corresponding right-of-use assets on the balance sheet and to provide enhanced disclosures surrounding the amount, timing and uncertainty of cash flows arising from leasing arrangements. The Group will adopt the new standard effective January 1, 2019 on a modified retrospective basis and will not restate comparative periods. The Group estimate approximately RMB861.5 million would be recognized as total right-of-use assets and total lease liabilities on its consolidated balance sheet as of January 1, 2019. Other than disclosed, the Group do not expect the new standard to have a material impact on the net assets of the consolidated financial statements.</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Group is currently evaluating the impact that the standard will have on its consolidated financial statements and related disclosures.</w:t>
      </w:r>
    </w:p>
    <w:p>
      <w:pPr>
        <w:spacing w:after="0" w:line="18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Employee Share-Based Payment Accounting. The guidance simplifies the accounting for share-based payments made to non-employees so the accounting for such payments is substantially the same as those made to employees. The guidance is effective for fiscal years beginning after December 15, 2018, including interim periods within those fiscal years. The Group does not expect the adoption of this guidance to have a material impact on the consolidated financial statements.</w:t>
      </w:r>
    </w:p>
    <w:p>
      <w:pPr>
        <w:spacing w:after="0" w:line="155" w:lineRule="exact"/>
        <w:rPr>
          <w:sz w:val="20"/>
          <w:szCs w:val="20"/>
          <w:color w:val="auto"/>
        </w:rPr>
      </w:pPr>
    </w:p>
    <w:p>
      <w:pPr>
        <w:ind w:left="380" w:hanging="373"/>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Risks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Bandwidth and server custody service provider</w:t>
      </w:r>
    </w:p>
    <w:p>
      <w:pPr>
        <w:spacing w:after="0" w:line="225"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Group relied on telecommunications service providers and their affiliates for bandwidth and server custody service to support its operations during fiscal years 2016, 2017 and 2018 as follows:</w:t>
      </w:r>
    </w:p>
    <w:p>
      <w:pPr>
        <w:spacing w:after="0" w:line="169"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For the 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20" w:type="dxa"/>
            <w:vAlign w:val="bottom"/>
          </w:tcPr>
          <w:p>
            <w:pPr>
              <w:spacing w:after="0"/>
              <w:rPr>
                <w:sz w:val="12"/>
                <w:szCs w:val="12"/>
                <w:color w:val="auto"/>
              </w:rPr>
            </w:pPr>
          </w:p>
        </w:tc>
        <w:tc>
          <w:tcPr>
            <w:tcW w:w="940" w:type="dxa"/>
            <w:vAlign w:val="bottom"/>
            <w:tcBorders>
              <w:top w:val="single" w:sz="8" w:color="auto"/>
            </w:tcBorders>
          </w:tcPr>
          <w:p>
            <w:pPr>
              <w:jc w:val="right"/>
              <w:ind w:right="49"/>
              <w:spacing w:after="0" w:line="140" w:lineRule="exact"/>
              <w:rPr>
                <w:sz w:val="20"/>
                <w:szCs w:val="20"/>
                <w:color w:val="auto"/>
              </w:rPr>
            </w:pPr>
            <w:r>
              <w:rPr>
                <w:rFonts w:ascii="Arial" w:cs="Arial" w:eastAsia="Arial" w:hAnsi="Arial"/>
                <w:sz w:val="14"/>
                <w:szCs w:val="14"/>
                <w:b w:val="1"/>
                <w:bCs w:val="1"/>
                <w:color w:val="auto"/>
              </w:rPr>
              <w:t>2016</w:t>
            </w:r>
          </w:p>
        </w:tc>
        <w:tc>
          <w:tcPr>
            <w:tcW w:w="1640" w:type="dxa"/>
            <w:vAlign w:val="bottom"/>
            <w:tcBorders>
              <w:top w:val="single" w:sz="8" w:color="auto"/>
            </w:tcBorders>
            <w:gridSpan w:val="3"/>
          </w:tcPr>
          <w:p>
            <w:pPr>
              <w:jc w:val="right"/>
              <w:ind w:right="120"/>
              <w:spacing w:after="0" w:line="140"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6"/>
              <w:spacing w:after="0" w:line="140"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06"/>
        </w:trPr>
        <w:tc>
          <w:tcPr>
            <w:tcW w:w="66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number of telecommunications service providers</w:t>
            </w: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7"/>
                <w:szCs w:val="17"/>
                <w:color w:val="auto"/>
              </w:rPr>
            </w:pPr>
          </w:p>
        </w:tc>
      </w:tr>
      <w:tr>
        <w:trPr>
          <w:trHeight w:val="201"/>
        </w:trPr>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rPr>
              <w:t>Number of service providers provided by 10% or more of the Group’s bandwidth and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5"/>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server custody expenditure</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01"/>
        </w:trPr>
        <w:tc>
          <w:tcPr>
            <w:tcW w:w="7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 of the Group’s bandwidth and server custody expenditure provided by 10% or</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5"/>
        </w:trPr>
        <w:tc>
          <w:tcPr>
            <w:tcW w:w="7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greater service providers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r>
    </w:tbl>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Credit risk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Financial instruments that potentially subject the Group to significant concentrations of credit risk consist primarily of cash and cash equivalents, time deposits, restricted cash, accounts receivable and short-term investments. As of December 31, 2017 and 2018, substantially all of the Group’s cash equivalents, time deposits and restricted cash were held in major financial institutions located in the PRC or Hong Kong, which management consider being of high credit quality. Accounts receivable are typically unsecured and are generally derived from revenue earned from mobile games services (mainly related to remittances from distribution channels) and advertising services. One distribution channel had a receivable balance exceeding 10% of the total accounts receivable balance for the year ended December 31, 2017 and 2018,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8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6"/>
        </w:trPr>
        <w:tc>
          <w:tcPr>
            <w:tcW w:w="82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Distribution channel A</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r>
      <w:tr>
        <w:trPr>
          <w:trHeight w:val="224"/>
        </w:trPr>
        <w:tc>
          <w:tcPr>
            <w:tcW w:w="8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Not applicable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Not applicable</w:t>
            </w:r>
          </w:p>
        </w:tc>
      </w:tr>
    </w:tbl>
    <w:p>
      <w:pPr>
        <w:spacing w:after="0" w:line="190" w:lineRule="exact"/>
        <w:rPr>
          <w:sz w:val="20"/>
          <w:szCs w:val="20"/>
          <w:color w:val="auto"/>
        </w:rPr>
      </w:pPr>
    </w:p>
    <w:p>
      <w:pPr>
        <w:jc w:val="both"/>
        <w:ind w:right="260"/>
        <w:spacing w:after="0" w:line="295" w:lineRule="auto"/>
        <w:rPr>
          <w:sz w:val="20"/>
          <w:szCs w:val="20"/>
          <w:color w:val="auto"/>
        </w:rPr>
      </w:pPr>
      <w:r>
        <w:rPr>
          <w:rFonts w:ascii="Arial" w:cs="Arial" w:eastAsia="Arial" w:hAnsi="Arial"/>
          <w:sz w:val="16"/>
          <w:szCs w:val="16"/>
          <w:color w:val="auto"/>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1.90% to 5.50%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55" w:lineRule="exact"/>
        <w:rPr>
          <w:sz w:val="20"/>
          <w:szCs w:val="20"/>
          <w:color w:val="auto"/>
        </w:rPr>
      </w:pPr>
    </w:p>
    <w:p>
      <w:pPr>
        <w:ind w:left="400" w:hanging="393"/>
        <w:spacing w:after="0"/>
        <w:tabs>
          <w:tab w:leader="none" w:pos="4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the Group’s total net revenues for the years ended December 31, 2016, 2017 and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Online Games</w:t>
      </w:r>
    </w:p>
    <w:p>
      <w:pPr>
        <w:spacing w:after="0" w:line="225"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color w:val="auto"/>
        </w:rPr>
        <w:t>The Group derived 46.3%, 44.3% and 30.2% of its total net revenues from its top 5 online games for the years ended December 31, 2016, 2017 and 2018, respectively.</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Additionally, 61.9%, 70.8% and 71.0% of the Group’s total net game revenues were generated from mobile games for the years ended December 31, 2016, 2017 and 2018, respectively.</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4.</w:t>
        <w:tab/>
        <w:t>Prepayments and Other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prepayments and other current assets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0"/>
        </w:trPr>
        <w:tc>
          <w:tcPr>
            <w:tcW w:w="8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Guarantee payment made to Blizzard - royalty fees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42,697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97,642</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Prepayment for royalties, revenue sharing cost</w:t>
            </w:r>
          </w:p>
        </w:tc>
        <w:tc>
          <w:tcPr>
            <w:tcW w:w="1360" w:type="dxa"/>
            <w:vAlign w:val="bottom"/>
          </w:tcPr>
          <w:p>
            <w:pPr>
              <w:jc w:val="right"/>
              <w:spacing w:after="0"/>
              <w:rPr>
                <w:sz w:val="20"/>
                <w:szCs w:val="20"/>
                <w:color w:val="auto"/>
              </w:rPr>
            </w:pPr>
            <w:r>
              <w:rPr>
                <w:rFonts w:ascii="Arial" w:cs="Arial" w:eastAsia="Arial" w:hAnsi="Arial"/>
                <w:sz w:val="18"/>
                <w:szCs w:val="18"/>
                <w:color w:val="auto"/>
              </w:rPr>
              <w:t>1,479,817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2,000,327</w:t>
            </w:r>
          </w:p>
        </w:tc>
        <w:tc>
          <w:tcPr>
            <w:tcW w:w="100" w:type="dxa"/>
            <w:vAlign w:val="bottom"/>
          </w:tcPr>
          <w:p>
            <w:pPr>
              <w:spacing w:after="0"/>
              <w:rPr>
                <w:sz w:val="18"/>
                <w:szCs w:val="18"/>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operating income receivable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417,843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511,364</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Prepayments of content and marketing cost and other operational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381,213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729,376</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sales tax and deductible value added tax</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698,902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463,411</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Bridge loans in connection with ongoing investments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30,575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19,679</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138,633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123,995</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Employee advances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55,045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44,469</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Advance to suppliers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337,938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330,903</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233,365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306,631</w:t>
            </w:r>
          </w:p>
        </w:tc>
      </w:tr>
      <w:tr>
        <w:trPr>
          <w:trHeight w:val="206"/>
        </w:trPr>
        <w:tc>
          <w:tcPr>
            <w:tcW w:w="8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3,816,028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4,627,797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80"/>
        <w:spacing w:after="0" w:line="222" w:lineRule="auto"/>
        <w:rPr>
          <w:sz w:val="20"/>
          <w:szCs w:val="20"/>
          <w:color w:val="auto"/>
        </w:rPr>
      </w:pPr>
      <w:r>
        <w:rPr>
          <w:rFonts w:ascii="Arial" w:cs="Arial" w:eastAsia="Arial" w:hAnsi="Arial"/>
          <w:sz w:val="17"/>
          <w:szCs w:val="17"/>
          <w:color w:val="auto"/>
        </w:rPr>
        <w:t>In accordance with the license agreements of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 series, Hearthstone</w:t>
      </w:r>
      <w:r>
        <w:rPr>
          <w:rFonts w:ascii="Arial" w:cs="Arial" w:eastAsia="Arial" w:hAnsi="Arial"/>
          <w:sz w:val="22"/>
          <w:szCs w:val="22"/>
          <w:color w:val="auto"/>
          <w:vertAlign w:val="superscript"/>
        </w:rPr>
        <w:t>®</w:t>
      </w:r>
      <w:r>
        <w:rPr>
          <w:rFonts w:ascii="Arial" w:cs="Arial" w:eastAsia="Arial" w:hAnsi="Arial"/>
          <w:sz w:val="17"/>
          <w:szCs w:val="17"/>
          <w:color w:val="auto"/>
        </w:rPr>
        <w:t>, Heroes of the Storm</w:t>
      </w:r>
      <w:r>
        <w:rPr>
          <w:rFonts w:ascii="Arial" w:cs="Arial" w:eastAsia="Arial" w:hAnsi="Arial"/>
          <w:sz w:val="22"/>
          <w:szCs w:val="22"/>
          <w:color w:val="auto"/>
          <w:vertAlign w:val="superscript"/>
        </w:rPr>
        <w:t>®</w:t>
      </w:r>
      <w:r>
        <w:rPr>
          <w:rFonts w:ascii="Arial" w:cs="Arial" w:eastAsia="Arial" w:hAnsi="Arial"/>
          <w:sz w:val="17"/>
          <w:szCs w:val="17"/>
          <w:color w:val="auto"/>
        </w:rPr>
        <w:t>,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III and Overwatch</w:t>
      </w:r>
      <w:r>
        <w:rPr>
          <w:rFonts w:ascii="Arial" w:cs="Arial" w:eastAsia="Arial" w:hAnsi="Arial"/>
          <w:sz w:val="22"/>
          <w:szCs w:val="22"/>
          <w:color w:val="auto"/>
          <w:vertAlign w:val="superscript"/>
        </w:rPr>
        <w:t>®</w:t>
      </w:r>
      <w:r>
        <w:rPr>
          <w:rFonts w:ascii="Arial" w:cs="Arial" w:eastAsia="Arial" w:hAnsi="Arial"/>
          <w:sz w:val="17"/>
          <w:szCs w:val="17"/>
          <w:color w:val="auto"/>
        </w:rPr>
        <w:t>, the Group made certain guarantee payments to Blizzard on behalf of Shanghai EaseNet for the minimum guaranteed royalties as of December 31, 2017 and 2018. The guarantee amounts will be released to the Group when actual royalties are paid by Shanghai EaseNet to Blizzard.</w:t>
      </w:r>
    </w:p>
    <w:p>
      <w:pPr>
        <w:spacing w:after="0" w:line="204" w:lineRule="exact"/>
        <w:rPr>
          <w:sz w:val="20"/>
          <w:szCs w:val="20"/>
          <w:color w:val="auto"/>
        </w:rPr>
      </w:pPr>
    </w:p>
    <w:p>
      <w:pPr>
        <w:ind w:right="620"/>
        <w:spacing w:after="0" w:line="267" w:lineRule="auto"/>
        <w:rPr>
          <w:sz w:val="20"/>
          <w:szCs w:val="20"/>
          <w:color w:val="auto"/>
        </w:rPr>
      </w:pPr>
      <w:r>
        <w:rPr>
          <w:rFonts w:ascii="Arial" w:cs="Arial" w:eastAsia="Arial" w:hAnsi="Arial"/>
          <w:sz w:val="18"/>
          <w:szCs w:val="18"/>
          <w:color w:val="auto"/>
        </w:rPr>
        <w:t>As of December 31, 2017 and 2018, prepayments for royalties and revenue sharing cost representing prepaid royalties or revenue sharing cost related to operations of licensed PC and mobile games.</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amount of employee advances listed above included staff housing loan balances of RMB48.5 million and RMB43.1 million repayable within 12 months from December 31, 2017 and 2018, respectively (see Note 9). No advances were made directly or indirectly to the Group’s executive officers for their personal benefit for the years ended December 31, 2017 and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380" w:hanging="373"/>
        <w:spacing w:after="0"/>
        <w:tabs>
          <w:tab w:leader="none" w:pos="3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of December 31, 2017 and 2018, the Group’s short-term investments mainly consisted of financial products issued by commercial banks in China with a variable interest rate indexed to the performance of underlying assets and a maturity date within one year when purchased. As of December 31, 2018, the effective yields of short-term investments ranged from 1.90% to 5.50% per annum (2017: 2.00% to 5.30% per annum).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short-term investments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 2017</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6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Unrealized</w:t>
            </w:r>
          </w:p>
        </w:tc>
        <w:tc>
          <w:tcPr>
            <w:tcW w:w="13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9"/>
              </w:rPr>
              <w:t>Estimated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Gains/(Losses)</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0"/>
        </w:trPr>
        <w:tc>
          <w:tcPr>
            <w:tcW w:w="66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9,597,381</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145,282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9,597,381</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145,282</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9,742,663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6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 2018</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6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Unrealized</w:t>
            </w:r>
          </w:p>
        </w:tc>
        <w:tc>
          <w:tcPr>
            <w:tcW w:w="13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Gains/(Losses)</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0"/>
        </w:trPr>
        <w:tc>
          <w:tcPr>
            <w:tcW w:w="66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11,528,300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146,475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11,674,775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11,528,300</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146,475</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11,674,775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color w:val="auto"/>
        </w:rPr>
        <w:t>During the years ended December 31, 2016, 2017 and 2018, the Group recorded investment income related to short-term investments of RMB303.4 million, RMB389.5 million and RMB463.6 million in the consolidated statements of operations and comprehensive income, respectively.</w:t>
      </w:r>
    </w:p>
    <w:p>
      <w:pPr>
        <w:spacing w:after="0" w:line="15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tab/>
        <w:t>Property, Equipment and Software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property, equipment and software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0"/>
        </w:trPr>
        <w:tc>
          <w:tcPr>
            <w:tcW w:w="8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decoration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1,496,971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1,499,947</w:t>
            </w:r>
          </w:p>
        </w:tc>
        <w:tc>
          <w:tcPr>
            <w:tcW w:w="100" w:type="dxa"/>
            <w:vAlign w:val="bottom"/>
            <w:shd w:val="clear" w:color="auto" w:fill="CCEEFF"/>
          </w:tcPr>
          <w:p>
            <w:pPr>
              <w:spacing w:after="0"/>
              <w:rPr>
                <w:sz w:val="18"/>
                <w:szCs w:val="18"/>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98,278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176,174</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124,201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141,697</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Vehicles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68,414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76,913</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Servers and computers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2,583,270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3,885,881</w:t>
            </w:r>
          </w:p>
        </w:tc>
        <w:tc>
          <w:tcPr>
            <w:tcW w:w="100" w:type="dxa"/>
            <w:vAlign w:val="bottom"/>
            <w:shd w:val="clear" w:color="auto" w:fill="CCEEFF"/>
          </w:tcPr>
          <w:p>
            <w:pPr>
              <w:spacing w:after="0"/>
              <w:rPr>
                <w:sz w:val="18"/>
                <w:szCs w:val="18"/>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Software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86,650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96,850</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1,086,773</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2,153,966</w:t>
            </w:r>
          </w:p>
        </w:tc>
        <w:tc>
          <w:tcPr>
            <w:tcW w:w="100" w:type="dxa"/>
            <w:vAlign w:val="bottom"/>
            <w:shd w:val="clear" w:color="auto" w:fill="CCEEFF"/>
          </w:tcPr>
          <w:p>
            <w:pPr>
              <w:spacing w:after="0"/>
              <w:rPr>
                <w:sz w:val="18"/>
                <w:szCs w:val="18"/>
                <w:color w:val="auto"/>
              </w:rPr>
            </w:pPr>
          </w:p>
        </w:tc>
      </w:tr>
      <w:tr>
        <w:trPr>
          <w:trHeight w:val="206"/>
        </w:trPr>
        <w:tc>
          <w:tcPr>
            <w:tcW w:w="83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5,544,557</w:t>
            </w:r>
          </w:p>
        </w:tc>
        <w:tc>
          <w:tcPr>
            <w:tcW w:w="3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8,031,428</w:t>
            </w:r>
          </w:p>
        </w:tc>
        <w:tc>
          <w:tcPr>
            <w:tcW w:w="100" w:type="dxa"/>
            <w:vAlign w:val="bottom"/>
            <w:tcBorders>
              <w:bottom w:val="single" w:sz="8" w:color="CCEEFF"/>
            </w:tcBorders>
          </w:tcPr>
          <w:p>
            <w:pPr>
              <w:spacing w:after="0"/>
              <w:rPr>
                <w:sz w:val="17"/>
                <w:szCs w:val="17"/>
                <w:color w:val="auto"/>
              </w:rPr>
            </w:pPr>
          </w:p>
        </w:tc>
      </w:tr>
      <w:tr>
        <w:trPr>
          <w:trHeight w:val="206"/>
        </w:trPr>
        <w:tc>
          <w:tcPr>
            <w:tcW w:w="8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(1,775,231)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(2,652,868)</w:t>
            </w:r>
          </w:p>
        </w:tc>
      </w:tr>
      <w:tr>
        <w:trPr>
          <w:trHeight w:val="206"/>
        </w:trPr>
        <w:tc>
          <w:tcPr>
            <w:tcW w:w="8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Net book value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3,769,326</w:t>
            </w: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5,378,560</w:t>
            </w:r>
          </w:p>
        </w:tc>
        <w:tc>
          <w:tcPr>
            <w:tcW w:w="10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RMB312.9 million, RMB522.2 million and RMB954.7 million for the years ended December 31, 2016, 2017 and 2018, respectively.</w:t>
      </w:r>
    </w:p>
    <w:p>
      <w:pPr>
        <w:spacing w:after="0" w:line="24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2017 and 2018, the construction in progress balance were mainly comprised of construction of office buildings and warehouses in Hangzhou, Zhoushan, Guangzhou and Ningbo that have not yet been placed in service for our intended use. All the related cost is capitalized in construction in progress to the extent it is incurred for the purposes of bringing the construction development to a usable state.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380" w:hanging="373"/>
        <w:spacing w:after="0"/>
        <w:tabs>
          <w:tab w:leader="none" w:pos="3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Rights</w:t>
      </w:r>
    </w:p>
    <w:p>
      <w:pPr>
        <w:spacing w:after="0" w:line="225" w:lineRule="exact"/>
        <w:rPr>
          <w:sz w:val="20"/>
          <w:szCs w:val="20"/>
          <w:color w:val="auto"/>
        </w:rPr>
      </w:pPr>
    </w:p>
    <w:p>
      <w:pPr>
        <w:jc w:val="both"/>
        <w:ind w:right="160"/>
        <w:spacing w:after="0" w:line="304" w:lineRule="auto"/>
        <w:rPr>
          <w:sz w:val="20"/>
          <w:szCs w:val="20"/>
          <w:color w:val="auto"/>
        </w:rPr>
      </w:pPr>
      <w:r>
        <w:rPr>
          <w:rFonts w:ascii="Arial" w:cs="Arial" w:eastAsia="Arial" w:hAnsi="Arial"/>
          <w:sz w:val="16"/>
          <w:szCs w:val="16"/>
          <w:color w:val="auto"/>
        </w:rPr>
        <w:t>Land use rights represent acquired right to use the land on which the Group’s offices and warehouses are built. In 2018, the Group obtained the land use rights in Guangzhou, Shanghai and Tianjin from the local authorities. Amortization of the land use right is made over the remaining term of the land use right period from the date when the land was made available for use by the Group. The land use rights are summarized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0"/>
        </w:trPr>
        <w:tc>
          <w:tcPr>
            <w:tcW w:w="8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637,057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3,581,508</w:t>
            </w:r>
          </w:p>
        </w:tc>
        <w:tc>
          <w:tcPr>
            <w:tcW w:w="100" w:type="dxa"/>
            <w:vAlign w:val="bottom"/>
            <w:shd w:val="clear" w:color="auto" w:fill="CCEEFF"/>
          </w:tcPr>
          <w:p>
            <w:pPr>
              <w:spacing w:after="0"/>
              <w:rPr>
                <w:sz w:val="18"/>
                <w:szCs w:val="18"/>
                <w:color w:val="auto"/>
              </w:rPr>
            </w:pP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Incentive payment from local government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(28,778)</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(63,939)</w:t>
            </w:r>
          </w:p>
        </w:tc>
      </w:tr>
      <w:tr>
        <w:trPr>
          <w:trHeight w:val="206"/>
        </w:trPr>
        <w:tc>
          <w:tcPr>
            <w:tcW w:w="8300" w:type="dxa"/>
            <w:vAlign w:val="bottom"/>
          </w:tcPr>
          <w:p>
            <w:pPr>
              <w:spacing w:after="0" w:line="204" w:lineRule="exact"/>
              <w:rPr>
                <w:sz w:val="20"/>
                <w:szCs w:val="20"/>
                <w:color w:val="auto"/>
              </w:rPr>
            </w:pPr>
            <w:r>
              <w:rPr>
                <w:rFonts w:ascii="Arial" w:cs="Arial" w:eastAsia="Arial" w:hAnsi="Arial"/>
                <w:sz w:val="18"/>
                <w:szCs w:val="18"/>
                <w:color w:val="auto"/>
              </w:rPr>
              <w:t>Land use right,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593,279</w:t>
            </w:r>
          </w:p>
        </w:tc>
        <w:tc>
          <w:tcPr>
            <w:tcW w:w="3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3,502,569</w:t>
            </w:r>
          </w:p>
        </w:tc>
        <w:tc>
          <w:tcPr>
            <w:tcW w:w="10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color w:val="auto"/>
        </w:rPr>
        <w:t>The total amortization expense for each of the years ended December 31, 2016, 2017 and 2018 amounted to approximately RMB11.4 million, RMB12.5 million, and RMB35.2 million, respectively.</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8.</w:t>
        <w:tab/>
        <w:t>Long-term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long-term investments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8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0"/>
        </w:trPr>
        <w:tc>
          <w:tcPr>
            <w:tcW w:w="8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equity method investees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563,896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736,551</w:t>
            </w:r>
          </w:p>
        </w:tc>
      </w:tr>
      <w:tr>
        <w:trPr>
          <w:trHeight w:val="213"/>
        </w:trPr>
        <w:tc>
          <w:tcPr>
            <w:tcW w:w="8300" w:type="dxa"/>
            <w:vAlign w:val="bottom"/>
          </w:tcPr>
          <w:p>
            <w:pPr>
              <w:spacing w:after="0"/>
              <w:rPr>
                <w:sz w:val="20"/>
                <w:szCs w:val="20"/>
                <w:color w:val="auto"/>
              </w:rPr>
            </w:pPr>
            <w:r>
              <w:rPr>
                <w:rFonts w:ascii="Arial" w:cs="Arial" w:eastAsia="Arial" w:hAnsi="Arial"/>
                <w:sz w:val="18"/>
                <w:szCs w:val="18"/>
                <w:color w:val="auto"/>
              </w:rPr>
              <w:t>Equity investments with readily determinable fair values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828,260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612,465</w:t>
            </w: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without readily determinable fair values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1,292,620</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3,897,092</w:t>
            </w:r>
          </w:p>
        </w:tc>
        <w:tc>
          <w:tcPr>
            <w:tcW w:w="100" w:type="dxa"/>
            <w:vAlign w:val="bottom"/>
            <w:shd w:val="clear" w:color="auto" w:fill="CCEEFF"/>
          </w:tcPr>
          <w:p>
            <w:pPr>
              <w:spacing w:after="0"/>
              <w:rPr>
                <w:sz w:val="18"/>
                <w:szCs w:val="18"/>
                <w:color w:val="auto"/>
              </w:rPr>
            </w:pPr>
          </w:p>
        </w:tc>
      </w:tr>
      <w:tr>
        <w:trPr>
          <w:trHeight w:val="206"/>
        </w:trPr>
        <w:tc>
          <w:tcPr>
            <w:tcW w:w="83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2,684,776</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5,246,108</w:t>
            </w:r>
          </w:p>
        </w:tc>
        <w:tc>
          <w:tcPr>
            <w:tcW w:w="100" w:type="dxa"/>
            <w:vAlign w:val="bottom"/>
          </w:tcPr>
          <w:p>
            <w:pPr>
              <w:spacing w:after="0"/>
              <w:rPr>
                <w:sz w:val="17"/>
                <w:szCs w:val="17"/>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Investments in equity method investees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Group recorded equity share of loss of RMB85.8 million, RMB12.2 million, and RMB98.3 million for the years ended December 31, 2016, 2017 and 2018, respectively, which was included in “investment income, net” in the consolidated statements of operations and comprehensive income. Significant equity method investments are summarized as follows.</w:t>
      </w:r>
    </w:p>
    <w:p>
      <w:pPr>
        <w:spacing w:after="0" w:line="188" w:lineRule="exact"/>
        <w:rPr>
          <w:sz w:val="20"/>
          <w:szCs w:val="20"/>
          <w:color w:val="auto"/>
        </w:rPr>
      </w:pPr>
    </w:p>
    <w:p>
      <w:pPr>
        <w:ind w:left="640" w:right="220" w:hanging="633"/>
        <w:spacing w:after="0" w:line="253" w:lineRule="auto"/>
        <w:tabs>
          <w:tab w:leader="none" w:pos="64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August 2013, the Group established a joint venture with China Telecom Corp. Ltd. (“China Telecom”), Hangzhou Yixin Technology Co., Ltd. (“Yixin”) to launch “YiChat”, a proprietary social instant messaging application for smart phones. The Group contributed RMB200.0 million cash in exchange for a 27.0% equity interest in Yixin. In July 2015, the Group increased its equity shares in Yixin to 35.0% with a cash consideration of approximately RMB127.5 million.</w:t>
      </w:r>
    </w:p>
    <w:p>
      <w:pPr>
        <w:spacing w:after="0" w:line="192" w:lineRule="exact"/>
        <w:rPr>
          <w:rFonts w:ascii="Arial" w:cs="Arial" w:eastAsia="Arial" w:hAnsi="Arial"/>
          <w:sz w:val="18"/>
          <w:szCs w:val="18"/>
          <w:color w:val="auto"/>
        </w:rPr>
      </w:pPr>
    </w:p>
    <w:p>
      <w:pPr>
        <w:ind w:left="640" w:right="200" w:hanging="633"/>
        <w:spacing w:after="0" w:line="257" w:lineRule="auto"/>
        <w:tabs>
          <w:tab w:leader="none" w:pos="64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2016, the Group acquired a 49.0% equity interest in MAXWIN (B.V.I) LIMITED (“MAXWIN”), which is engaged in the retail business of casual and sportswear apparel, for a consideration of approximately RMB344.6 million in cash. In 2017, the Group disposed the 49.0% equity interest in MAXWIN for a cash consideration of approximately RMB340.4 million.</w:t>
      </w:r>
    </w:p>
    <w:p>
      <w:pPr>
        <w:spacing w:after="0" w:line="187" w:lineRule="exact"/>
        <w:rPr>
          <w:rFonts w:ascii="Arial" w:cs="Arial" w:eastAsia="Arial" w:hAnsi="Arial"/>
          <w:sz w:val="18"/>
          <w:szCs w:val="18"/>
          <w:color w:val="auto"/>
        </w:rPr>
      </w:pPr>
    </w:p>
    <w:p>
      <w:pPr>
        <w:ind w:left="640" w:right="380" w:hanging="633"/>
        <w:spacing w:after="0" w:line="296" w:lineRule="auto"/>
        <w:tabs>
          <w:tab w:leader="none" w:pos="64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of December 31, 2018, the Group contributed RMB228.6 million cash in a limited partnership as a limited partner. The objective of the limited partnership is to engage in investment in on-line game business. The Group accounted such investment under the equity method.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Equity investments with readily determinable fair values (“Available-for-sale securities” prior to adoption of ASU 2016-01)</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December 31, 2018, equity investments with readily determinable fair values included RMB509.5 million invested in shares of Huatai Securities Company Limited (“Huatai”) and RMB102.9 million invested in shares of Caissa Touristic Group (“Caissa”). The Group recorded unrealized fair value loss of RMB215.8 million related to the equity investments with readily determinable fair value for the year ended December 31, 2018.</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Prior to adoption of ASU 2016-01, these investments were classified as available-for-sale equity securities. For the year ended December 31, 2016 and 2017, RMB266.7 million and nil impairment provision for Huatai were recognized as “investment income, net” in the consolidated statements of comprehensive income, respectively.</w:t>
      </w:r>
    </w:p>
    <w:p>
      <w:pPr>
        <w:spacing w:after="0" w:line="188"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The Group also received cash dividends of RMB21.4 million, RMB20.9 million and RMB12.7 million from Huatai for the years ended December 31, 2016, 2017 and 2018,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Equity investments without readily determinable fair value (“Equity investments” prior to adoption of ASU 2016-01)</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Equity investments without determinable fair value represent investments in privately held companies with no readily determinable fair value. The Group does not have significant influence on these investees, or the investments are not common stock or in substance common stock. Prior to January 1, 2018, the Group accounted for investments in these equity securities at cost less impairment. On January 1, 2018, the Group adopted ASU 2016-01 prospectively. These investments are classified as equity investments without determinable fair value, and are carried at cost less impairment, plus or minus changes resulting from observable price changes in orderly transactions for the identical or a similar investment of the same issuer. For the year ended December 31, 2018, there’s no upward adjustments to the carrying value of equity securities without readily determinable fair value resulted from such transactions.</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Group did not sell any investments in equity securities without readily determinable fair value during the year ended December 31, 2018. The Group recognized a gain of RMB234.1 million and RMB9.6 million related to the partial disposal of one of the Group’s investment in equity securities without readily determinable fair value as “investment income, net” in the consolidated statements of operations and comprehensive income for the years ended December 31, 2016 and 2017.</w:t>
      </w:r>
    </w:p>
    <w:p>
      <w:pPr>
        <w:spacing w:after="0" w:line="193" w:lineRule="exact"/>
        <w:rPr>
          <w:sz w:val="20"/>
          <w:szCs w:val="20"/>
          <w:color w:val="auto"/>
        </w:rPr>
      </w:pPr>
    </w:p>
    <w:p>
      <w:pPr>
        <w:jc w:val="both"/>
        <w:ind w:right="380"/>
        <w:spacing w:after="0" w:line="257" w:lineRule="auto"/>
        <w:rPr>
          <w:sz w:val="20"/>
          <w:szCs w:val="20"/>
          <w:color w:val="auto"/>
        </w:rPr>
      </w:pPr>
      <w:r>
        <w:rPr>
          <w:rFonts w:ascii="Arial" w:cs="Arial" w:eastAsia="Arial" w:hAnsi="Arial"/>
          <w:sz w:val="18"/>
          <w:szCs w:val="18"/>
          <w:color w:val="auto"/>
        </w:rPr>
        <w:t>The Group recognized impairment provision of RMB12.2 million, RMB58.5 million and RMB133.6 million related to certain of the equity investments as “investment income, net” in the consolidated statements of operations and comprehensive income for the years ended December 31, 2016, 2017 and 2018, respectively.</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9.</w:t>
        <w:tab/>
        <w:t>Other Long-term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assets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73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0"/>
        </w:trPr>
        <w:tc>
          <w:tcPr>
            <w:tcW w:w="73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Copyrights, licenses and domain names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820,362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2,464,971</w:t>
            </w: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Staff housing loans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107,203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98,244</w:t>
            </w:r>
          </w:p>
        </w:tc>
      </w:tr>
      <w:tr>
        <w:trPr>
          <w:trHeight w:val="21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93,147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109,805</w:t>
            </w:r>
          </w:p>
        </w:tc>
      </w:tr>
      <w:tr>
        <w:trPr>
          <w:trHeight w:val="213"/>
        </w:trPr>
        <w:tc>
          <w:tcPr>
            <w:tcW w:w="7380" w:type="dxa"/>
            <w:vAlign w:val="bottom"/>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91,867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287,656</w:t>
            </w:r>
          </w:p>
        </w:tc>
      </w:tr>
      <w:tr>
        <w:trPr>
          <w:trHeight w:val="206"/>
        </w:trPr>
        <w:tc>
          <w:tcPr>
            <w:tcW w:w="73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1,112,579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2,960,676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Balances of copyrights and licenses represents prepaid minimum royalties for exploitation of related intellectual properties, which was amortized over the term of the respective licensing agreements or estimated amortization periods.</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3.25% per annum for the years ended December 31, 2017 and 2018, respectively. The outstanding portion of the staff housing loans repayable within 12 months as of December 31, 2017 and 2018 amounted to approximately RMB48.5 million and RMB43.1 million, respectively, and are reported under prepayments and other current assets in the consolidated balance sheets (see Note 4).</w:t>
      </w:r>
    </w:p>
    <w:p>
      <w:pPr>
        <w:spacing w:after="0" w:line="18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Taxation</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Subsidiaries in the BVI are exempted from income tax on its foreign-derived income in the BVI. There are no withholding taxes in the BVI.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19"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Subsidiaries in Hong Kong are subject to 16.5% income tax for 2016, 2017 and 2018 on their taxable income generated from operations in Hong Kong. The payments of dividends by these companies to their shareholders are not subject to any Hong Kong withholding tax.</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19"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Enterprise Income Tax Law became effective on January 1, 2008.</w:t>
      </w:r>
    </w:p>
    <w:p>
      <w:pPr>
        <w:spacing w:after="0" w:line="161"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NetEase Beijing, Boguan, NetEase Hangzhou, Media Beijing and Hangzhou Langhe were qualified as HNTEs and enjoyed a preferential tax rate of 15% for 2016, 2017 and 2018. In 2016, 2017 and 2018, Boguan, Netease Hangzhou and Media Beijing were qualified as a Key Software Enterprise and enjoyed a further reduced preferential tax rate of 10% for 2015, 2016 and 2017. The related tax benefit was recorded in 2016, 2017 and 2018, respectively.</w:t>
      </w:r>
    </w:p>
    <w:p>
      <w:pPr>
        <w:spacing w:after="0" w:line="153"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Lede Technology was recognized as a Software Enterprise in 2014. It was exempt from EIT for 2014 and 2015 and subject to a 50% reduction in its EIT rate from 2016 to 2018.</w:t>
      </w:r>
    </w:p>
    <w:p>
      <w:pPr>
        <w:spacing w:after="0" w:line="17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Tianjin Technology was recognised as a Software Enterprise in 2016 to enjoy exemption from EIT for 2015 and 2016 and subject to a 50% reduction in its EIT rate from 2017 to 2019. Hence, the related tax benefit for 2015 was recorded in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preferential tax rates are subject to annual review by the relevant tax authorities in China.</w:t>
      </w:r>
    </w:p>
    <w:p>
      <w:pPr>
        <w:spacing w:after="0" w:line="21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The following table presents the combined effects of EIT exemptions and tax rate reductions enjoyed by the Group for the years ended December 31, 2016, 2017 and 2018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20" w:type="dxa"/>
            <w:vAlign w:val="bottom"/>
          </w:tcPr>
          <w:p>
            <w:pPr>
              <w:spacing w:after="0"/>
              <w:rPr>
                <w:sz w:val="14"/>
                <w:szCs w:val="14"/>
                <w:color w:val="auto"/>
              </w:rPr>
            </w:pPr>
          </w:p>
        </w:tc>
        <w:tc>
          <w:tcPr>
            <w:tcW w:w="3540" w:type="dxa"/>
            <w:vAlign w:val="bottom"/>
            <w:tcBorders>
              <w:bottom w:val="single" w:sz="8" w:color="auto"/>
            </w:tcBorders>
            <w:gridSpan w:val="5"/>
          </w:tcPr>
          <w:p>
            <w:pPr>
              <w:jc w:val="center"/>
              <w:ind w:left="1000"/>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20" w:type="dxa"/>
            <w:vAlign w:val="bottom"/>
          </w:tcPr>
          <w:p>
            <w:pPr>
              <w:spacing w:after="0"/>
              <w:rPr>
                <w:sz w:val="12"/>
                <w:szCs w:val="12"/>
                <w:color w:val="auto"/>
              </w:rPr>
            </w:pPr>
          </w:p>
        </w:tc>
        <w:tc>
          <w:tcPr>
            <w:tcW w:w="1360" w:type="dxa"/>
            <w:vAlign w:val="bottom"/>
            <w:tcBorders>
              <w:bottom w:val="single" w:sz="8" w:color="auto"/>
            </w:tcBorders>
          </w:tcPr>
          <w:p>
            <w:pPr>
              <w:jc w:val="right"/>
              <w:ind w:right="460"/>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8"/>
              <w:spacing w:after="0" w:line="14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20" w:type="dxa"/>
            <w:vAlign w:val="bottom"/>
          </w:tcPr>
          <w:p>
            <w:pPr>
              <w:spacing w:after="0"/>
              <w:rPr>
                <w:sz w:val="12"/>
                <w:szCs w:val="12"/>
                <w:color w:val="auto"/>
              </w:rPr>
            </w:pPr>
          </w:p>
        </w:tc>
        <w:tc>
          <w:tcPr>
            <w:tcW w:w="1360" w:type="dxa"/>
            <w:vAlign w:val="bottom"/>
          </w:tcPr>
          <w:p>
            <w:pPr>
              <w:jc w:val="right"/>
              <w:ind w:right="440"/>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18"/>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Aggregate amount of EIT exemptions and tax rate reductions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1,417,150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1,464,587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1,621,063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effect, basic</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22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0.45</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22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Earnings per share effect, diluted</w:t>
            </w: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0.44</w:t>
            </w: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 of income tax expenses of the Group for the years ended December 31, 2016, 2017 and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20" w:type="dxa"/>
            <w:vAlign w:val="bottom"/>
          </w:tcPr>
          <w:p>
            <w:pPr>
              <w:spacing w:after="0"/>
              <w:rPr>
                <w:sz w:val="14"/>
                <w:szCs w:val="14"/>
                <w:color w:val="auto"/>
              </w:rPr>
            </w:pPr>
          </w:p>
        </w:tc>
        <w:tc>
          <w:tcPr>
            <w:tcW w:w="3540" w:type="dxa"/>
            <w:vAlign w:val="bottom"/>
            <w:tcBorders>
              <w:bottom w:val="single" w:sz="8" w:color="auto"/>
            </w:tcBorders>
            <w:gridSpan w:val="5"/>
          </w:tcPr>
          <w:p>
            <w:pPr>
              <w:jc w:val="center"/>
              <w:ind w:left="1000"/>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6220" w:type="dxa"/>
            <w:vAlign w:val="bottom"/>
          </w:tcPr>
          <w:p>
            <w:pPr>
              <w:spacing w:after="0"/>
              <w:rPr>
                <w:sz w:val="12"/>
                <w:szCs w:val="12"/>
                <w:color w:val="auto"/>
              </w:rPr>
            </w:pPr>
          </w:p>
        </w:tc>
        <w:tc>
          <w:tcPr>
            <w:tcW w:w="1360" w:type="dxa"/>
            <w:vAlign w:val="bottom"/>
            <w:tcBorders>
              <w:bottom w:val="single" w:sz="8" w:color="auto"/>
            </w:tcBorders>
          </w:tcPr>
          <w:p>
            <w:pPr>
              <w:jc w:val="right"/>
              <w:ind w:right="460"/>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8"/>
              <w:spacing w:after="0" w:line="14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0"/>
        </w:trPr>
        <w:tc>
          <w:tcPr>
            <w:tcW w:w="6220" w:type="dxa"/>
            <w:vAlign w:val="bottom"/>
          </w:tcPr>
          <w:p>
            <w:pPr>
              <w:spacing w:after="0"/>
              <w:rPr>
                <w:sz w:val="12"/>
                <w:szCs w:val="12"/>
                <w:color w:val="auto"/>
              </w:rPr>
            </w:pPr>
          </w:p>
        </w:tc>
        <w:tc>
          <w:tcPr>
            <w:tcW w:w="1360" w:type="dxa"/>
            <w:vAlign w:val="bottom"/>
          </w:tcPr>
          <w:p>
            <w:pPr>
              <w:jc w:val="right"/>
              <w:ind w:right="440"/>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178"/>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2,035,822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2,600,406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2,536,580</w:t>
            </w: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Deferred tax expense/(benefit)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66,676</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(438,043)</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(69,899)</w:t>
            </w:r>
          </w:p>
        </w:tc>
      </w:tr>
      <w:tr>
        <w:trPr>
          <w:trHeight w:val="206"/>
        </w:trPr>
        <w:tc>
          <w:tcPr>
            <w:tcW w:w="622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Income tax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2,102,498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2,162,363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2,466,681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The following table presents a reconciliation of the differences between the statutory income tax rate and the Group’s effective income tax rate for the years ended December 31, 2016, 2017 and 2018:</w:t>
      </w:r>
    </w:p>
    <w:p>
      <w:pPr>
        <w:spacing w:after="0" w:line="16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For the 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9"/>
              <w:spacing w:after="0" w:line="140"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0"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0"/>
        </w:trPr>
        <w:tc>
          <w:tcPr>
            <w:tcW w:w="6640" w:type="dxa"/>
            <w:vAlign w:val="bottom"/>
          </w:tcPr>
          <w:p>
            <w:pPr>
              <w:spacing w:after="0"/>
              <w:rPr>
                <w:sz w:val="12"/>
                <w:szCs w:val="12"/>
                <w:color w:val="auto"/>
              </w:rPr>
            </w:pPr>
          </w:p>
        </w:tc>
        <w:tc>
          <w:tcPr>
            <w:tcW w:w="920" w:type="dxa"/>
            <w:vAlign w:val="bottom"/>
          </w:tcPr>
          <w:p>
            <w:pPr>
              <w:jc w:val="right"/>
              <w:ind w:right="89"/>
              <w:spacing w:after="0" w:line="140"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ind w:right="535"/>
              <w:spacing w:after="0" w:line="140"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80" w:type="dxa"/>
            <w:vAlign w:val="bottom"/>
          </w:tcPr>
          <w:p>
            <w:pPr>
              <w:jc w:val="right"/>
              <w:ind w:right="535"/>
              <w:spacing w:after="0" w:line="140"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3"/>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3"/>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due to different tax rates applicable to overseas entities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01"/>
        </w:trPr>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rPr>
              <w:t>Effect of lower tax rate applicable to Software Enterprises, Key Software Enterprise and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HNTEs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r>
      <w:tr>
        <w:trPr>
          <w:trHeight w:val="214"/>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8"/>
                <w:szCs w:val="18"/>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8"/>
                <w:szCs w:val="18"/>
                <w:color w:val="auto"/>
              </w:rPr>
              <w:t>Effect of withholding income tax</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06"/>
        </w:trPr>
        <w:tc>
          <w:tcPr>
            <w:tcW w:w="664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5"/>
        </w:trPr>
        <w:tc>
          <w:tcPr>
            <w:tcW w:w="7560" w:type="dxa"/>
            <w:vAlign w:val="bottom"/>
            <w:gridSpan w:val="2"/>
          </w:tcPr>
          <w:p>
            <w:pPr>
              <w:ind w:left="554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6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certain entities of the Group had net operating tax loss carry forwards as follows (in thousands):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6952615" cy="143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695261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expiring in 2020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52615" cy="135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6952615" cy="135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expiring in 2022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Loss expiring after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52615" cy="135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6952615"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RMB</w:t>
      </w:r>
    </w:p>
    <w:p>
      <w:pPr>
        <w:spacing w:after="0" w:line="23"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3,582</w:t>
      </w:r>
    </w:p>
    <w:p>
      <w:pPr>
        <w:spacing w:after="0" w:line="3"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9,222</w:t>
      </w:r>
    </w:p>
    <w:p>
      <w:pPr>
        <w:spacing w:after="0" w:line="6"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191,412</w:t>
      </w:r>
    </w:p>
    <w:p>
      <w:pPr>
        <w:spacing w:after="0" w:line="6"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968,390</w:t>
      </w:r>
    </w:p>
    <w:p>
      <w:pPr>
        <w:spacing w:after="0" w:line="6"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4,083,469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4445</wp:posOffset>
            </wp:positionV>
            <wp:extent cx="8629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jc w:val="right"/>
        <w:ind w:right="620"/>
        <w:spacing w:after="0"/>
        <w:rPr>
          <w:sz w:val="20"/>
          <w:szCs w:val="20"/>
          <w:color w:val="auto"/>
        </w:rPr>
      </w:pPr>
      <w:r>
        <w:rPr>
          <w:rFonts w:ascii="Arial" w:cs="Arial" w:eastAsia="Arial" w:hAnsi="Arial"/>
          <w:sz w:val="18"/>
          <w:szCs w:val="18"/>
          <w:color w:val="auto"/>
        </w:rPr>
        <w:t>5,256,075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11430</wp:posOffset>
            </wp:positionV>
            <wp:extent cx="8629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862965"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28575</wp:posOffset>
            </wp:positionV>
            <wp:extent cx="8629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0" w:space="720"/>
            <w:col w:w="1460"/>
          </w:cols>
          <w:pgMar w:left="240" w:top="127" w:right="199" w:bottom="1440" w:gutter="0" w:footer="0" w:header="0"/>
        </w:sectPr>
      </w:pPr>
    </w:p>
    <w:p>
      <w:pPr>
        <w:spacing w:after="0" w:line="59"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4"/>
          <w:szCs w:val="14"/>
          <w:b w:val="1"/>
          <w:bCs w:val="1"/>
          <w:color w:val="auto"/>
        </w:rPr>
        <w:t>Sales tax</w:t>
      </w:r>
    </w:p>
    <w:p>
      <w:pPr>
        <w:spacing w:after="0" w:line="225"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Pursuant to the provision regulation of the PRC on VAT and its implementation rules, the Company’s subsidiaries and VIEs are generally subject to VAT at a rate of 6% from revenues earned from services provided.</w:t>
      </w:r>
    </w:p>
    <w:p>
      <w:pPr>
        <w:spacing w:after="0" w:line="179"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All entities that engaged in the sale of general goods in China are generally required to pay VAT at a rate of 17% or other applicable value added tax rate implemented by the provision regulation of the gross sales proceeds received, less any creditable value added tax already paid or borne by the taxpayer. Pursuant to further VAT reform implemented from 1 May, 2018, all industries that were previously subject to VAT at a rate of 17% were adjusted to 16%.</w:t>
      </w:r>
    </w:p>
    <w:p>
      <w:pPr>
        <w:spacing w:after="0" w:line="15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Group is also subject to cultural development fee on the provision of advertising services in China. The applicable tax rate is 3% of the advertising services revenue.</w:t>
      </w:r>
    </w:p>
    <w:p>
      <w:pPr>
        <w:spacing w:after="0" w:line="173" w:lineRule="exact"/>
        <w:rPr>
          <w:sz w:val="20"/>
          <w:szCs w:val="20"/>
          <w:color w:val="auto"/>
        </w:rPr>
      </w:pPr>
    </w:p>
    <w:p>
      <w:pPr>
        <w:ind w:left="400" w:hanging="393"/>
        <w:spacing w:after="0"/>
        <w:tabs>
          <w:tab w:leader="none" w:pos="4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22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The following table presents the tax impact of significant temporary differences that give rise to the deferred tax assets and liabilities as of December 31, 2017 and 2018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30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3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Deferred tax assets:</w:t>
            </w: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00" w:type="dxa"/>
            <w:vAlign w:val="bottom"/>
          </w:tcPr>
          <w:p>
            <w:pPr>
              <w:ind w:left="180"/>
              <w:spacing w:after="0"/>
              <w:rPr>
                <w:sz w:val="20"/>
                <w:szCs w:val="20"/>
                <w:color w:val="auto"/>
              </w:rPr>
            </w:pPr>
            <w:r>
              <w:rPr>
                <w:rFonts w:ascii="Arial" w:cs="Arial" w:eastAsia="Arial" w:hAnsi="Arial"/>
                <w:sz w:val="18"/>
                <w:szCs w:val="18"/>
                <w:color w:val="auto"/>
              </w:rPr>
              <w:t>Deferred revenue, primarily for advanced payments from online games customers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285,919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507,982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510,522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tcPr>
          <w:p>
            <w:pPr>
              <w:ind w:left="180"/>
              <w:spacing w:after="0"/>
              <w:rPr>
                <w:sz w:val="20"/>
                <w:szCs w:val="20"/>
                <w:color w:val="auto"/>
              </w:rPr>
            </w:pPr>
            <w:r>
              <w:rPr>
                <w:rFonts w:ascii="Arial" w:cs="Arial" w:eastAsia="Arial" w:hAnsi="Arial"/>
                <w:sz w:val="18"/>
                <w:szCs w:val="18"/>
                <w:color w:val="auto"/>
              </w:rPr>
              <w:t>Depreciation of fixed assets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3,697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55,168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tcPr>
          <w:p>
            <w:pPr>
              <w:ind w:left="180"/>
              <w:spacing w:after="0"/>
              <w:rPr>
                <w:sz w:val="20"/>
                <w:szCs w:val="20"/>
                <w:color w:val="auto"/>
              </w:rPr>
            </w:pPr>
            <w:r>
              <w:rPr>
                <w:rFonts w:ascii="Arial" w:cs="Arial" w:eastAsia="Arial" w:hAnsi="Arial"/>
                <w:sz w:val="18"/>
                <w:szCs w:val="18"/>
                <w:color w:val="auto"/>
              </w:rPr>
              <w:t>Net operating tax loss carry forward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742,512</w:t>
            </w:r>
          </w:p>
        </w:tc>
        <w:tc>
          <w:tcPr>
            <w:tcW w:w="1360" w:type="dxa"/>
            <w:vAlign w:val="bottom"/>
          </w:tcPr>
          <w:p>
            <w:pPr>
              <w:jc w:val="right"/>
              <w:spacing w:after="0"/>
              <w:rPr>
                <w:sz w:val="20"/>
                <w:szCs w:val="20"/>
                <w:color w:val="auto"/>
              </w:rPr>
            </w:pPr>
            <w:r>
              <w:rPr>
                <w:rFonts w:ascii="Arial" w:cs="Arial" w:eastAsia="Arial" w:hAnsi="Arial"/>
                <w:sz w:val="18"/>
                <w:szCs w:val="18"/>
                <w:color w:val="auto"/>
              </w:rPr>
              <w:t>1,653,496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1, 597,818</w:t>
            </w: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2,826,933</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(774,323)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(1,762,638)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00" w:type="dxa"/>
            <w:vAlign w:val="bottom"/>
            <w:tcBorders>
              <w:top w:val="single" w:sz="8" w:color="CCEEFF"/>
              <w:bottom w:val="single" w:sz="8" w:color="CCEEFF"/>
            </w:tcBorders>
            <w:shd w:val="clear" w:color="auto" w:fill="CCEEFF"/>
          </w:tcPr>
          <w:p>
            <w:pPr>
              <w:ind w:left="180"/>
              <w:spacing w:after="0" w:line="204"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823,495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0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30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3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Deferred tax liabilities:</w:t>
            </w: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00" w:type="dxa"/>
            <w:vAlign w:val="bottom"/>
          </w:tcPr>
          <w:p>
            <w:pPr>
              <w:ind w:left="180"/>
              <w:spacing w:after="0" w:line="213" w:lineRule="exact"/>
              <w:rPr>
                <w:sz w:val="20"/>
                <w:szCs w:val="20"/>
                <w:color w:val="auto"/>
              </w:rPr>
            </w:pPr>
            <w:r>
              <w:rPr>
                <w:rFonts w:ascii="Arial" w:cs="Arial" w:eastAsia="Arial" w:hAnsi="Arial"/>
                <w:sz w:val="18"/>
                <w:szCs w:val="18"/>
                <w:color w:val="auto"/>
              </w:rPr>
              <w:t>Withholding income tax</w:t>
            </w:r>
            <w:r>
              <w:rPr>
                <w:rFonts w:ascii="Arial" w:cs="Arial" w:eastAsia="Arial" w:hAnsi="Arial"/>
                <w:sz w:val="23"/>
                <w:szCs w:val="23"/>
                <w:color w:val="auto"/>
                <w:vertAlign w:val="superscript"/>
              </w:rPr>
              <w:t>(d)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183,642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392,945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29,573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213,215</w:t>
            </w:r>
          </w:p>
        </w:tc>
        <w:tc>
          <w:tcPr>
            <w:tcW w:w="3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393,681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540"/>
              <w:spacing w:after="0"/>
              <w:rPr>
                <w:sz w:val="20"/>
                <w:szCs w:val="20"/>
                <w:color w:val="auto"/>
              </w:rPr>
            </w:pPr>
            <w:r>
              <w:rPr>
                <w:rFonts w:ascii="Arial" w:cs="Arial" w:eastAsia="Arial" w:hAnsi="Arial"/>
                <w:sz w:val="18"/>
                <w:szCs w:val="18"/>
                <w:color w:val="auto"/>
              </w:rPr>
              <w:t>F-28</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8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Provision/(Write-off)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r>
      <w:tr>
        <w:trPr>
          <w:trHeight w:val="169"/>
        </w:trPr>
        <w:tc>
          <w:tcPr>
            <w:tcW w:w="484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1</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 the year</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r>
      <w:tr>
        <w:trPr>
          <w:trHeight w:val="140"/>
        </w:trPr>
        <w:tc>
          <w:tcPr>
            <w:tcW w:w="48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4840" w:type="dxa"/>
            <w:vAlign w:val="bottom"/>
            <w:shd w:val="clear" w:color="auto" w:fill="CCEEFF"/>
          </w:tcPr>
          <w:p>
            <w:pPr>
              <w:jc w:val="right"/>
              <w:ind w:right="4391"/>
              <w:spacing w:after="0"/>
              <w:rPr>
                <w:sz w:val="20"/>
                <w:szCs w:val="20"/>
                <w:color w:val="auto"/>
              </w:rPr>
            </w:pPr>
            <w:r>
              <w:rPr>
                <w:rFonts w:ascii="Arial" w:cs="Arial" w:eastAsia="Arial" w:hAnsi="Arial"/>
                <w:sz w:val="18"/>
                <w:szCs w:val="18"/>
                <w:color w:val="auto"/>
                <w:w w:val="84"/>
              </w:rPr>
              <w:t>2016</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223,644</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143,784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367,428</w:t>
            </w:r>
          </w:p>
        </w:tc>
      </w:tr>
      <w:tr>
        <w:trPr>
          <w:trHeight w:val="213"/>
        </w:trPr>
        <w:tc>
          <w:tcPr>
            <w:tcW w:w="4840" w:type="dxa"/>
            <w:vAlign w:val="bottom"/>
          </w:tcPr>
          <w:p>
            <w:pPr>
              <w:jc w:val="right"/>
              <w:ind w:right="4391"/>
              <w:spacing w:after="0"/>
              <w:rPr>
                <w:sz w:val="20"/>
                <w:szCs w:val="20"/>
                <w:color w:val="auto"/>
              </w:rPr>
            </w:pPr>
            <w:r>
              <w:rPr>
                <w:rFonts w:ascii="Arial" w:cs="Arial" w:eastAsia="Arial" w:hAnsi="Arial"/>
                <w:sz w:val="18"/>
                <w:szCs w:val="18"/>
                <w:color w:val="auto"/>
                <w:w w:val="84"/>
              </w:rPr>
              <w:t>2017</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367,428</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406,895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774,323</w:t>
            </w:r>
          </w:p>
        </w:tc>
      </w:tr>
      <w:tr>
        <w:trPr>
          <w:trHeight w:val="213"/>
        </w:trPr>
        <w:tc>
          <w:tcPr>
            <w:tcW w:w="4840" w:type="dxa"/>
            <w:vAlign w:val="bottom"/>
            <w:shd w:val="clear" w:color="auto" w:fill="CCEEFF"/>
          </w:tcPr>
          <w:p>
            <w:pPr>
              <w:jc w:val="right"/>
              <w:ind w:right="4391"/>
              <w:spacing w:after="0"/>
              <w:rPr>
                <w:sz w:val="20"/>
                <w:szCs w:val="20"/>
                <w:color w:val="auto"/>
              </w:rPr>
            </w:pPr>
            <w:r>
              <w:rPr>
                <w:rFonts w:ascii="Arial" w:cs="Arial" w:eastAsia="Arial" w:hAnsi="Arial"/>
                <w:sz w:val="18"/>
                <w:szCs w:val="18"/>
                <w:color w:val="auto"/>
                <w:w w:val="84"/>
              </w:rPr>
              <w:t>2018</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774,323</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988,315</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1,762,638</w:t>
            </w:r>
          </w:p>
        </w:tc>
      </w:tr>
    </w:tbl>
    <w:p>
      <w:pPr>
        <w:spacing w:after="0" w:line="19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Withholding income tax</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Enterprise Income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 are exempted from withholding tax when they are distributed to foreign investors. Based on the interpretation of the current tax laws, management believes that the Company and all its non-PRC subsidiaries are not considered as a “resident enterprise” in China for corporate income tax purposes, but it cannot be certain that the relevant PRC tax authorities will agree with this determination. Except for the foregoing withholding taxes, the Company’s non-PRC subsidiaries, which are currently all incorporated in Hong Kong, the British Virgin Islands or Cayman Islands are not subject to taxation on dividends they receive from the Company’s PRC subsidiaries.</w:t>
      </w:r>
    </w:p>
    <w:p>
      <w:pPr>
        <w:spacing w:after="0" w:line="181"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In 2016, the Group accrued RMB404.8 million withholding tax liabilities, associated with its quarterly dividend and cash expected to be distributed from its PRC subsidiaries to overseas for general corporate purposes.</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2017, the Group altered its capital allocation strategy due to the change of business strategy. As a result, the Group recorded withholding tax liabilities of RMB707.1 million and RMB679.4 million (US$98.8 million) in 2017 and 2018, respectively. The Group have repatriated a portion of these earnings and paid related withholding income tax in 2017 and 2018.</w:t>
      </w:r>
    </w:p>
    <w:p>
      <w:pPr>
        <w:spacing w:after="0" w:line="188"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As of December 31, 2017 and 2018, there were approximately RMB1,079.5 million and RMB1,057.7 million (US$153.8 million) unrecognized deferred tax liabilities related to undistributed earnings of the Group’s PRC subsidiaries, respectively. And the Group still intends to indefinitely reinvest these remaining undistributed earnings in its PRC subsidiaries.</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4"/>
          <w:szCs w:val="14"/>
          <w:b w:val="1"/>
          <w:bCs w:val="1"/>
          <w:color w:val="auto"/>
        </w:rPr>
        <w:t>Taxes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taxes payable as of December 31, 2017 and 2018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78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r>
      <w:tr>
        <w:trPr>
          <w:trHeight w:val="140"/>
        </w:trPr>
        <w:tc>
          <w:tcPr>
            <w:tcW w:w="782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payable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103,182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231,167</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Withholding individual income taxes for employees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161,814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191,367</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Enterprise income taxes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1,248,518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1,778,029</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51,178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71,460</w:t>
            </w:r>
          </w:p>
        </w:tc>
      </w:tr>
      <w:tr>
        <w:trPr>
          <w:trHeight w:val="206"/>
        </w:trPr>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1,564,692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2,272,023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Short-term Loan</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2017 and 2018, the short-term loan balances represent short-term loan arrangements with banks which were repayable within a maturity term ranging from one month to one year and charged at a fixed interest rates ranging from 0.78% to 2.42% and 0.74% to 4.57% per annum, respectively. As of December 31, 2017 and 2018, the weighted average interest rate for the outstanding short-term loans was approximately 2.13% and 3.14%, respectively. The short-term loan are denominated in US$, EUR, HK$, JPY or CNY.</w:t>
      </w:r>
    </w:p>
    <w:p>
      <w:pPr>
        <w:spacing w:after="0" w:line="193"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As of December 31, 2017 and 2018, certain short-term loans were secured by RMB deposits of the Group in onshore branches of the banks in the amount of RMB4,091.0 million and RMB2,695.0 million (US$392.0 million), which was recognized as restricted cash (see Note 2(f)).</w:t>
      </w:r>
    </w:p>
    <w:p>
      <w:pPr>
        <w:spacing w:after="0" w:line="157" w:lineRule="exact"/>
        <w:rPr>
          <w:sz w:val="20"/>
          <w:szCs w:val="20"/>
          <w:color w:val="auto"/>
        </w:rPr>
      </w:pPr>
    </w:p>
    <w:p>
      <w:pPr>
        <w:jc w:val="both"/>
        <w:ind w:right="500"/>
        <w:spacing w:after="0" w:line="295" w:lineRule="auto"/>
        <w:rPr>
          <w:sz w:val="20"/>
          <w:szCs w:val="20"/>
          <w:color w:val="auto"/>
        </w:rPr>
      </w:pPr>
      <w:r>
        <w:rPr>
          <w:rFonts w:ascii="Arial" w:cs="Arial" w:eastAsia="Arial" w:hAnsi="Arial"/>
          <w:sz w:val="16"/>
          <w:szCs w:val="16"/>
          <w:color w:val="auto"/>
        </w:rPr>
        <w:t>On August 9, 2018, the Group entered into a three year US$500 million syndicated facility agreement with a group of four mandated lead arrangers and bookrunners. The facility is priced at 95 basis points over London interbank offered rate (“LIBOR”) and has a commitment fee of 0.20% on the undrawn portion. There were US$100 million of borrowings outstanding under the syndicated facility as of December 31, 2018. The Group was subject to certain covenants under the syndicated facility agreement and was in compliance with these covenants as of December 31, 2018.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color w:val="auto"/>
        </w:rPr>
        <w:t>In 2018, the Group also entered into several uncommitted loan credit facility agreements provided by certain financial institution. As at December 31, 2018, US$933.5 million of such credit facilities has not been utilized.</w:t>
      </w:r>
    </w:p>
    <w:p>
      <w:pPr>
        <w:spacing w:after="0" w:line="179"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In the year ended December 31, 2018, the Company also entered into several guarantee agreements in the aggregate amount of US$785.0 million in respect of certain credit facilities taken by its subsidiaries. As at December 31, 2018, US$177.6 million of such credit facilities had not been utilized.</w:t>
      </w:r>
    </w:p>
    <w:p>
      <w:pPr>
        <w:spacing w:after="0" w:line="15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Accrued Liabilities and Other Payables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liabilities and other payables as of December 31, 2017 and 2018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78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r>
      <w:tr>
        <w:trPr>
          <w:trHeight w:val="140"/>
        </w:trPr>
        <w:tc>
          <w:tcPr>
            <w:tcW w:w="782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on NetEase Pay accounts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1,554,789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1,369,672</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Marketing expenses and promotion materials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1,434,596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2,102,970</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fixed assets related payables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294,970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413,723</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Server custody fees and telecommunication charges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232,395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260,280</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revenue sharing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187,838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373,559</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Other staff related cost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38,950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80,400</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Content cost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406,890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299,837</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Professional fees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65,404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246,425</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 and warehousing charge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257,877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455,561</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218,601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246,036</w:t>
            </w:r>
          </w:p>
        </w:tc>
      </w:tr>
      <w:tr>
        <w:trPr>
          <w:trHeight w:val="206"/>
        </w:trPr>
        <w:tc>
          <w:tcPr>
            <w:tcW w:w="78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4,692,310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5,848,463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4"/>
          <w:szCs w:val="14"/>
          <w:b w:val="1"/>
          <w:bCs w:val="1"/>
          <w:color w:val="auto"/>
        </w:rPr>
        <w:t>Deferred Revenue</w:t>
      </w:r>
    </w:p>
    <w:p>
      <w:pPr>
        <w:spacing w:after="0" w:line="225" w:lineRule="exact"/>
        <w:rPr>
          <w:sz w:val="20"/>
          <w:szCs w:val="20"/>
          <w:color w:val="auto"/>
        </w:rPr>
      </w:pPr>
    </w:p>
    <w:p>
      <w:pPr>
        <w:ind w:right="340"/>
        <w:spacing w:after="0" w:line="330" w:lineRule="auto"/>
        <w:rPr>
          <w:sz w:val="20"/>
          <w:szCs w:val="20"/>
          <w:color w:val="auto"/>
        </w:rPr>
      </w:pPr>
      <w:r>
        <w:rPr>
          <w:rFonts w:ascii="Arial" w:cs="Arial" w:eastAsia="Arial" w:hAnsi="Arial"/>
          <w:sz w:val="16"/>
          <w:szCs w:val="16"/>
          <w:color w:val="auto"/>
        </w:rPr>
        <w:t>Deferred revenue represents sales proceeds from prepaid point cards, online points sold, unamortized mobile game in-game spending, prepaid products fees before delivery and prepaid subscription fees for Internet value-added services for which services are yet to be provided as of the balance sheet dates.</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year ended December 31, 2018, the additions to the deferred revenue balance were primarily due to cash payments received or due in advance of satisfying our performance obligations, while the reductions to the deferred revenue balance were primarily due to the recognition of revenues upon fulfillment of our performance obligations, both of which were in the ordinary course of business. During the year ended December 31, 2018, RMB5,925.4 million of revenues recognized were included in the deferred revenue balance at the beginning of the year.</w:t>
      </w:r>
    </w:p>
    <w:p>
      <w:pPr>
        <w:spacing w:after="0" w:line="1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December 31, 2018, the aggregate amount of transaction price allocated to our unsatisfied performance obligations is RMB7,953.3 million, which includes our deferred revenues balances and amounts to be invoiced and recognized as revenue in future periods. We expect to recognize a significant majority of this balance as revenue over the next 12 months, and the remainder thereafter. This balance does not include an estimate for variable consideration arising from sales rebates to advertising service customers and estimated breakage for online points.</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4"/>
          <w:szCs w:val="14"/>
          <w:b w:val="1"/>
          <w:bCs w:val="1"/>
          <w:color w:val="auto"/>
        </w:rPr>
        <w:t>Noncontrolling Interests and Redeemable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NetEase Cloud Music</w:t>
      </w: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first quarter of 2017, pursuant to the agreements entered into by certain of the Group’s subsidiaries and VIE (together referred as “NetEase Cloud Music”) and some investors, one of NetEase Cloud Music’s PRC subsidiary (“Hangzhou Cloud Music”) issued equity interests with preferential rights to certain investors for a total cash consideration of RMB600.0 million. In addition, Hangzhou Cloud Music issued equity interest to one investor for a total cash consideration of RMB150.0 million. After the issuance of the equity interests, the investors together held approximately 12.59% equity interests in NetEase Cloud Music.</w:t>
      </w:r>
    </w:p>
    <w:p>
      <w:pPr>
        <w:spacing w:after="0" w:line="192"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Group determined that the equity interests with preferential rights of RMB600.0 million should be classified as redeemable noncontrolling interests since they are contingently redeemable upon the occurrence of a conditional event, which is not solely within the control of the Company. The redemption price equals initial investment plus annual interests. Equity interests issued of RMB150.0 million was classified as noncontrolling interests.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first quarter of 2018, due to the changes of NetEase Cloud Music financing plan, the Group repurchased all of the redeemable noncontrolling interests and noncontrolling interest issued in China by Hangzhou Cloud Music at a cash consideration of RMB780.0 million and RMB195.0 million, respectively (the “Onshore Repurchase”). The Group accounted for the Onshore Repurchase as an equity transaction, no gains or losses were recognized from the repurchase. The excess of the consideration transferred over the carrying amount of the noncontrolling interests surrendered, amounting to RMB63.9 million was recorded as a reduction to retained earnings. The excess of the consideration transferred over the carrying amount of the redeemable noncontrolling interests surrendered, amounting to RMB159.4 million was recognized as a deemed dividend to preferred shareholders, which also reduces the numerator for EPS calculation. The repurchased redeemable noncontrolling interest and noncontrolling interest of NetEase Cloud Music were then retired.</w:t>
      </w:r>
    </w:p>
    <w:p>
      <w:pPr>
        <w:spacing w:after="0" w:line="170"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Following the Onshore Repurchase, during 2018, Cloud Village Inc., the Cayman holding company of NetEase Cloud Music issued Preferred Shares (“NetEase Cloud Music Preferred Shares”) to certain investors for an aggregated cash consideration of US$716.3 million (the “Offshore Issuance”). Immediately after the Offshore Issuance, the NetEase Cloud Music Preferred Shares investors together held approximately 24.13% issued and outstanding interests in Netease Cloud Music. The Company still maintains control of NetEase Cloud Music.</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NetEase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19"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April 2018, a subsidiary of the Group issued equity interests with preferential rights (“Other Preferred Shares”) to a group of investor for a total cash consideration of 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w:t>
      </w:r>
    </w:p>
    <w:p>
      <w:pPr>
        <w:spacing w:after="0" w:line="19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xml:space="preserve">Each issuance of the preferred shares is recognized at the respective issue price at the date of issuance net of issuance costs. The Group </w:t>
      </w:r>
      <w:r>
        <w:rPr>
          <w:rFonts w:ascii="Arial" w:cs="Arial" w:eastAsia="Arial" w:hAnsi="Arial"/>
          <w:sz w:val="15"/>
          <w:szCs w:val="15"/>
          <w:color w:val="auto"/>
        </w:rPr>
        <w:t>records accretions on the</w:t>
      </w:r>
      <w:r>
        <w:rPr>
          <w:rFonts w:ascii="Arial" w:cs="Arial" w:eastAsia="Arial" w:hAnsi="Arial"/>
          <w:sz w:val="16"/>
          <w:szCs w:val="16"/>
          <w:color w:val="auto"/>
        </w:rPr>
        <w:t xml:space="preserv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Capital Structure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4"/>
          <w:szCs w:val="14"/>
          <w:b w:val="1"/>
          <w:bCs w:val="1"/>
          <w:color w:val="auto"/>
        </w:rPr>
        <w:t>Employee Benefits</w:t>
      </w:r>
    </w:p>
    <w:p>
      <w:pPr>
        <w:spacing w:after="0" w:line="2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2016, 2017 and 2018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20" w:type="dxa"/>
            <w:vAlign w:val="bottom"/>
          </w:tcPr>
          <w:p>
            <w:pPr>
              <w:spacing w:after="0"/>
              <w:rPr>
                <w:sz w:val="14"/>
                <w:szCs w:val="14"/>
                <w:color w:val="auto"/>
              </w:rPr>
            </w:pPr>
          </w:p>
        </w:tc>
        <w:tc>
          <w:tcPr>
            <w:tcW w:w="3540" w:type="dxa"/>
            <w:vAlign w:val="bottom"/>
            <w:tcBorders>
              <w:bottom w:val="single" w:sz="8" w:color="auto"/>
            </w:tcBorders>
            <w:gridSpan w:val="5"/>
          </w:tcPr>
          <w:p>
            <w:pPr>
              <w:jc w:val="center"/>
              <w:ind w:left="1000"/>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0"/>
        </w:trPr>
        <w:tc>
          <w:tcPr>
            <w:tcW w:w="6220" w:type="dxa"/>
            <w:vAlign w:val="bottom"/>
          </w:tcPr>
          <w:p>
            <w:pPr>
              <w:spacing w:after="0"/>
              <w:rPr>
                <w:sz w:val="12"/>
                <w:szCs w:val="12"/>
                <w:color w:val="auto"/>
              </w:rPr>
            </w:pPr>
          </w:p>
        </w:tc>
        <w:tc>
          <w:tcPr>
            <w:tcW w:w="1360" w:type="dxa"/>
            <w:vAlign w:val="bottom"/>
            <w:tcBorders>
              <w:bottom w:val="single" w:sz="8" w:color="auto"/>
            </w:tcBorders>
          </w:tcPr>
          <w:p>
            <w:pPr>
              <w:jc w:val="right"/>
              <w:ind w:right="460"/>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8"/>
              <w:spacing w:after="0" w:line="140"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0"/>
        </w:trPr>
        <w:tc>
          <w:tcPr>
            <w:tcW w:w="6220" w:type="dxa"/>
            <w:vAlign w:val="bottom"/>
          </w:tcPr>
          <w:p>
            <w:pPr>
              <w:spacing w:after="0"/>
              <w:rPr>
                <w:sz w:val="12"/>
                <w:szCs w:val="12"/>
                <w:color w:val="auto"/>
              </w:rPr>
            </w:pPr>
          </w:p>
        </w:tc>
        <w:tc>
          <w:tcPr>
            <w:tcW w:w="1360" w:type="dxa"/>
            <w:vAlign w:val="bottom"/>
          </w:tcPr>
          <w:p>
            <w:pPr>
              <w:jc w:val="right"/>
              <w:ind w:right="440"/>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18"/>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medical and pension schemes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849.3</w:t>
            </w: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Other employee benefits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315.1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410.5</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593.4</w:t>
            </w:r>
          </w:p>
        </w:tc>
      </w:tr>
      <w:tr>
        <w:trPr>
          <w:trHeight w:val="206"/>
        </w:trPr>
        <w:tc>
          <w:tcPr>
            <w:tcW w:w="62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4"/>
          <w:szCs w:val="14"/>
          <w:b w:val="1"/>
          <w:bCs w:val="1"/>
          <w:color w:val="auto"/>
        </w:rPr>
        <w:t>Share-based Compensation</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Restricted share units plan</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November 2009, the Company adopted a restricted share units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4"/>
          <w:szCs w:val="14"/>
          <w:b w:val="1"/>
          <w:bCs w:val="1"/>
          <w:color w:val="auto"/>
        </w:rPr>
        <w:t>Share-based compensation expense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Group recognizes share-based compensation cost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summary of the Group’s share-based compensation cost for the years ended December 31, 2016, 2017 and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18"/>
              <w:spacing w:after="0"/>
              <w:rPr>
                <w:sz w:val="20"/>
                <w:szCs w:val="20"/>
                <w:color w:val="auto"/>
              </w:rPr>
            </w:pPr>
            <w:r>
              <w:rPr>
                <w:rFonts w:ascii="Arial" w:cs="Arial" w:eastAsia="Arial" w:hAnsi="Arial"/>
                <w:sz w:val="14"/>
                <w:szCs w:val="14"/>
                <w:b w:val="1"/>
                <w:bCs w:val="1"/>
                <w:color w:val="auto"/>
                <w:w w:val="90"/>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78"/>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6"/>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0"/>
        </w:trPr>
        <w:tc>
          <w:tcPr>
            <w:tcW w:w="6640" w:type="dxa"/>
            <w:vAlign w:val="bottom"/>
          </w:tcPr>
          <w:p>
            <w:pPr>
              <w:spacing w:after="0"/>
              <w:rPr>
                <w:sz w:val="12"/>
                <w:szCs w:val="12"/>
                <w:color w:val="auto"/>
              </w:rPr>
            </w:pPr>
          </w:p>
        </w:tc>
        <w:tc>
          <w:tcPr>
            <w:tcW w:w="1380" w:type="dxa"/>
            <w:vAlign w:val="bottom"/>
          </w:tcPr>
          <w:p>
            <w:pPr>
              <w:jc w:val="right"/>
              <w:ind w:right="438"/>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436"/>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444,187</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820,281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764,972</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52,689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95,382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116,611</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238,750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581,337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804,565</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254,505</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507,263</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843,502</w:t>
            </w:r>
          </w:p>
        </w:tc>
      </w:tr>
      <w:tr>
        <w:trPr>
          <w:trHeight w:val="206"/>
        </w:trPr>
        <w:tc>
          <w:tcPr>
            <w:tcW w:w="664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2,004,263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2,529,650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As of December 31, 2018, total unrecognized compensation cost related to unvested awards under the 2009 RSU Plan, adjusted for estimated forfeitures, was US$598.1 million (RMB4,112.5 million) and is expected to be recognized through the remaining vesting period of each grant. As of December 31, 2018, the weighted average remaining vesting period was 2.44 years.</w:t>
      </w:r>
    </w:p>
    <w:p>
      <w:pPr>
        <w:spacing w:after="0" w:line="182" w:lineRule="exact"/>
        <w:rPr>
          <w:sz w:val="20"/>
          <w:szCs w:val="20"/>
          <w:color w:val="auto"/>
        </w:rPr>
      </w:pPr>
    </w:p>
    <w:p>
      <w:pPr>
        <w:ind w:left="400" w:hanging="393"/>
        <w:spacing w:after="0"/>
        <w:tabs>
          <w:tab w:leader="none" w:pos="4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 award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RSUs award activities for the years ended December 31, 2016, 2017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Employees</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Director and</w:t>
            </w:r>
          </w:p>
        </w:tc>
        <w:tc>
          <w:tcPr>
            <w:tcW w:w="14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Consultants</w:t>
            </w: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220" w:type="dxa"/>
            <w:vAlign w:val="bottom"/>
          </w:tcPr>
          <w:p>
            <w:pPr>
              <w:spacing w:after="0"/>
              <w:rPr>
                <w:sz w:val="15"/>
                <w:szCs w:val="15"/>
                <w:color w:val="auto"/>
              </w:rPr>
            </w:pPr>
          </w:p>
        </w:tc>
        <w:tc>
          <w:tcPr>
            <w:tcW w:w="13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5"/>
                <w:szCs w:val="15"/>
                <w:color w:val="auto"/>
              </w:rPr>
            </w:pPr>
          </w:p>
        </w:tc>
        <w:tc>
          <w:tcPr>
            <w:tcW w:w="134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Number of ordinary shares issuable upon vesting of restricted share units: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Outstanding at January 1, 2016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39,623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39,785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(27,545)</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46"/>
        </w:trPr>
        <w:tc>
          <w:tcPr>
            <w:tcW w:w="622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Outstanding at December 31,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41,425</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41,568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Outstanding at January 1, 2017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41,425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41,568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31,452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(29,705)</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(29,805)</w:t>
            </w: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6"/>
        </w:trPr>
        <w:tc>
          <w:tcPr>
            <w:tcW w:w="622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Outstanding at December 31,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Outstanding at January 1, 2018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41,707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33,807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(30,671)</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(30,709)</w:t>
            </w:r>
          </w:p>
        </w:tc>
        <w:tc>
          <w:tcPr>
            <w:tcW w:w="0" w:type="dxa"/>
            <w:vAlign w:val="bottom"/>
          </w:tcPr>
          <w:p>
            <w:pPr>
              <w:spacing w:after="0"/>
              <w:rPr>
                <w:sz w:val="1"/>
                <w:szCs w:val="1"/>
                <w:color w:val="auto"/>
              </w:rPr>
            </w:pP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06"/>
        </w:trPr>
        <w:tc>
          <w:tcPr>
            <w:tcW w:w="6220" w:type="dxa"/>
            <w:vAlign w:val="bottom"/>
          </w:tcPr>
          <w:p>
            <w:pPr>
              <w:spacing w:after="0" w:line="204" w:lineRule="exact"/>
              <w:rPr>
                <w:sz w:val="20"/>
                <w:szCs w:val="20"/>
                <w:color w:val="auto"/>
              </w:rPr>
            </w:pPr>
            <w:r>
              <w:rPr>
                <w:rFonts w:ascii="Arial" w:cs="Arial" w:eastAsia="Arial" w:hAnsi="Arial"/>
                <w:sz w:val="18"/>
                <w:szCs w:val="18"/>
                <w:color w:val="auto"/>
              </w:rPr>
              <w:t>Outstanding at December 31, 2018</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42,538</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total fair value of RSUs on vesting dates for the years ended December 31, 2016, 2017 and 2018,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166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w w:val="94"/>
              </w:rPr>
              <w:t>RSU</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0"/>
        </w:trPr>
        <w:tc>
          <w:tcPr>
            <w:tcW w:w="7840" w:type="dxa"/>
            <w:vAlign w:val="bottom"/>
          </w:tcPr>
          <w:p>
            <w:pPr>
              <w:spacing w:after="0"/>
              <w:rPr>
                <w:sz w:val="12"/>
                <w:szCs w:val="12"/>
                <w:color w:val="auto"/>
              </w:rPr>
            </w:pPr>
          </w:p>
        </w:tc>
        <w:tc>
          <w:tcPr>
            <w:tcW w:w="1660" w:type="dxa"/>
            <w:vAlign w:val="bottom"/>
            <w:gridSpan w:val="2"/>
          </w:tcPr>
          <w:p>
            <w:pPr>
              <w:ind w:left="560"/>
              <w:spacing w:after="0" w:line="140" w:lineRule="exact"/>
              <w:rPr>
                <w:sz w:val="20"/>
                <w:szCs w:val="20"/>
                <w:color w:val="auto"/>
              </w:rPr>
            </w:pPr>
            <w:r>
              <w:rPr>
                <w:rFonts w:ascii="Arial" w:cs="Arial" w:eastAsia="Arial" w:hAnsi="Arial"/>
                <w:sz w:val="14"/>
                <w:szCs w:val="14"/>
                <w:b w:val="1"/>
                <w:bCs w:val="1"/>
                <w:color w:val="auto"/>
              </w:rPr>
              <w:t>US$</w:t>
            </w:r>
          </w:p>
        </w:tc>
        <w:tc>
          <w:tcPr>
            <w:tcW w:w="13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0"/>
        </w:trPr>
        <w:tc>
          <w:tcPr>
            <w:tcW w:w="7840" w:type="dxa"/>
            <w:vAlign w:val="bottom"/>
          </w:tcPr>
          <w:p>
            <w:pPr>
              <w:spacing w:after="0"/>
              <w:rPr>
                <w:sz w:val="12"/>
                <w:szCs w:val="12"/>
                <w:color w:val="auto"/>
              </w:rPr>
            </w:pPr>
          </w:p>
        </w:tc>
        <w:tc>
          <w:tcPr>
            <w:tcW w:w="1380" w:type="dxa"/>
            <w:vAlign w:val="bottom"/>
            <w:tcBorders>
              <w:top w:val="single" w:sz="8" w:color="auto"/>
            </w:tcBorders>
          </w:tcPr>
          <w:p>
            <w:pPr>
              <w:jc w:val="right"/>
              <w:ind w:right="260"/>
              <w:spacing w:after="0" w:line="140"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13"/>
        </w:trPr>
        <w:tc>
          <w:tcPr>
            <w:tcW w:w="7840" w:type="dxa"/>
            <w:vAlign w:val="bottom"/>
            <w:shd w:val="clear" w:color="auto" w:fill="CCEEFF"/>
          </w:tcPr>
          <w:p>
            <w:pPr>
              <w:jc w:val="right"/>
              <w:ind w:right="6111"/>
              <w:spacing w:after="0"/>
              <w:rPr>
                <w:sz w:val="20"/>
                <w:szCs w:val="20"/>
                <w:color w:val="auto"/>
              </w:rPr>
            </w:pPr>
            <w:r>
              <w:rPr>
                <w:rFonts w:ascii="Arial" w:cs="Arial" w:eastAsia="Arial" w:hAnsi="Arial"/>
                <w:sz w:val="18"/>
                <w:szCs w:val="18"/>
                <w:color w:val="auto"/>
                <w:w w:val="89"/>
              </w:rPr>
              <w:t>Total fair value vested: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3"/>
        </w:trPr>
        <w:tc>
          <w:tcPr>
            <w:tcW w:w="7840" w:type="dxa"/>
            <w:vAlign w:val="bottom"/>
          </w:tcPr>
          <w:p>
            <w:pPr>
              <w:jc w:val="right"/>
              <w:ind w:right="211"/>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177.2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1,230.4</w:t>
            </w:r>
          </w:p>
        </w:tc>
        <w:tc>
          <w:tcPr>
            <w:tcW w:w="500" w:type="dxa"/>
            <w:vAlign w:val="bottom"/>
          </w:tcPr>
          <w:p>
            <w:pPr>
              <w:spacing w:after="0"/>
              <w:rPr>
                <w:sz w:val="18"/>
                <w:szCs w:val="18"/>
                <w:color w:val="auto"/>
              </w:rPr>
            </w:pPr>
          </w:p>
        </w:tc>
      </w:tr>
      <w:tr>
        <w:trPr>
          <w:trHeight w:val="213"/>
        </w:trPr>
        <w:tc>
          <w:tcPr>
            <w:tcW w:w="78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2017</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2,235.9</w:t>
            </w:r>
          </w:p>
        </w:tc>
        <w:tc>
          <w:tcPr>
            <w:tcW w:w="500" w:type="dxa"/>
            <w:vAlign w:val="bottom"/>
          </w:tcPr>
          <w:p>
            <w:pPr>
              <w:spacing w:after="0"/>
              <w:rPr>
                <w:sz w:val="18"/>
                <w:szCs w:val="18"/>
                <w:color w:val="auto"/>
              </w:rPr>
            </w:pPr>
          </w:p>
        </w:tc>
      </w:tr>
      <w:tr>
        <w:trPr>
          <w:trHeight w:val="224"/>
        </w:trPr>
        <w:tc>
          <w:tcPr>
            <w:tcW w:w="7840" w:type="dxa"/>
            <w:vAlign w:val="bottom"/>
          </w:tcPr>
          <w:p>
            <w:pPr>
              <w:jc w:val="right"/>
              <w:ind w:right="211"/>
              <w:spacing w:after="0"/>
              <w:rPr>
                <w:sz w:val="20"/>
                <w:szCs w:val="20"/>
                <w:color w:val="auto"/>
              </w:rPr>
            </w:pPr>
            <w:r>
              <w:rPr>
                <w:rFonts w:ascii="Arial" w:cs="Arial" w:eastAsia="Arial" w:hAnsi="Arial"/>
                <w:sz w:val="18"/>
                <w:szCs w:val="18"/>
                <w:color w:val="auto"/>
              </w:rPr>
              <w:t>2018</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324.4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2,230.7</w:t>
            </w:r>
          </w:p>
        </w:tc>
        <w:tc>
          <w:tcPr>
            <w:tcW w:w="500" w:type="dxa"/>
            <w:vAlign w:val="bottom"/>
          </w:tcPr>
          <w:p>
            <w:pPr>
              <w:spacing w:after="0"/>
              <w:rPr>
                <w:sz w:val="19"/>
                <w:szCs w:val="19"/>
                <w:color w:val="auto"/>
              </w:rPr>
            </w:pPr>
          </w:p>
        </w:tc>
      </w:tr>
      <w:tr>
        <w:trPr>
          <w:trHeight w:val="414"/>
        </w:trPr>
        <w:tc>
          <w:tcPr>
            <w:tcW w:w="7840" w:type="dxa"/>
            <w:vAlign w:val="bottom"/>
          </w:tcPr>
          <w:p>
            <w:pPr>
              <w:jc w:val="right"/>
              <w:ind w:right="1871"/>
              <w:spacing w:after="0"/>
              <w:rPr>
                <w:sz w:val="20"/>
                <w:szCs w:val="20"/>
                <w:color w:val="auto"/>
              </w:rPr>
            </w:pPr>
            <w:r>
              <w:rPr>
                <w:rFonts w:ascii="Arial" w:cs="Arial" w:eastAsia="Arial" w:hAnsi="Arial"/>
                <w:sz w:val="18"/>
                <w:szCs w:val="18"/>
                <w:color w:val="auto"/>
              </w:rPr>
              <w:t>F-32</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31"/>
        </w:trPr>
        <w:tc>
          <w:tcPr>
            <w:tcW w:w="78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contractual life for the RSUs outstanding as of December 31,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Number Outstanding</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2000" w:type="dxa"/>
            <w:vAlign w:val="bottom"/>
            <w:gridSpan w:val="2"/>
            <w:vMerge w:val="continue"/>
          </w:tcPr>
          <w:p>
            <w:pPr>
              <w:spacing w:after="0"/>
              <w:rPr>
                <w:sz w:val="12"/>
                <w:szCs w:val="12"/>
                <w:color w:val="auto"/>
              </w:rPr>
            </w:pPr>
          </w:p>
        </w:tc>
        <w:tc>
          <w:tcPr>
            <w:tcW w:w="19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Remaining</w:t>
            </w:r>
          </w:p>
        </w:tc>
        <w:tc>
          <w:tcPr>
            <w:tcW w:w="18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9"/>
        </w:trPr>
        <w:tc>
          <w:tcPr>
            <w:tcW w:w="5620" w:type="dxa"/>
            <w:vAlign w:val="bottom"/>
            <w:gridSpan w:val="2"/>
            <w:vMerge w:val="continue"/>
          </w:tcPr>
          <w:p>
            <w:pPr>
              <w:spacing w:after="0"/>
              <w:rPr>
                <w:sz w:val="14"/>
                <w:szCs w:val="14"/>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 Exercisable</w:t>
            </w: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Contractual Life</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40"/>
        </w:trPr>
        <w:tc>
          <w:tcPr>
            <w:tcW w:w="5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Share Units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spacing w:after="0"/>
              <w:rPr>
                <w:sz w:val="20"/>
                <w:szCs w:val="20"/>
                <w:color w:val="auto"/>
              </w:rPr>
            </w:pPr>
            <w:r>
              <w:rPr>
                <w:rFonts w:ascii="Arial" w:cs="Arial" w:eastAsia="Arial" w:hAnsi="Arial"/>
                <w:sz w:val="18"/>
                <w:szCs w:val="18"/>
                <w:color w:val="auto"/>
              </w:rPr>
              <w:t>Performance-based settled in stock</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36,687</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3.66</w:t>
            </w: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Time-based-settled in stock/cash</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44,564</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w:t>
            </w:r>
          </w:p>
        </w:tc>
        <w:tc>
          <w:tcPr>
            <w:tcW w:w="18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5620" w:type="dxa"/>
            <w:vAlign w:val="bottom"/>
            <w:gridSpan w:val="2"/>
          </w:tcPr>
          <w:p>
            <w:pPr>
              <w:spacing w:after="0"/>
              <w:rPr>
                <w:sz w:val="20"/>
                <w:szCs w:val="20"/>
                <w:color w:val="auto"/>
              </w:rPr>
            </w:pPr>
            <w:r>
              <w:rPr>
                <w:rFonts w:ascii="Arial" w:cs="Arial" w:eastAsia="Arial" w:hAnsi="Arial"/>
                <w:sz w:val="18"/>
                <w:szCs w:val="18"/>
                <w:color w:val="auto"/>
              </w:rPr>
              <w:t>Time-based-settled in stock</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6,133</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6"/>
        </w:trPr>
        <w:tc>
          <w:tcPr>
            <w:tcW w:w="5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aggregate intrinsic value of RSUs outstanding as of December 31, 2018 was US$822.7 million. The intrinsic value was calculated based on the Company’s closing stock price of US$235.37 per ADS, or US$9.4148 per ordinary share as of December 31, 2018.</w:t>
      </w:r>
    </w:p>
    <w:p>
      <w:pPr>
        <w:spacing w:after="0" w:line="17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It is the Company’s policy to issue new shares upon vesting of RSUs. The number of shares available for future grant under the Company’s 2009 RSU Plan was 79,343,175 as of December 31, 2018.</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Other Share Incentive Plan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of the Company’s subsidiaries have adopted stock option plans, which allow the related subsidiaries to grant options to certain employees of the Group. The options expire in five to seven years from the date of grant and either vest or have a vesting commencement date upon certain conditions being met (“Vesting Commencement Date”). The award can become 100% vested on the Vesting Commencement Date, or vests in two, four or five substantially equal annual installments with the first installment vesting on the Vesting Commencement Date.</w:t>
      </w:r>
    </w:p>
    <w:p>
      <w:pPr>
        <w:spacing w:after="0" w:line="17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Group has used the binomial model to estimate the fair value of the options granted. For the years ended December 31, 2016, 2017 and 2018, nil, RMB93.1 and RMB38.7 million compensation expenses were recorded for the share options granted.</w:t>
      </w:r>
    </w:p>
    <w:p>
      <w:pPr>
        <w:spacing w:after="0" w:line="17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While certain share options granted will become vested or commence vesting beginning on the Vesting Commencement Date, the effectiveness of the conditions is not within the control of the Group and is not deemed probable to occur for accounting purposes until the Vesting Commencement Date. For such share options, no compensation expenses were recorded. As of December 31, 2018, there were RMB352.6 million unrecognized share based compensation expenses are related to such share options for which the service condition had been met and are expected to be recognized when the conditions are achieved.</w:t>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Net Income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the years ended December 31, 2016, 2017 and 2018:</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Numerator (RMB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248525" cy="135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ind w:left="180" w:right="180" w:hanging="178"/>
        <w:spacing w:after="0"/>
        <w:rPr>
          <w:sz w:val="20"/>
          <w:szCs w:val="20"/>
          <w:color w:val="auto"/>
        </w:rPr>
      </w:pPr>
      <w:r>
        <w:rPr>
          <w:rFonts w:ascii="Arial" w:cs="Arial" w:eastAsia="Arial" w:hAnsi="Arial"/>
          <w:sz w:val="18"/>
          <w:szCs w:val="18"/>
          <w:color w:val="auto"/>
        </w:rPr>
        <w:t>Net income attributable to NetEase, Inc.’s shareholders for basic/dilutive net income per share calculation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5080</wp:posOffset>
            </wp:positionV>
            <wp:extent cx="29686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2968625" cy="8255"/>
                    </a:xfrm>
                    <a:prstGeom prst="rect">
                      <a:avLst/>
                    </a:prstGeom>
                    <a:noFill/>
                  </pic:spPr>
                </pic:pic>
              </a:graphicData>
            </a:graphic>
          </wp:anchor>
        </w:drawing>
      </w:r>
    </w:p>
    <w:p>
      <w:pPr>
        <w:spacing w:after="0"/>
        <w:tabs>
          <w:tab w:leader="none" w:pos="1640" w:val="left"/>
          <w:tab w:leader="none" w:pos="33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2018</w:t>
      </w:r>
    </w:p>
    <w:p>
      <w:pPr>
        <w:spacing w:after="0" w:line="393" w:lineRule="exact"/>
        <w:rPr>
          <w:sz w:val="20"/>
          <w:szCs w:val="20"/>
          <w:color w:val="auto"/>
        </w:rPr>
      </w:pPr>
    </w:p>
    <w:p>
      <w:pPr>
        <w:ind w:left="40"/>
        <w:spacing w:after="0"/>
        <w:tabs>
          <w:tab w:leader="none" w:pos="1680" w:val="left"/>
          <w:tab w:leader="none" w:pos="3400" w:val="left"/>
        </w:tabs>
        <w:rPr>
          <w:sz w:val="20"/>
          <w:szCs w:val="20"/>
          <w:color w:val="auto"/>
        </w:rPr>
      </w:pPr>
      <w:r>
        <w:rPr>
          <w:rFonts w:ascii="Arial" w:cs="Arial" w:eastAsia="Arial" w:hAnsi="Arial"/>
          <w:sz w:val="18"/>
          <w:szCs w:val="18"/>
          <w:color w:val="auto"/>
        </w:rPr>
        <w:t>11,604,520</w:t>
      </w:r>
      <w:r>
        <w:rPr>
          <w:sz w:val="20"/>
          <w:szCs w:val="20"/>
          <w:color w:val="auto"/>
        </w:rPr>
        <w:tab/>
      </w:r>
      <w:r>
        <w:rPr>
          <w:rFonts w:ascii="Arial" w:cs="Arial" w:eastAsia="Arial" w:hAnsi="Arial"/>
          <w:sz w:val="18"/>
          <w:szCs w:val="18"/>
          <w:color w:val="auto"/>
        </w:rPr>
        <w:t>10,707,939</w:t>
      </w:r>
      <w:r>
        <w:rPr>
          <w:sz w:val="20"/>
          <w:szCs w:val="20"/>
          <w:color w:val="auto"/>
        </w:rPr>
        <w:tab/>
      </w:r>
      <w:r>
        <w:rPr>
          <w:rFonts w:ascii="Arial" w:cs="Arial" w:eastAsia="Arial" w:hAnsi="Arial"/>
          <w:sz w:val="16"/>
          <w:szCs w:val="16"/>
          <w:color w:val="auto"/>
        </w:rPr>
        <w:t>6,152,407</w:t>
      </w:r>
    </w:p>
    <w:p>
      <w:pPr>
        <w:spacing w:after="0" w:line="19" w:lineRule="exact"/>
        <w:rPr>
          <w:sz w:val="20"/>
          <w:szCs w:val="20"/>
          <w:color w:val="auto"/>
        </w:rPr>
      </w:pPr>
    </w:p>
    <w:p>
      <w:pPr>
        <w:sectPr>
          <w:pgSz w:w="11900" w:h="16838" w:orient="portrait"/>
          <w:cols w:equalWidth="0" w:num="2">
            <w:col w:w="6460" w:space="720"/>
            <w:col w:w="424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664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Denominator (No. of shares in thousands):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3,281,729</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3,290,312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Dilutive effect of employee stock options and restricted share units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25,380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25,166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06"/>
        </w:trPr>
        <w:tc>
          <w:tcPr>
            <w:tcW w:w="664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Weighted average number of ordinary shares outstanding, 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3,307,109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3,315,478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3,254,689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income per share, basic (RMB)</w:t>
            </w:r>
          </w:p>
        </w:tc>
        <w:tc>
          <w:tcPr>
            <w:tcW w:w="1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640" w:type="dxa"/>
            <w:vAlign w:val="bottom"/>
            <w:tcBorders>
              <w:bottom w:val="single" w:sz="8" w:color="CCEEFF"/>
            </w:tcBorders>
            <w:vMerge w:val="continue"/>
          </w:tcPr>
          <w:p>
            <w:pPr>
              <w:spacing w:after="0"/>
              <w:rPr>
                <w:sz w:val="20"/>
                <w:szCs w:val="20"/>
                <w:color w:val="auto"/>
              </w:rPr>
            </w:pPr>
          </w:p>
        </w:tc>
        <w:tc>
          <w:tcPr>
            <w:tcW w:w="13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3.54</w:t>
            </w:r>
          </w:p>
        </w:tc>
        <w:tc>
          <w:tcPr>
            <w:tcW w:w="28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3.25</w:t>
            </w:r>
          </w:p>
        </w:tc>
        <w:tc>
          <w:tcPr>
            <w:tcW w:w="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640" w:type="dxa"/>
            <w:vAlign w:val="bottom"/>
            <w:tcBorders>
              <w:bottom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Net income per share, diluted (RMB)</w:t>
            </w:r>
          </w:p>
        </w:tc>
        <w:tc>
          <w:tcPr>
            <w:tcW w:w="13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3.51</w:t>
            </w:r>
          </w:p>
        </w:tc>
        <w:tc>
          <w:tcPr>
            <w:tcW w:w="2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3.23</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2016, 2017 and 2018, options to purchase ordinary shares and RSUs that were anti-dilutive and excluded from the calculation of diluted net income per share totaled approximately 2.7 million shares, 3.8 million shares and 19.6 million shares,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4"/>
          <w:szCs w:val="14"/>
          <w:b w:val="1"/>
          <w:bCs w:val="1"/>
          <w:color w:val="auto"/>
        </w:rPr>
        <w:t>Commitments and Contingencies</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Commitments</w:t>
      </w:r>
    </w:p>
    <w:p>
      <w:pPr>
        <w:spacing w:after="0" w:line="225"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Group leases office space, staff quarters and certain equipment under non-cancelable operating lease agreements, which expire at various dates through December 2022. As of December 31, 2018, future minimum lease under non-cancelable operating lease agreements, capital commitments, royalties and other expenditures commitments related to licensed contents, including the royalties and minimum marketing expenditure commitment for the games licensed by Blizzard, as well as other commitments related to office machines and services purchases,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Server Custody</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Royalties and</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Office Machines</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Rental</w:t>
            </w:r>
          </w:p>
        </w:tc>
        <w:tc>
          <w:tcPr>
            <w:tcW w:w="158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9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Expenditure for</w:t>
            </w:r>
          </w:p>
        </w:tc>
        <w:tc>
          <w:tcPr>
            <w:tcW w:w="14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Fee</w:t>
            </w:r>
          </w:p>
        </w:tc>
        <w:tc>
          <w:tcPr>
            <w:tcW w:w="1360" w:type="dxa"/>
            <w:vAlign w:val="bottom"/>
            <w:gridSpan w:val="2"/>
            <w:vMerge w:val="continue"/>
          </w:tcPr>
          <w:p>
            <w:pPr>
              <w:spacing w:after="0"/>
              <w:rPr>
                <w:sz w:val="12"/>
                <w:szCs w:val="12"/>
                <w:color w:val="auto"/>
              </w:rPr>
            </w:pPr>
          </w:p>
        </w:tc>
        <w:tc>
          <w:tcPr>
            <w:tcW w:w="19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Licensed Content</w:t>
            </w:r>
          </w:p>
        </w:tc>
        <w:tc>
          <w:tcPr>
            <w:tcW w:w="14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and Other</w:t>
            </w:r>
          </w:p>
        </w:tc>
        <w:tc>
          <w:tcPr>
            <w:tcW w:w="12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Commitments</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Commitments</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right"/>
              <w:ind w:right="316"/>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384,395</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788,755</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2,747,243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79,164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4,134,240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1140" w:type="dxa"/>
            <w:vAlign w:val="bottom"/>
          </w:tcPr>
          <w:p>
            <w:pPr>
              <w:jc w:val="right"/>
              <w:spacing w:after="0"/>
              <w:rPr>
                <w:sz w:val="20"/>
                <w:szCs w:val="20"/>
                <w:color w:val="auto"/>
              </w:rPr>
            </w:pPr>
            <w:r>
              <w:rPr>
                <w:rFonts w:ascii="Arial" w:cs="Arial" w:eastAsia="Arial" w:hAnsi="Arial"/>
                <w:sz w:val="18"/>
                <w:szCs w:val="18"/>
                <w:color w:val="auto"/>
              </w:rPr>
              <w:t>270,552</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43,290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719,101</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1,545,167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60,838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2,638,948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204,218</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392,574</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2,128,540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2,785,358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89,263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11,592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1,566,765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17,529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1,685,149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Beyond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64,981</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2,277,465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2,342,559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1,013,409</w:t>
            </w:r>
          </w:p>
        </w:tc>
        <w:tc>
          <w:tcPr>
            <w:tcW w:w="2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228,733</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1,900,430</w:t>
            </w:r>
          </w:p>
        </w:tc>
        <w:tc>
          <w:tcPr>
            <w:tcW w:w="22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10,265,180</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178,502</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13,586,254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For the years ended December 31, 2016, 2017 and 2018, the Group incurred rental expenses in the amounts of approximately RMB146.3million, RMB231.9 million and RMB471.9 million, respectively.</w:t>
      </w:r>
    </w:p>
    <w:p>
      <w:pPr>
        <w:spacing w:after="0" w:line="173" w:lineRule="exact"/>
        <w:rPr>
          <w:sz w:val="20"/>
          <w:szCs w:val="20"/>
          <w:color w:val="auto"/>
        </w:rPr>
      </w:pPr>
    </w:p>
    <w:p>
      <w:pPr>
        <w:ind w:right="10260" w:firstLine="7"/>
        <w:spacing w:after="0" w:line="559" w:lineRule="auto"/>
        <w:tabs>
          <w:tab w:leader="none" w:pos="39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Litigation Overview</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2017 and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5"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In April 2018, PUBG Corporation and PUBG Santa Monica, Inc. filed suit against defendants NetEase, Inc., NetEase Information Technology Corp. and NetEase (Hong Kong) Limited in the U.S. District Court for the Northern District of California. The complaint generally alleges that two of the Company’s mobile games, Rules of Survival and Knives Out, infringe the plaintiffs’ copyrights and trademarks and that the Company have engaged in unfair business competition under California law. As of March 31, 2019, the Group has reached a settlement agreement with PUBG with respect to this matter.</w:t>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4"/>
          <w:szCs w:val="14"/>
          <w:b w:val="1"/>
          <w:bCs w:val="1"/>
          <w:color w:val="auto"/>
        </w:rPr>
        <w:t>Dividends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Policy</w:t>
      </w:r>
    </w:p>
    <w:p>
      <w:pPr>
        <w:spacing w:after="0" w:line="22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May 2014, the Company’s board of directors approved a new quarterly dividend policy. Under this policy, the Company intends to make quarterly cash dividend distributions at an amount equivalent to approximately 25% of the Group’s anticipated net income after tax in each fiscal quarter. Dividends are recognized when declared. There is no dividend payable as of December 31, 2017 and 2018 respectively. The cash dividend declared related to the net profits of fiscal year 2017 and fiscal year 2018 was RMB2,656.0 million and RMB1,538.3 million (US$223.7 million) in total, respectively.</w:t>
      </w:r>
    </w:p>
    <w:p>
      <w:pPr>
        <w:spacing w:after="0" w:line="1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4"/>
          <w:szCs w:val="14"/>
          <w:b w:val="1"/>
          <w:bCs w:val="1"/>
          <w:color w:val="auto"/>
        </w:rPr>
        <w:t>Share Repurchase Programs</w:t>
      </w:r>
    </w:p>
    <w:p>
      <w:pPr>
        <w:spacing w:after="0" w:line="22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w:t>
      </w:r>
    </w:p>
    <w:p>
      <w:pPr>
        <w:spacing w:after="0" w:line="1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November 2016, the Company announced that its board of directors approved a new share repurchase program of up to US$1.0 billion of the Company’s outstanding ADSs for a period not to exceed 12 months. As of expiration date of the program, the Company has repurchased approximately 1.1 million ADSs (equivalent to 28.1 million ordinary shares) for approximately US$306.1 million under this program.</w:t>
      </w:r>
    </w:p>
    <w:p>
      <w:pPr>
        <w:spacing w:after="0" w:line="18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November 2017, the Company announced that its board of directors approved a new share repurchase program of up to US$1.0 billion of the Company’s outstanding ADSs for a period not to exceed 12 months. On June 11, 2018, the Company announced that its board of directors approved an amendment to its share repurchase program, authorizing the repurchase of up to an additional US$1.0 billion of the Company’s outstanding ADSs. This expands the US$1.0 billion repurchase program that was approved on November 15, 2017 for a period not to exceed 12 months, bringing the total authorized repurchase amount to US$2.0 billion. As of expiration date of the program, the Company has repurchased approximately 4.6 million ADSs (equivalent to 114.9 million ordinary shares) for approximately US$1,178.5 million under this program.</w:t>
      </w:r>
    </w:p>
    <w:p>
      <w:pPr>
        <w:spacing w:after="0" w:line="182"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In November 2018, the Company announced that its board of directors approved a new share repurchase program of up to US$1.0 billion of the Company’s outstanding ADSs for a period not to exceed 12 months. As of December 31, 2018, no ADSs were repurchased under this program.</w:t>
      </w:r>
    </w:p>
    <w:p>
      <w:pPr>
        <w:spacing w:after="0" w:line="15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4"/>
          <w:szCs w:val="14"/>
          <w:b w:val="1"/>
          <w:bCs w:val="1"/>
          <w:color w:val="auto"/>
        </w:rPr>
        <w:t>Related Party Transactions</w:t>
      </w:r>
    </w:p>
    <w:p>
      <w:pPr>
        <w:spacing w:after="0" w:line="225"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Group had no material transactions with related parties for the year ended December 31, 2016, 2017 and 2018, and no material related parties’ balances as of December 31, 2018.</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Segment Information</w:t>
      </w:r>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4"/>
          <w:szCs w:val="14"/>
          <w:b w:val="1"/>
          <w:bCs w:val="1"/>
          <w:color w:val="auto"/>
        </w:rPr>
        <w:t>Description of segments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8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Effective in the fourth quarter of 2017, the Group changed its segment disclosure to separately report the financial results of its e-commerce business in light of the significant growth of the revenue contribution from e-commerce to the Group’s total consolidated net revenues in 2017. This segment primarily reflects the results of NetEase’s two e-commerce platforms, Kaola and Yanxuan, which were established in January 2015 and April 2016, respectively. On December 31, 2018, the Group renamed its “e-mail and others” segment to “innovative businesses and others” to better articulate the businesses included in this segment, there’s no change to the business mix included in this segment. The Group now reports four reporting segments: 1) Online game services, 2) E-commerce, 3) Advertising services, and 4)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revised prior period segment information, to conform to current period presentation.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4"/>
          <w:szCs w:val="14"/>
          <w:b w:val="1"/>
          <w:bCs w:val="1"/>
          <w:color w:val="auto"/>
        </w:rPr>
        <w:t>Segment data</w:t>
      </w:r>
    </w:p>
    <w:p>
      <w:pPr>
        <w:spacing w:after="0" w:line="225" w:lineRule="exact"/>
        <w:rPr>
          <w:sz w:val="20"/>
          <w:szCs w:val="20"/>
          <w:color w:val="auto"/>
        </w:rPr>
      </w:pPr>
    </w:p>
    <w:p>
      <w:pPr>
        <w:ind w:right="100"/>
        <w:spacing w:after="0" w:line="364" w:lineRule="auto"/>
        <w:rPr>
          <w:sz w:val="20"/>
          <w:szCs w:val="20"/>
          <w:color w:val="auto"/>
        </w:rPr>
      </w:pPr>
      <w:r>
        <w:rPr>
          <w:rFonts w:ascii="Arial" w:cs="Arial" w:eastAsia="Arial" w:hAnsi="Arial"/>
          <w:sz w:val="14"/>
          <w:szCs w:val="14"/>
          <w:color w:val="auto"/>
        </w:rPr>
        <w:t>The table below provides a summary of the Group’s operating segment results for the years ended December 31, 2016, 2017 and 2018.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2016, 2017 and 2018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14"/>
              <w:spacing w:after="0"/>
              <w:rPr>
                <w:sz w:val="20"/>
                <w:szCs w:val="20"/>
                <w:color w:val="auto"/>
              </w:rPr>
            </w:pPr>
            <w:r>
              <w:rPr>
                <w:rFonts w:ascii="Arial" w:cs="Arial" w:eastAsia="Arial" w:hAnsi="Arial"/>
                <w:sz w:val="14"/>
                <w:szCs w:val="14"/>
                <w:b w:val="1"/>
                <w:bCs w:val="1"/>
                <w:color w:val="auto"/>
                <w:w w:val="90"/>
              </w:rPr>
              <w:t>For the year ended December 31,</w:t>
            </w: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74"/>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3"/>
              <w:spacing w:after="0" w:line="140"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6640" w:type="dxa"/>
            <w:vAlign w:val="bottom"/>
          </w:tcPr>
          <w:p>
            <w:pPr>
              <w:spacing w:after="0"/>
              <w:rPr>
                <w:sz w:val="12"/>
                <w:szCs w:val="12"/>
                <w:color w:val="auto"/>
              </w:rPr>
            </w:pPr>
          </w:p>
        </w:tc>
        <w:tc>
          <w:tcPr>
            <w:tcW w:w="1380" w:type="dxa"/>
            <w:vAlign w:val="bottom"/>
          </w:tcPr>
          <w:p>
            <w:pPr>
              <w:jc w:val="right"/>
              <w:ind w:right="434"/>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433"/>
              <w:spacing w:after="0" w:line="140" w:lineRule="exact"/>
              <w:rPr>
                <w:sz w:val="20"/>
                <w:szCs w:val="20"/>
                <w:color w:val="auto"/>
              </w:rPr>
            </w:pPr>
            <w:r>
              <w:rPr>
                <w:rFonts w:ascii="Arial" w:cs="Arial" w:eastAsia="Arial" w:hAnsi="Arial"/>
                <w:sz w:val="14"/>
                <w:szCs w:val="14"/>
                <w:b w:val="1"/>
                <w:bCs w:val="1"/>
                <w:color w:val="auto"/>
              </w:rPr>
              <w:t>RMB</w:t>
            </w:r>
          </w:p>
        </w:tc>
        <w:tc>
          <w:tcPr>
            <w:tcW w:w="100" w:type="dxa"/>
            <w:vAlign w:val="bottom"/>
            <w:gridSpan w:val="2"/>
          </w:tcPr>
          <w:p>
            <w:pPr>
              <w:spacing w:after="0"/>
              <w:rPr>
                <w:sz w:val="12"/>
                <w:szCs w:val="12"/>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27,980,491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36,281,642</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40,190,057</w:t>
            </w:r>
          </w:p>
        </w:tc>
        <w:tc>
          <w:tcPr>
            <w:tcW w:w="8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4,541,744</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11,670,416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19,235,476</w:t>
            </w:r>
          </w:p>
        </w:tc>
        <w:tc>
          <w:tcPr>
            <w:tcW w:w="8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tcPr>
          <w:p>
            <w:pPr>
              <w:jc w:val="right"/>
              <w:spacing w:after="0"/>
              <w:rPr>
                <w:sz w:val="20"/>
                <w:szCs w:val="20"/>
                <w:color w:val="auto"/>
              </w:rPr>
            </w:pPr>
            <w:r>
              <w:rPr>
                <w:rFonts w:ascii="Arial" w:cs="Arial" w:eastAsia="Arial" w:hAnsi="Arial"/>
                <w:sz w:val="18"/>
                <w:szCs w:val="18"/>
                <w:color w:val="auto"/>
              </w:rPr>
              <w:t>2,152,379</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2,408,823</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2,500,833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3,504,230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3,741,138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6"/>
        </w:trPr>
        <w:tc>
          <w:tcPr>
            <w:tcW w:w="664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net revenues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38,178,844</w:t>
            </w:r>
          </w:p>
        </w:tc>
        <w:tc>
          <w:tcPr>
            <w:tcW w:w="28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54,102,019</w:t>
            </w:r>
          </w:p>
        </w:tc>
        <w:tc>
          <w:tcPr>
            <w:tcW w:w="2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67,156,453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6"/>
        </w:trPr>
        <w:tc>
          <w:tcPr>
            <w:tcW w:w="6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(9,974,146)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(13,473,339)</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(14,617,656)</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E-commerce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(3,986,871)</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(10,464,714)</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(17,688,717)</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(749,652)</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(797,892)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(889,677)</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(1,804,363)</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(3,453,381)</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(5,556,907)</w:t>
            </w:r>
          </w:p>
        </w:tc>
      </w:tr>
      <w:tr>
        <w:trPr>
          <w:trHeight w:val="206"/>
        </w:trPr>
        <w:tc>
          <w:tcPr>
            <w:tcW w:w="66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cost of revenues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(16,515,032)</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(28,189,326)</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(38,752,957)</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6"/>
        </w:trPr>
        <w:tc>
          <w:tcPr>
            <w:tcW w:w="6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profit/(loss):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18,006,345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22,808,303</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25,572,401</w:t>
            </w:r>
          </w:p>
        </w:tc>
        <w:tc>
          <w:tcPr>
            <w:tcW w:w="8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554,873</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1,205,702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tcPr>
          <w:p>
            <w:pPr>
              <w:jc w:val="right"/>
              <w:spacing w:after="0"/>
              <w:rPr>
                <w:sz w:val="20"/>
                <w:szCs w:val="20"/>
                <w:color w:val="auto"/>
              </w:rPr>
            </w:pPr>
            <w:r>
              <w:rPr>
                <w:rFonts w:ascii="Arial" w:cs="Arial" w:eastAsia="Arial" w:hAnsi="Arial"/>
                <w:sz w:val="18"/>
                <w:szCs w:val="18"/>
                <w:color w:val="auto"/>
              </w:rPr>
              <w:t>1,402,727</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1,610,931</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1,611,156</w:t>
            </w:r>
          </w:p>
        </w:tc>
        <w:tc>
          <w:tcPr>
            <w:tcW w:w="8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1,699,867</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287,757</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(326,820)</w:t>
            </w:r>
          </w:p>
        </w:tc>
      </w:tr>
      <w:tr>
        <w:trPr>
          <w:trHeight w:val="206"/>
        </w:trPr>
        <w:tc>
          <w:tcPr>
            <w:tcW w:w="6640" w:type="dxa"/>
            <w:vAlign w:val="bottom"/>
          </w:tcPr>
          <w:p>
            <w:pPr>
              <w:spacing w:after="0" w:line="204" w:lineRule="exact"/>
              <w:rPr>
                <w:sz w:val="20"/>
                <w:szCs w:val="20"/>
                <w:color w:val="auto"/>
              </w:rPr>
            </w:pPr>
            <w:r>
              <w:rPr>
                <w:rFonts w:ascii="Arial" w:cs="Arial" w:eastAsia="Arial" w:hAnsi="Arial"/>
                <w:sz w:val="18"/>
                <w:szCs w:val="18"/>
                <w:color w:val="auto"/>
              </w:rPr>
              <w:t>Total gross profit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21,663,812</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25,912,693</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28,403,496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the breakdown of net revenues by type of good or service for the years ended December 31, 2016, 2017 and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18"/>
              <w:spacing w:after="0"/>
              <w:rPr>
                <w:sz w:val="20"/>
                <w:szCs w:val="20"/>
                <w:color w:val="auto"/>
              </w:rPr>
            </w:pPr>
            <w:r>
              <w:rPr>
                <w:rFonts w:ascii="Arial" w:cs="Arial" w:eastAsia="Arial" w:hAnsi="Arial"/>
                <w:sz w:val="14"/>
                <w:szCs w:val="14"/>
                <w:b w:val="1"/>
                <w:bCs w:val="1"/>
                <w:color w:val="auto"/>
                <w:w w:val="90"/>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78"/>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6"/>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78"/>
        </w:trPr>
        <w:tc>
          <w:tcPr>
            <w:tcW w:w="6640" w:type="dxa"/>
            <w:vAlign w:val="bottom"/>
          </w:tcPr>
          <w:p>
            <w:pPr>
              <w:spacing w:after="0"/>
              <w:rPr>
                <w:sz w:val="15"/>
                <w:szCs w:val="15"/>
                <w:color w:val="auto"/>
              </w:rPr>
            </w:pPr>
          </w:p>
        </w:tc>
        <w:tc>
          <w:tcPr>
            <w:tcW w:w="1380" w:type="dxa"/>
            <w:vAlign w:val="bottom"/>
          </w:tcPr>
          <w:p>
            <w:pPr>
              <w:jc w:val="right"/>
              <w:ind w:right="438"/>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36"/>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r>
      <w:tr>
        <w:trPr>
          <w:trHeight w:val="175"/>
        </w:trPr>
        <w:tc>
          <w:tcPr>
            <w:tcW w:w="6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27,980,491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36,281,642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40,190,057</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Online product sales from e-commerce platforms</w:t>
            </w:r>
          </w:p>
        </w:tc>
        <w:tc>
          <w:tcPr>
            <w:tcW w:w="1380" w:type="dxa"/>
            <w:vAlign w:val="bottom"/>
          </w:tcPr>
          <w:p>
            <w:pPr>
              <w:jc w:val="right"/>
              <w:spacing w:after="0"/>
              <w:rPr>
                <w:sz w:val="20"/>
                <w:szCs w:val="20"/>
                <w:color w:val="auto"/>
              </w:rPr>
            </w:pPr>
            <w:r>
              <w:rPr>
                <w:rFonts w:ascii="Arial" w:cs="Arial" w:eastAsia="Arial" w:hAnsi="Arial"/>
                <w:sz w:val="18"/>
                <w:szCs w:val="18"/>
                <w:color w:val="auto"/>
              </w:rPr>
              <w:t>4,430,389</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11,447,037</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18,637,521</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2,152,379</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2,408,823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2,500,833</w:t>
            </w:r>
          </w:p>
        </w:tc>
        <w:tc>
          <w:tcPr>
            <w:tcW w:w="100" w:type="dxa"/>
            <w:vAlign w:val="bottom"/>
            <w:shd w:val="clear" w:color="auto" w:fill="CCEEFF"/>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Others</w:t>
            </w:r>
          </w:p>
        </w:tc>
        <w:tc>
          <w:tcPr>
            <w:tcW w:w="1380" w:type="dxa"/>
            <w:vAlign w:val="bottom"/>
          </w:tcPr>
          <w:p>
            <w:pPr>
              <w:jc w:val="right"/>
              <w:spacing w:after="0"/>
              <w:rPr>
                <w:sz w:val="20"/>
                <w:szCs w:val="20"/>
                <w:color w:val="auto"/>
              </w:rPr>
            </w:pPr>
            <w:r>
              <w:rPr>
                <w:rFonts w:ascii="Arial" w:cs="Arial" w:eastAsia="Arial" w:hAnsi="Arial"/>
                <w:sz w:val="18"/>
                <w:szCs w:val="18"/>
                <w:color w:val="auto"/>
              </w:rPr>
              <w:t>3,615,585</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3,964,517</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5,828,042</w:t>
            </w:r>
          </w:p>
        </w:tc>
        <w:tc>
          <w:tcPr>
            <w:tcW w:w="100" w:type="dxa"/>
            <w:vAlign w:val="bottom"/>
          </w:tcPr>
          <w:p>
            <w:pPr>
              <w:spacing w:after="0"/>
              <w:rPr>
                <w:sz w:val="18"/>
                <w:szCs w:val="18"/>
                <w:color w:val="auto"/>
              </w:rPr>
            </w:pPr>
          </w:p>
        </w:tc>
      </w:tr>
      <w:tr>
        <w:trPr>
          <w:trHeight w:val="206"/>
        </w:trPr>
        <w:tc>
          <w:tcPr>
            <w:tcW w:w="664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Net revenue</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38,178,844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54,102,019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67,156,453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depreciation and amortization expenses of property and equipment and land use rights by segment for the years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2017 and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18"/>
              <w:spacing w:after="0"/>
              <w:rPr>
                <w:sz w:val="20"/>
                <w:szCs w:val="20"/>
                <w:color w:val="auto"/>
              </w:rPr>
            </w:pPr>
            <w:r>
              <w:rPr>
                <w:rFonts w:ascii="Arial" w:cs="Arial" w:eastAsia="Arial" w:hAnsi="Arial"/>
                <w:sz w:val="14"/>
                <w:szCs w:val="14"/>
                <w:b w:val="1"/>
                <w:bCs w:val="1"/>
                <w:color w:val="auto"/>
                <w:w w:val="90"/>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78"/>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6"/>
              <w:spacing w:after="0" w:line="140"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640" w:type="dxa"/>
            <w:vAlign w:val="bottom"/>
          </w:tcPr>
          <w:p>
            <w:pPr>
              <w:spacing w:after="0"/>
              <w:rPr>
                <w:sz w:val="15"/>
                <w:szCs w:val="15"/>
                <w:color w:val="auto"/>
              </w:rPr>
            </w:pPr>
          </w:p>
        </w:tc>
        <w:tc>
          <w:tcPr>
            <w:tcW w:w="1380" w:type="dxa"/>
            <w:vAlign w:val="bottom"/>
          </w:tcPr>
          <w:p>
            <w:pPr>
              <w:jc w:val="right"/>
              <w:ind w:right="438"/>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36"/>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101,400</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157,695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235,896</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E-commerce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4,745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Innovative businesses and others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52,933</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w w:val="96"/>
              </w:rPr>
              <w:t>Total depreciation and amortization expenses of property and equipment and land use</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158,668</w:t>
            </w:r>
          </w:p>
        </w:tc>
        <w:tc>
          <w:tcPr>
            <w:tcW w:w="2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261,105</w:t>
            </w:r>
          </w:p>
        </w:tc>
        <w:tc>
          <w:tcPr>
            <w:tcW w:w="2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450,092</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rights</w:t>
            </w:r>
          </w:p>
        </w:tc>
        <w:tc>
          <w:tcPr>
            <w:tcW w:w="13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spacing w:after="0" w:line="330" w:lineRule="auto"/>
        <w:rPr>
          <w:sz w:val="20"/>
          <w:szCs w:val="20"/>
          <w:color w:val="auto"/>
        </w:rPr>
      </w:pPr>
      <w:r>
        <w:rPr>
          <w:rFonts w:ascii="Arial" w:cs="Arial" w:eastAsia="Arial" w:hAnsi="Arial"/>
          <w:sz w:val="16"/>
          <w:szCs w:val="16"/>
          <w:color w:val="auto"/>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financial instruments, measured at fair value, by level within the fair value hierarchy as of December 31, 2017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(RMB)</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Quoted Prices in</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Active Market</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for Identical</w:t>
            </w:r>
          </w:p>
        </w:tc>
        <w:tc>
          <w:tcPr>
            <w:tcW w:w="14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06"/>
        </w:trPr>
        <w:tc>
          <w:tcPr>
            <w:tcW w:w="66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Time deposits-short term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30,603,369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30,603,369</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with readily determinable fair values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828,260</w:t>
            </w:r>
          </w:p>
        </w:tc>
        <w:tc>
          <w:tcPr>
            <w:tcW w:w="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828,260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9,742,663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9,742,663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4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31,531,629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9,742,663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financial instruments, measured at fair value, by level within the fair value hierarchy as of December 31, 2018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(RMB)</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Quoted Prices in</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Active Market</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for Identical</w:t>
            </w:r>
          </w:p>
        </w:tc>
        <w:tc>
          <w:tcPr>
            <w:tcW w:w="14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7"/>
        </w:trPr>
        <w:tc>
          <w:tcPr>
            <w:tcW w:w="6640" w:type="dxa"/>
            <w:vAlign w:val="bottom"/>
          </w:tcPr>
          <w:p>
            <w:pPr>
              <w:spacing w:after="0"/>
              <w:rPr>
                <w:sz w:val="12"/>
                <w:szCs w:val="1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06"/>
        </w:trPr>
        <w:tc>
          <w:tcPr>
            <w:tcW w:w="66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Time deposits-short term</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32,900,287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32,900,287</w:t>
            </w: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with readily determinable fair values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612,465</w:t>
            </w:r>
          </w:p>
        </w:tc>
        <w:tc>
          <w:tcPr>
            <w:tcW w:w="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612,465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11,674,775</w:t>
            </w:r>
          </w:p>
        </w:tc>
        <w:tc>
          <w:tcPr>
            <w:tcW w:w="2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11,674,775</w:t>
            </w:r>
          </w:p>
        </w:tc>
        <w:tc>
          <w:tcPr>
            <w:tcW w:w="0" w:type="dxa"/>
            <w:vAlign w:val="bottom"/>
          </w:tcPr>
          <w:p>
            <w:pPr>
              <w:spacing w:after="0"/>
              <w:rPr>
                <w:sz w:val="1"/>
                <w:szCs w:val="1"/>
                <w:color w:val="auto"/>
              </w:rPr>
            </w:pPr>
          </w:p>
        </w:tc>
      </w:tr>
      <w:tr>
        <w:trPr>
          <w:trHeight w:val="206"/>
        </w:trPr>
        <w:tc>
          <w:tcPr>
            <w:tcW w:w="664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45,287,527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33,612,752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11,674,775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2017 and 2018, certain equity investments without determinable fair value (Note 8) were measured using significant unobservable inputs (Level 3) and written down from their respective carrying value to fair value, with impairment charges of RMB58.5 million and RMB133.6 million incurred and recorded in earnings for the years then ended.</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4"/>
          <w:szCs w:val="14"/>
          <w:b w:val="1"/>
          <w:bCs w:val="1"/>
          <w:color w:val="auto"/>
        </w:rPr>
        <w:t>Restricted Net Assets</w:t>
      </w:r>
    </w:p>
    <w:p>
      <w:pPr>
        <w:spacing w:after="0" w:line="22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RMB6.7 billion, or 15% of the Company’s total consolidated net assets, as of December 31, 2018.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4.56</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057275" cy="4654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1057275" cy="46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US$500,000,000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Syndicated Facility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 exempted company with registration number 90896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persons listed in Part I of Schedule 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MLABs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persons listed in Part II of Schedule 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Original Lenders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Citicorp International Limited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80" w:type="dxa"/>
            <w:vAlign w:val="bottom"/>
            <w:gridSpan w:val="2"/>
          </w:tcPr>
          <w:p>
            <w:pPr>
              <w:ind w:left="3460"/>
              <w:spacing w:after="0"/>
              <w:rPr>
                <w:sz w:val="20"/>
                <w:szCs w:val="20"/>
                <w:color w:val="auto"/>
              </w:rPr>
            </w:pPr>
            <w:r>
              <w:rPr>
                <w:rFonts w:ascii="Arial" w:cs="Arial" w:eastAsia="Arial" w:hAnsi="Arial"/>
                <w:sz w:val="18"/>
                <w:szCs w:val="18"/>
                <w:b w:val="1"/>
                <w:bCs w:val="1"/>
                <w:color w:val="auto"/>
              </w:rPr>
              <w:t>CONTENTS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102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INTERPRETATION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Definitions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Construction</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1.3</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Currency symbols and 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1.4</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Personal Liability</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1.5</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Third party rights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THE FACILITY</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2.1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The Facility</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2.2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Increase</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2.3</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Finance Parties’ rights and obligations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1020" w:type="dxa"/>
            <w:vAlign w:val="bottom"/>
          </w:tcPr>
          <w:p>
            <w:pPr>
              <w:ind w:left="160"/>
              <w:spacing w:after="0"/>
              <w:rPr>
                <w:sz w:val="20"/>
                <w:szCs w:val="20"/>
                <w:color w:val="auto"/>
              </w:rPr>
            </w:pPr>
            <w:r>
              <w:rPr>
                <w:rFonts w:ascii="Arial" w:cs="Arial" w:eastAsia="Arial" w:hAnsi="Arial"/>
                <w:sz w:val="18"/>
                <w:szCs w:val="18"/>
                <w:color w:val="auto"/>
                <w:w w:val="95"/>
              </w:rPr>
              <w:t>PURPOSE</w:t>
            </w:r>
          </w:p>
        </w:tc>
        <w:tc>
          <w:tcPr>
            <w:tcW w:w="8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3.1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Purpose</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3.2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Monitoring</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CONDITIONS OF UTILISATION</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4.1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Initial conditions precedent</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4.2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Further conditions precedent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4.3</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Maximum number of Loans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UTILISATION</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5.1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Delivery of a Utilisation Request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5.2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Completion of a Utilisation Request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5.3</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Currency and amount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5.4</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Lenders’ participation</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5.5</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Cancellation of Available Facility</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REPAYMENT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426"/>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6.1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Repayment of Loans</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7.</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PREPAYMENT AND CANCELLATION</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Illegality</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Change of Control</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7.3</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Voluntary cancellation</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7.4</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Voluntary prepayment of Loans</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7.5</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Right of prepayment and cancellation in relation to a single Lender</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7.6</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Restrictions</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7.7</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Application of prepayments</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8.</w:t>
            </w:r>
          </w:p>
        </w:tc>
        <w:tc>
          <w:tcPr>
            <w:tcW w:w="1020" w:type="dxa"/>
            <w:vAlign w:val="bottom"/>
          </w:tcPr>
          <w:p>
            <w:pPr>
              <w:ind w:left="160"/>
              <w:spacing w:after="0"/>
              <w:rPr>
                <w:sz w:val="20"/>
                <w:szCs w:val="20"/>
                <w:color w:val="auto"/>
              </w:rPr>
            </w:pPr>
            <w:r>
              <w:rPr>
                <w:rFonts w:ascii="Arial" w:cs="Arial" w:eastAsia="Arial" w:hAnsi="Arial"/>
                <w:sz w:val="18"/>
                <w:szCs w:val="18"/>
                <w:color w:val="auto"/>
                <w:w w:val="94"/>
              </w:rPr>
              <w:t>INTEREST</w:t>
            </w:r>
          </w:p>
        </w:tc>
        <w:tc>
          <w:tcPr>
            <w:tcW w:w="8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8.1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Calculation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8.2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Payment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8.3</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Default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8.4</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Notification of rates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9.</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INTEREST PERIODS</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9.1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Selection of Interest Periods</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9.2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Non-Business Days</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10.</w:t>
            </w:r>
          </w:p>
        </w:tc>
        <w:tc>
          <w:tcPr>
            <w:tcW w:w="9900" w:type="dxa"/>
            <w:vAlign w:val="bottom"/>
            <w:gridSpan w:val="3"/>
          </w:tcPr>
          <w:p>
            <w:pPr>
              <w:ind w:left="160"/>
              <w:spacing w:after="0"/>
              <w:rPr>
                <w:sz w:val="20"/>
                <w:szCs w:val="20"/>
                <w:color w:val="auto"/>
              </w:rPr>
            </w:pPr>
            <w:r>
              <w:rPr>
                <w:rFonts w:ascii="Arial" w:cs="Arial" w:eastAsia="Arial" w:hAnsi="Arial"/>
                <w:sz w:val="18"/>
                <w:szCs w:val="18"/>
                <w:color w:val="auto"/>
              </w:rPr>
              <w:t>CHANGES TO THE CALCULATION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10.1</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Unavailability of Screen Rate</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224"/>
        </w:trPr>
        <w:tc>
          <w:tcPr>
            <w:tcW w:w="74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10.2</w:t>
            </w:r>
          </w:p>
        </w:tc>
        <w:tc>
          <w:tcPr>
            <w:tcW w:w="8880" w:type="dxa"/>
            <w:vAlign w:val="bottom"/>
            <w:gridSpan w:val="2"/>
          </w:tcPr>
          <w:p>
            <w:pPr>
              <w:ind w:left="20"/>
              <w:spacing w:after="0"/>
              <w:rPr>
                <w:sz w:val="20"/>
                <w:szCs w:val="20"/>
                <w:color w:val="auto"/>
              </w:rPr>
            </w:pPr>
            <w:r>
              <w:rPr>
                <w:rFonts w:ascii="Arial" w:cs="Arial" w:eastAsia="Arial" w:hAnsi="Arial"/>
                <w:sz w:val="18"/>
                <w:szCs w:val="18"/>
                <w:color w:val="auto"/>
              </w:rPr>
              <w:t>Calculation of Reference Bank Rate</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r>
      <w:tr>
        <w:trPr>
          <w:trHeight w:val="4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40" w:type="dxa"/>
            <w:vAlign w:val="bottom"/>
          </w:tcPr>
          <w:p>
            <w:pPr>
              <w:ind w:left="39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7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86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5" w:right="199" w:bottom="1119"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10.3</w:t>
            </w:r>
          </w:p>
        </w:tc>
        <w:tc>
          <w:tcPr>
            <w:tcW w:w="7400" w:type="dxa"/>
            <w:vAlign w:val="bottom"/>
          </w:tcPr>
          <w:p>
            <w:pPr>
              <w:ind w:left="240"/>
              <w:spacing w:after="0"/>
              <w:rPr>
                <w:sz w:val="20"/>
                <w:szCs w:val="20"/>
                <w:color w:val="auto"/>
              </w:rPr>
            </w:pPr>
            <w:r>
              <w:rPr>
                <w:rFonts w:ascii="Arial" w:cs="Arial" w:eastAsia="Arial" w:hAnsi="Arial"/>
                <w:sz w:val="18"/>
                <w:szCs w:val="18"/>
                <w:color w:val="auto"/>
              </w:rPr>
              <w:t>Market disruption</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10.4</w:t>
            </w:r>
          </w:p>
        </w:tc>
        <w:tc>
          <w:tcPr>
            <w:tcW w:w="7400" w:type="dxa"/>
            <w:vAlign w:val="bottom"/>
          </w:tcPr>
          <w:p>
            <w:pPr>
              <w:ind w:left="240"/>
              <w:spacing w:after="0"/>
              <w:rPr>
                <w:sz w:val="20"/>
                <w:szCs w:val="20"/>
                <w:color w:val="auto"/>
              </w:rPr>
            </w:pPr>
            <w:r>
              <w:rPr>
                <w:rFonts w:ascii="Arial" w:cs="Arial" w:eastAsia="Arial" w:hAnsi="Arial"/>
                <w:sz w:val="18"/>
                <w:szCs w:val="18"/>
                <w:color w:val="auto"/>
              </w:rPr>
              <w:t>Cost of funds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10.5</w:t>
            </w:r>
          </w:p>
        </w:tc>
        <w:tc>
          <w:tcPr>
            <w:tcW w:w="7400" w:type="dxa"/>
            <w:vAlign w:val="bottom"/>
          </w:tcPr>
          <w:p>
            <w:pPr>
              <w:ind w:left="240"/>
              <w:spacing w:after="0"/>
              <w:rPr>
                <w:sz w:val="20"/>
                <w:szCs w:val="20"/>
                <w:color w:val="auto"/>
              </w:rPr>
            </w:pPr>
            <w:r>
              <w:rPr>
                <w:rFonts w:ascii="Arial" w:cs="Arial" w:eastAsia="Arial" w:hAnsi="Arial"/>
                <w:sz w:val="18"/>
                <w:szCs w:val="18"/>
                <w:color w:val="auto"/>
              </w:rPr>
              <w:t>Break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11.</w:t>
            </w:r>
          </w:p>
        </w:tc>
        <w:tc>
          <w:tcPr>
            <w:tcW w:w="980" w:type="dxa"/>
            <w:vAlign w:val="bottom"/>
          </w:tcPr>
          <w:p>
            <w:pPr>
              <w:ind w:left="340"/>
              <w:spacing w:after="0"/>
              <w:rPr>
                <w:sz w:val="20"/>
                <w:szCs w:val="20"/>
                <w:color w:val="auto"/>
              </w:rPr>
            </w:pPr>
            <w:r>
              <w:rPr>
                <w:rFonts w:ascii="Arial" w:cs="Arial" w:eastAsia="Arial" w:hAnsi="Arial"/>
                <w:sz w:val="18"/>
                <w:szCs w:val="18"/>
                <w:color w:val="auto"/>
              </w:rPr>
              <w:t>FEES</w:t>
            </w:r>
          </w:p>
        </w:tc>
        <w:tc>
          <w:tcPr>
            <w:tcW w:w="74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11.1</w:t>
            </w:r>
          </w:p>
        </w:tc>
        <w:tc>
          <w:tcPr>
            <w:tcW w:w="7400" w:type="dxa"/>
            <w:vAlign w:val="bottom"/>
          </w:tcPr>
          <w:p>
            <w:pPr>
              <w:ind w:left="240"/>
              <w:spacing w:after="0"/>
              <w:rPr>
                <w:sz w:val="20"/>
                <w:szCs w:val="20"/>
                <w:color w:val="auto"/>
              </w:rPr>
            </w:pPr>
            <w:r>
              <w:rPr>
                <w:rFonts w:ascii="Arial" w:cs="Arial" w:eastAsia="Arial" w:hAnsi="Arial"/>
                <w:sz w:val="18"/>
                <w:szCs w:val="18"/>
                <w:color w:val="auto"/>
              </w:rPr>
              <w:t>Commitment fee</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11.2</w:t>
            </w:r>
          </w:p>
        </w:tc>
        <w:tc>
          <w:tcPr>
            <w:tcW w:w="7400" w:type="dxa"/>
            <w:vAlign w:val="bottom"/>
          </w:tcPr>
          <w:p>
            <w:pPr>
              <w:ind w:left="240"/>
              <w:spacing w:after="0"/>
              <w:rPr>
                <w:sz w:val="20"/>
                <w:szCs w:val="20"/>
                <w:color w:val="auto"/>
              </w:rPr>
            </w:pPr>
            <w:r>
              <w:rPr>
                <w:rFonts w:ascii="Arial" w:cs="Arial" w:eastAsia="Arial" w:hAnsi="Arial"/>
                <w:sz w:val="18"/>
                <w:szCs w:val="18"/>
                <w:color w:val="auto"/>
              </w:rPr>
              <w:t>Upfront fee</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11.3</w:t>
            </w:r>
          </w:p>
        </w:tc>
        <w:tc>
          <w:tcPr>
            <w:tcW w:w="7400" w:type="dxa"/>
            <w:vAlign w:val="bottom"/>
          </w:tcPr>
          <w:p>
            <w:pPr>
              <w:ind w:left="240"/>
              <w:spacing w:after="0"/>
              <w:rPr>
                <w:sz w:val="20"/>
                <w:szCs w:val="20"/>
                <w:color w:val="auto"/>
              </w:rPr>
            </w:pPr>
            <w:r>
              <w:rPr>
                <w:rFonts w:ascii="Arial" w:cs="Arial" w:eastAsia="Arial" w:hAnsi="Arial"/>
                <w:sz w:val="18"/>
                <w:szCs w:val="18"/>
                <w:color w:val="auto"/>
              </w:rPr>
              <w:t>Agency fee</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11.4</w:t>
            </w:r>
          </w:p>
        </w:tc>
        <w:tc>
          <w:tcPr>
            <w:tcW w:w="7400" w:type="dxa"/>
            <w:vAlign w:val="bottom"/>
          </w:tcPr>
          <w:p>
            <w:pPr>
              <w:ind w:left="240"/>
              <w:spacing w:after="0"/>
              <w:rPr>
                <w:sz w:val="20"/>
                <w:szCs w:val="20"/>
                <w:color w:val="auto"/>
              </w:rPr>
            </w:pPr>
            <w:r>
              <w:rPr>
                <w:rFonts w:ascii="Arial" w:cs="Arial" w:eastAsia="Arial" w:hAnsi="Arial"/>
                <w:sz w:val="18"/>
                <w:szCs w:val="18"/>
                <w:color w:val="auto"/>
              </w:rPr>
              <w:t>Deduction of fees</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12.</w:t>
            </w: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TAX GROSS-UP AND INDEMNITIES</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12.1</w:t>
            </w:r>
          </w:p>
        </w:tc>
        <w:tc>
          <w:tcPr>
            <w:tcW w:w="7400" w:type="dxa"/>
            <w:vAlign w:val="bottom"/>
          </w:tcPr>
          <w:p>
            <w:pPr>
              <w:ind w:left="240"/>
              <w:spacing w:after="0"/>
              <w:rPr>
                <w:sz w:val="20"/>
                <w:szCs w:val="20"/>
                <w:color w:val="auto"/>
              </w:rPr>
            </w:pPr>
            <w:r>
              <w:rPr>
                <w:rFonts w:ascii="Arial" w:cs="Arial" w:eastAsia="Arial" w:hAnsi="Arial"/>
                <w:sz w:val="18"/>
                <w:szCs w:val="18"/>
                <w:color w:val="auto"/>
              </w:rPr>
              <w:t>Tax 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12.2</w:t>
            </w:r>
          </w:p>
        </w:tc>
        <w:tc>
          <w:tcPr>
            <w:tcW w:w="7400" w:type="dxa"/>
            <w:vAlign w:val="bottom"/>
          </w:tcPr>
          <w:p>
            <w:pPr>
              <w:ind w:left="240"/>
              <w:spacing w:after="0"/>
              <w:rPr>
                <w:sz w:val="20"/>
                <w:szCs w:val="20"/>
                <w:color w:val="auto"/>
              </w:rPr>
            </w:pPr>
            <w:r>
              <w:rPr>
                <w:rFonts w:ascii="Arial" w:cs="Arial" w:eastAsia="Arial" w:hAnsi="Arial"/>
                <w:sz w:val="18"/>
                <w:szCs w:val="18"/>
                <w:color w:val="auto"/>
              </w:rPr>
              <w:t>Tax gross-up</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12.3</w:t>
            </w:r>
          </w:p>
        </w:tc>
        <w:tc>
          <w:tcPr>
            <w:tcW w:w="7400" w:type="dxa"/>
            <w:vAlign w:val="bottom"/>
          </w:tcPr>
          <w:p>
            <w:pPr>
              <w:ind w:left="240"/>
              <w:spacing w:after="0"/>
              <w:rPr>
                <w:sz w:val="20"/>
                <w:szCs w:val="20"/>
                <w:color w:val="auto"/>
              </w:rPr>
            </w:pPr>
            <w:r>
              <w:rPr>
                <w:rFonts w:ascii="Arial" w:cs="Arial" w:eastAsia="Arial" w:hAnsi="Arial"/>
                <w:sz w:val="18"/>
                <w:szCs w:val="18"/>
                <w:color w:val="auto"/>
              </w:rPr>
              <w:t>Tax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12.4</w:t>
            </w:r>
          </w:p>
        </w:tc>
        <w:tc>
          <w:tcPr>
            <w:tcW w:w="7400" w:type="dxa"/>
            <w:vAlign w:val="bottom"/>
          </w:tcPr>
          <w:p>
            <w:pPr>
              <w:ind w:left="240"/>
              <w:spacing w:after="0"/>
              <w:rPr>
                <w:sz w:val="20"/>
                <w:szCs w:val="20"/>
                <w:color w:val="auto"/>
              </w:rPr>
            </w:pPr>
            <w:r>
              <w:rPr>
                <w:rFonts w:ascii="Arial" w:cs="Arial" w:eastAsia="Arial" w:hAnsi="Arial"/>
                <w:sz w:val="18"/>
                <w:szCs w:val="18"/>
                <w:color w:val="auto"/>
              </w:rPr>
              <w:t>Tax credit</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12.5</w:t>
            </w:r>
          </w:p>
        </w:tc>
        <w:tc>
          <w:tcPr>
            <w:tcW w:w="7400" w:type="dxa"/>
            <w:vAlign w:val="bottom"/>
          </w:tcPr>
          <w:p>
            <w:pPr>
              <w:ind w:left="240"/>
              <w:spacing w:after="0"/>
              <w:rPr>
                <w:sz w:val="20"/>
                <w:szCs w:val="20"/>
                <w:color w:val="auto"/>
              </w:rPr>
            </w:pPr>
            <w:r>
              <w:rPr>
                <w:rFonts w:ascii="Arial" w:cs="Arial" w:eastAsia="Arial" w:hAnsi="Arial"/>
                <w:sz w:val="18"/>
                <w:szCs w:val="18"/>
                <w:color w:val="auto"/>
              </w:rPr>
              <w:t>Stamp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12.6</w:t>
            </w:r>
          </w:p>
        </w:tc>
        <w:tc>
          <w:tcPr>
            <w:tcW w:w="7400" w:type="dxa"/>
            <w:vAlign w:val="bottom"/>
          </w:tcPr>
          <w:p>
            <w:pPr>
              <w:ind w:left="240"/>
              <w:spacing w:after="0"/>
              <w:rPr>
                <w:sz w:val="20"/>
                <w:szCs w:val="20"/>
                <w:color w:val="auto"/>
              </w:rPr>
            </w:pPr>
            <w:r>
              <w:rPr>
                <w:rFonts w:ascii="Arial" w:cs="Arial" w:eastAsia="Arial" w:hAnsi="Arial"/>
                <w:sz w:val="18"/>
                <w:szCs w:val="18"/>
                <w:color w:val="auto"/>
              </w:rPr>
              <w:t>Indirect tax</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12.7</w:t>
            </w:r>
          </w:p>
        </w:tc>
        <w:tc>
          <w:tcPr>
            <w:tcW w:w="7400" w:type="dxa"/>
            <w:vAlign w:val="bottom"/>
          </w:tcPr>
          <w:p>
            <w:pPr>
              <w:ind w:left="240"/>
              <w:spacing w:after="0"/>
              <w:rPr>
                <w:sz w:val="20"/>
                <w:szCs w:val="20"/>
                <w:color w:val="auto"/>
              </w:rPr>
            </w:pPr>
            <w:r>
              <w:rPr>
                <w:rFonts w:ascii="Arial" w:cs="Arial" w:eastAsia="Arial" w:hAnsi="Arial"/>
                <w:sz w:val="18"/>
                <w:szCs w:val="18"/>
                <w:color w:val="auto"/>
              </w:rPr>
              <w:t>FATCA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12.8</w:t>
            </w:r>
          </w:p>
        </w:tc>
        <w:tc>
          <w:tcPr>
            <w:tcW w:w="7400" w:type="dxa"/>
            <w:vAlign w:val="bottom"/>
          </w:tcPr>
          <w:p>
            <w:pPr>
              <w:ind w:left="240"/>
              <w:spacing w:after="0"/>
              <w:rPr>
                <w:sz w:val="20"/>
                <w:szCs w:val="20"/>
                <w:color w:val="auto"/>
              </w:rPr>
            </w:pPr>
            <w:r>
              <w:rPr>
                <w:rFonts w:ascii="Arial" w:cs="Arial" w:eastAsia="Arial" w:hAnsi="Arial"/>
                <w:sz w:val="18"/>
                <w:szCs w:val="18"/>
                <w:color w:val="auto"/>
              </w:rPr>
              <w:t>FATCA Deduction</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13.</w:t>
            </w: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INCREASED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13.1</w:t>
            </w:r>
          </w:p>
        </w:tc>
        <w:tc>
          <w:tcPr>
            <w:tcW w:w="7400" w:type="dxa"/>
            <w:vAlign w:val="bottom"/>
          </w:tcPr>
          <w:p>
            <w:pPr>
              <w:ind w:left="240"/>
              <w:spacing w:after="0"/>
              <w:rPr>
                <w:sz w:val="20"/>
                <w:szCs w:val="20"/>
                <w:color w:val="auto"/>
              </w:rPr>
            </w:pPr>
            <w:r>
              <w:rPr>
                <w:rFonts w:ascii="Arial" w:cs="Arial" w:eastAsia="Arial" w:hAnsi="Arial"/>
                <w:sz w:val="18"/>
                <w:szCs w:val="18"/>
                <w:color w:val="auto"/>
              </w:rPr>
              <w:t>Increased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13.2</w:t>
            </w:r>
          </w:p>
        </w:tc>
        <w:tc>
          <w:tcPr>
            <w:tcW w:w="7400" w:type="dxa"/>
            <w:vAlign w:val="bottom"/>
          </w:tcPr>
          <w:p>
            <w:pPr>
              <w:ind w:left="240"/>
              <w:spacing w:after="0"/>
              <w:rPr>
                <w:sz w:val="20"/>
                <w:szCs w:val="20"/>
                <w:color w:val="auto"/>
              </w:rPr>
            </w:pPr>
            <w:r>
              <w:rPr>
                <w:rFonts w:ascii="Arial" w:cs="Arial" w:eastAsia="Arial" w:hAnsi="Arial"/>
                <w:sz w:val="18"/>
                <w:szCs w:val="18"/>
                <w:color w:val="auto"/>
              </w:rPr>
              <w:t>Increased cost claims</w:t>
            </w:r>
          </w:p>
        </w:tc>
        <w:tc>
          <w:tcPr>
            <w:tcW w:w="2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13.3</w:t>
            </w:r>
          </w:p>
        </w:tc>
        <w:tc>
          <w:tcPr>
            <w:tcW w:w="7400" w:type="dxa"/>
            <w:vAlign w:val="bottom"/>
          </w:tcPr>
          <w:p>
            <w:pPr>
              <w:ind w:left="240"/>
              <w:spacing w:after="0"/>
              <w:rPr>
                <w:sz w:val="20"/>
                <w:szCs w:val="20"/>
                <w:color w:val="auto"/>
              </w:rPr>
            </w:pPr>
            <w:r>
              <w:rPr>
                <w:rFonts w:ascii="Arial" w:cs="Arial" w:eastAsia="Arial" w:hAnsi="Arial"/>
                <w:sz w:val="18"/>
                <w:szCs w:val="18"/>
                <w:color w:val="auto"/>
              </w:rPr>
              <w:t>Exceptions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14.</w:t>
            </w: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MITIGATION BY THE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14.1</w:t>
            </w:r>
          </w:p>
        </w:tc>
        <w:tc>
          <w:tcPr>
            <w:tcW w:w="7400" w:type="dxa"/>
            <w:vAlign w:val="bottom"/>
          </w:tcPr>
          <w:p>
            <w:pPr>
              <w:ind w:left="240"/>
              <w:spacing w:after="0"/>
              <w:rPr>
                <w:sz w:val="20"/>
                <w:szCs w:val="20"/>
                <w:color w:val="auto"/>
              </w:rPr>
            </w:pPr>
            <w:r>
              <w:rPr>
                <w:rFonts w:ascii="Arial" w:cs="Arial" w:eastAsia="Arial" w:hAnsi="Arial"/>
                <w:sz w:val="18"/>
                <w:szCs w:val="18"/>
                <w:color w:val="auto"/>
              </w:rPr>
              <w:t>Mitigation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14.2</w:t>
            </w:r>
          </w:p>
        </w:tc>
        <w:tc>
          <w:tcPr>
            <w:tcW w:w="7400" w:type="dxa"/>
            <w:vAlign w:val="bottom"/>
          </w:tcPr>
          <w:p>
            <w:pPr>
              <w:ind w:left="240"/>
              <w:spacing w:after="0"/>
              <w:rPr>
                <w:sz w:val="20"/>
                <w:szCs w:val="20"/>
                <w:color w:val="auto"/>
              </w:rPr>
            </w:pPr>
            <w:r>
              <w:rPr>
                <w:rFonts w:ascii="Arial" w:cs="Arial" w:eastAsia="Arial" w:hAnsi="Arial"/>
                <w:sz w:val="18"/>
                <w:szCs w:val="18"/>
                <w:color w:val="auto"/>
              </w:rPr>
              <w:t>Limitation of liability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14.3</w:t>
            </w:r>
          </w:p>
        </w:tc>
        <w:tc>
          <w:tcPr>
            <w:tcW w:w="7400" w:type="dxa"/>
            <w:vAlign w:val="bottom"/>
          </w:tcPr>
          <w:p>
            <w:pPr>
              <w:ind w:left="240"/>
              <w:spacing w:after="0"/>
              <w:rPr>
                <w:sz w:val="20"/>
                <w:szCs w:val="20"/>
                <w:color w:val="auto"/>
              </w:rPr>
            </w:pPr>
            <w:r>
              <w:rPr>
                <w:rFonts w:ascii="Arial" w:cs="Arial" w:eastAsia="Arial" w:hAnsi="Arial"/>
                <w:sz w:val="18"/>
                <w:szCs w:val="18"/>
                <w:color w:val="auto"/>
              </w:rPr>
              <w:t>Conduct of business by the Finance Parties</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15.</w:t>
            </w: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OTHER INDEMNITIES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15.1</w:t>
            </w:r>
          </w:p>
        </w:tc>
        <w:tc>
          <w:tcPr>
            <w:tcW w:w="7400" w:type="dxa"/>
            <w:vAlign w:val="bottom"/>
          </w:tcPr>
          <w:p>
            <w:pPr>
              <w:ind w:left="240"/>
              <w:spacing w:after="0"/>
              <w:rPr>
                <w:sz w:val="20"/>
                <w:szCs w:val="20"/>
                <w:color w:val="auto"/>
              </w:rPr>
            </w:pPr>
            <w:r>
              <w:rPr>
                <w:rFonts w:ascii="Arial" w:cs="Arial" w:eastAsia="Arial" w:hAnsi="Arial"/>
                <w:sz w:val="18"/>
                <w:szCs w:val="18"/>
                <w:color w:val="auto"/>
              </w:rPr>
              <w:t>Currency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15.2</w:t>
            </w:r>
          </w:p>
        </w:tc>
        <w:tc>
          <w:tcPr>
            <w:tcW w:w="7400" w:type="dxa"/>
            <w:vAlign w:val="bottom"/>
          </w:tcPr>
          <w:p>
            <w:pPr>
              <w:ind w:left="240"/>
              <w:spacing w:after="0"/>
              <w:rPr>
                <w:sz w:val="20"/>
                <w:szCs w:val="20"/>
                <w:color w:val="auto"/>
              </w:rPr>
            </w:pPr>
            <w:r>
              <w:rPr>
                <w:rFonts w:ascii="Arial" w:cs="Arial" w:eastAsia="Arial" w:hAnsi="Arial"/>
                <w:sz w:val="18"/>
                <w:szCs w:val="18"/>
                <w:color w:val="auto"/>
              </w:rPr>
              <w:t>Other indemnities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15.3</w:t>
            </w:r>
          </w:p>
        </w:tc>
        <w:tc>
          <w:tcPr>
            <w:tcW w:w="7400" w:type="dxa"/>
            <w:vAlign w:val="bottom"/>
          </w:tcPr>
          <w:p>
            <w:pPr>
              <w:ind w:left="240"/>
              <w:spacing w:after="0"/>
              <w:rPr>
                <w:sz w:val="20"/>
                <w:szCs w:val="20"/>
                <w:color w:val="auto"/>
              </w:rPr>
            </w:pPr>
            <w:r>
              <w:rPr>
                <w:rFonts w:ascii="Arial" w:cs="Arial" w:eastAsia="Arial" w:hAnsi="Arial"/>
                <w:sz w:val="18"/>
                <w:szCs w:val="18"/>
                <w:color w:val="auto"/>
              </w:rPr>
              <w:t>Indemnity to the Agent</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16.</w:t>
            </w: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COSTS AND EXPENSES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16.1</w:t>
            </w:r>
          </w:p>
        </w:tc>
        <w:tc>
          <w:tcPr>
            <w:tcW w:w="7400" w:type="dxa"/>
            <w:vAlign w:val="bottom"/>
          </w:tcPr>
          <w:p>
            <w:pPr>
              <w:ind w:left="240"/>
              <w:spacing w:after="0"/>
              <w:rPr>
                <w:sz w:val="20"/>
                <w:szCs w:val="20"/>
                <w:color w:val="auto"/>
              </w:rPr>
            </w:pPr>
            <w:r>
              <w:rPr>
                <w:rFonts w:ascii="Arial" w:cs="Arial" w:eastAsia="Arial" w:hAnsi="Arial"/>
                <w:sz w:val="18"/>
                <w:szCs w:val="18"/>
                <w:color w:val="auto"/>
              </w:rPr>
              <w:t>Transaction expenses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16.2</w:t>
            </w:r>
          </w:p>
        </w:tc>
        <w:tc>
          <w:tcPr>
            <w:tcW w:w="7400" w:type="dxa"/>
            <w:vAlign w:val="bottom"/>
          </w:tcPr>
          <w:p>
            <w:pPr>
              <w:ind w:left="240"/>
              <w:spacing w:after="0"/>
              <w:rPr>
                <w:sz w:val="20"/>
                <w:szCs w:val="20"/>
                <w:color w:val="auto"/>
              </w:rPr>
            </w:pPr>
            <w:r>
              <w:rPr>
                <w:rFonts w:ascii="Arial" w:cs="Arial" w:eastAsia="Arial" w:hAnsi="Arial"/>
                <w:sz w:val="18"/>
                <w:szCs w:val="18"/>
                <w:color w:val="auto"/>
              </w:rPr>
              <w:t>Amendment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16.3</w:t>
            </w:r>
          </w:p>
        </w:tc>
        <w:tc>
          <w:tcPr>
            <w:tcW w:w="7400" w:type="dxa"/>
            <w:vAlign w:val="bottom"/>
          </w:tcPr>
          <w:p>
            <w:pPr>
              <w:ind w:left="240"/>
              <w:spacing w:after="0"/>
              <w:rPr>
                <w:sz w:val="20"/>
                <w:szCs w:val="20"/>
                <w:color w:val="auto"/>
              </w:rPr>
            </w:pPr>
            <w:r>
              <w:rPr>
                <w:rFonts w:ascii="Arial" w:cs="Arial" w:eastAsia="Arial" w:hAnsi="Arial"/>
                <w:sz w:val="18"/>
                <w:szCs w:val="18"/>
                <w:color w:val="auto"/>
              </w:rPr>
              <w:t>Enforcement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17.</w:t>
            </w:r>
          </w:p>
        </w:tc>
        <w:tc>
          <w:tcPr>
            <w:tcW w:w="8380" w:type="dxa"/>
            <w:vAlign w:val="bottom"/>
            <w:gridSpan w:val="2"/>
          </w:tcPr>
          <w:p>
            <w:pPr>
              <w:ind w:left="340"/>
              <w:spacing w:after="0"/>
              <w:rPr>
                <w:sz w:val="20"/>
                <w:szCs w:val="20"/>
                <w:color w:val="auto"/>
              </w:rPr>
            </w:pPr>
            <w:r>
              <w:rPr>
                <w:rFonts w:ascii="Arial" w:cs="Arial" w:eastAsia="Arial" w:hAnsi="Arial"/>
                <w:sz w:val="18"/>
                <w:szCs w:val="18"/>
                <w:color w:val="auto"/>
              </w:rPr>
              <w:t>REPRESENTATIONS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w:t>
            </w:r>
          </w:p>
        </w:tc>
        <w:tc>
          <w:tcPr>
            <w:tcW w:w="7400" w:type="dxa"/>
            <w:vAlign w:val="bottom"/>
          </w:tcPr>
          <w:p>
            <w:pPr>
              <w:ind w:left="240"/>
              <w:spacing w:after="0"/>
              <w:rPr>
                <w:sz w:val="20"/>
                <w:szCs w:val="20"/>
                <w:color w:val="auto"/>
              </w:rPr>
            </w:pPr>
            <w:r>
              <w:rPr>
                <w:rFonts w:ascii="Arial" w:cs="Arial" w:eastAsia="Arial" w:hAnsi="Arial"/>
                <w:sz w:val="18"/>
                <w:szCs w:val="18"/>
                <w:color w:val="auto"/>
              </w:rPr>
              <w:t>Status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17.2</w:t>
            </w:r>
          </w:p>
        </w:tc>
        <w:tc>
          <w:tcPr>
            <w:tcW w:w="7400" w:type="dxa"/>
            <w:vAlign w:val="bottom"/>
          </w:tcPr>
          <w:p>
            <w:pPr>
              <w:ind w:left="240"/>
              <w:spacing w:after="0"/>
              <w:rPr>
                <w:sz w:val="20"/>
                <w:szCs w:val="20"/>
                <w:color w:val="auto"/>
              </w:rPr>
            </w:pPr>
            <w:r>
              <w:rPr>
                <w:rFonts w:ascii="Arial" w:cs="Arial" w:eastAsia="Arial" w:hAnsi="Arial"/>
                <w:sz w:val="18"/>
                <w:szCs w:val="18"/>
                <w:color w:val="auto"/>
              </w:rPr>
              <w:t>Binding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17.3</w:t>
            </w:r>
          </w:p>
        </w:tc>
        <w:tc>
          <w:tcPr>
            <w:tcW w:w="7400" w:type="dxa"/>
            <w:vAlign w:val="bottom"/>
          </w:tcPr>
          <w:p>
            <w:pPr>
              <w:ind w:left="240"/>
              <w:spacing w:after="0"/>
              <w:rPr>
                <w:sz w:val="20"/>
                <w:szCs w:val="20"/>
                <w:color w:val="auto"/>
              </w:rPr>
            </w:pPr>
            <w:r>
              <w:rPr>
                <w:rFonts w:ascii="Arial" w:cs="Arial" w:eastAsia="Arial" w:hAnsi="Arial"/>
                <w:sz w:val="18"/>
                <w:szCs w:val="18"/>
                <w:color w:val="auto"/>
              </w:rPr>
              <w:t>Non-conflict with other obligations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17.4</w:t>
            </w:r>
          </w:p>
        </w:tc>
        <w:tc>
          <w:tcPr>
            <w:tcW w:w="7400" w:type="dxa"/>
            <w:vAlign w:val="bottom"/>
          </w:tcPr>
          <w:p>
            <w:pPr>
              <w:ind w:left="240"/>
              <w:spacing w:after="0"/>
              <w:rPr>
                <w:sz w:val="20"/>
                <w:szCs w:val="20"/>
                <w:color w:val="auto"/>
              </w:rPr>
            </w:pPr>
            <w:r>
              <w:rPr>
                <w:rFonts w:ascii="Arial" w:cs="Arial" w:eastAsia="Arial" w:hAnsi="Arial"/>
                <w:sz w:val="18"/>
                <w:szCs w:val="18"/>
                <w:color w:val="auto"/>
              </w:rPr>
              <w:t>Power and 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17.5</w:t>
            </w:r>
          </w:p>
        </w:tc>
        <w:tc>
          <w:tcPr>
            <w:tcW w:w="7400" w:type="dxa"/>
            <w:vAlign w:val="bottom"/>
          </w:tcPr>
          <w:p>
            <w:pPr>
              <w:ind w:left="240"/>
              <w:spacing w:after="0"/>
              <w:rPr>
                <w:sz w:val="20"/>
                <w:szCs w:val="20"/>
                <w:color w:val="auto"/>
              </w:rPr>
            </w:pPr>
            <w:r>
              <w:rPr>
                <w:rFonts w:ascii="Arial" w:cs="Arial" w:eastAsia="Arial" w:hAnsi="Arial"/>
                <w:sz w:val="18"/>
                <w:szCs w:val="18"/>
                <w:color w:val="auto"/>
              </w:rPr>
              <w:t>Validity and admissibility in evidence</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17.6</w:t>
            </w:r>
          </w:p>
        </w:tc>
        <w:tc>
          <w:tcPr>
            <w:tcW w:w="7400" w:type="dxa"/>
            <w:vAlign w:val="bottom"/>
          </w:tcPr>
          <w:p>
            <w:pPr>
              <w:ind w:left="240"/>
              <w:spacing w:after="0"/>
              <w:rPr>
                <w:sz w:val="20"/>
                <w:szCs w:val="20"/>
                <w:color w:val="auto"/>
              </w:rPr>
            </w:pPr>
            <w:r>
              <w:rPr>
                <w:rFonts w:ascii="Arial" w:cs="Arial" w:eastAsia="Arial" w:hAnsi="Arial"/>
                <w:sz w:val="18"/>
                <w:szCs w:val="18"/>
                <w:color w:val="auto"/>
              </w:rPr>
              <w:t>Governing law and enforcement</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17.7</w:t>
            </w:r>
          </w:p>
        </w:tc>
        <w:tc>
          <w:tcPr>
            <w:tcW w:w="7400" w:type="dxa"/>
            <w:vAlign w:val="bottom"/>
          </w:tcPr>
          <w:p>
            <w:pPr>
              <w:ind w:left="240"/>
              <w:spacing w:after="0"/>
              <w:rPr>
                <w:sz w:val="20"/>
                <w:szCs w:val="20"/>
                <w:color w:val="auto"/>
              </w:rPr>
            </w:pPr>
            <w:r>
              <w:rPr>
                <w:rFonts w:ascii="Arial" w:cs="Arial" w:eastAsia="Arial" w:hAnsi="Arial"/>
                <w:sz w:val="18"/>
                <w:szCs w:val="18"/>
                <w:color w:val="auto"/>
              </w:rPr>
              <w:t>Deduction of Tax</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17.8</w:t>
            </w:r>
          </w:p>
        </w:tc>
        <w:tc>
          <w:tcPr>
            <w:tcW w:w="7400" w:type="dxa"/>
            <w:vAlign w:val="bottom"/>
          </w:tcPr>
          <w:p>
            <w:pPr>
              <w:ind w:left="240"/>
              <w:spacing w:after="0"/>
              <w:rPr>
                <w:sz w:val="20"/>
                <w:szCs w:val="20"/>
                <w:color w:val="auto"/>
              </w:rPr>
            </w:pPr>
            <w:r>
              <w:rPr>
                <w:rFonts w:ascii="Arial" w:cs="Arial" w:eastAsia="Arial" w:hAnsi="Arial"/>
                <w:sz w:val="18"/>
                <w:szCs w:val="18"/>
                <w:color w:val="auto"/>
              </w:rPr>
              <w:t>No filing or stamp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17.9</w:t>
            </w:r>
          </w:p>
        </w:tc>
        <w:tc>
          <w:tcPr>
            <w:tcW w:w="740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17.10</w:t>
            </w:r>
          </w:p>
        </w:tc>
        <w:tc>
          <w:tcPr>
            <w:tcW w:w="7400" w:type="dxa"/>
            <w:vAlign w:val="bottom"/>
          </w:tcPr>
          <w:p>
            <w:pPr>
              <w:ind w:left="240"/>
              <w:spacing w:after="0"/>
              <w:rPr>
                <w:sz w:val="20"/>
                <w:szCs w:val="20"/>
                <w:color w:val="auto"/>
              </w:rPr>
            </w:pPr>
            <w:r>
              <w:rPr>
                <w:rFonts w:ascii="Arial" w:cs="Arial" w:eastAsia="Arial" w:hAnsi="Arial"/>
                <w:sz w:val="18"/>
                <w:szCs w:val="18"/>
                <w:color w:val="auto"/>
              </w:rPr>
              <w:t>No misleading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17.11</w:t>
            </w:r>
          </w:p>
        </w:tc>
        <w:tc>
          <w:tcPr>
            <w:tcW w:w="74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17.12</w:t>
            </w:r>
          </w:p>
        </w:tc>
        <w:tc>
          <w:tcPr>
            <w:tcW w:w="7400" w:type="dxa"/>
            <w:vAlign w:val="bottom"/>
          </w:tcPr>
          <w:p>
            <w:pPr>
              <w:ind w:left="240"/>
              <w:spacing w:after="0"/>
              <w:rPr>
                <w:sz w:val="20"/>
                <w:szCs w:val="20"/>
                <w:color w:val="auto"/>
              </w:rPr>
            </w:pPr>
            <w:r>
              <w:rPr>
                <w:rFonts w:ascii="Arial" w:cs="Arial" w:eastAsia="Arial" w:hAnsi="Arial"/>
                <w:sz w:val="18"/>
                <w:szCs w:val="18"/>
                <w:color w:val="auto"/>
              </w:rPr>
              <w:t>Pari passu ranking</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17.13</w:t>
            </w:r>
          </w:p>
        </w:tc>
        <w:tc>
          <w:tcPr>
            <w:tcW w:w="7400" w:type="dxa"/>
            <w:vAlign w:val="bottom"/>
          </w:tcPr>
          <w:p>
            <w:pPr>
              <w:ind w:left="240"/>
              <w:spacing w:after="0"/>
              <w:rPr>
                <w:sz w:val="20"/>
                <w:szCs w:val="20"/>
                <w:color w:val="auto"/>
              </w:rPr>
            </w:pPr>
            <w:r>
              <w:rPr>
                <w:rFonts w:ascii="Arial" w:cs="Arial" w:eastAsia="Arial" w:hAnsi="Arial"/>
                <w:sz w:val="18"/>
                <w:szCs w:val="18"/>
                <w:color w:val="auto"/>
              </w:rPr>
              <w:t>No proceedings pending or threatened</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17.14</w:t>
            </w:r>
          </w:p>
        </w:tc>
        <w:tc>
          <w:tcPr>
            <w:tcW w:w="7400" w:type="dxa"/>
            <w:vAlign w:val="bottom"/>
          </w:tcPr>
          <w:p>
            <w:pPr>
              <w:ind w:left="240"/>
              <w:spacing w:after="0"/>
              <w:rPr>
                <w:sz w:val="20"/>
                <w:szCs w:val="20"/>
                <w:color w:val="auto"/>
              </w:rPr>
            </w:pPr>
            <w:r>
              <w:rPr>
                <w:rFonts w:ascii="Arial" w:cs="Arial" w:eastAsia="Arial" w:hAnsi="Arial"/>
                <w:sz w:val="18"/>
                <w:szCs w:val="18"/>
                <w:color w:val="auto"/>
              </w:rPr>
              <w:t>Authorised signatures</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17.15</w:t>
            </w:r>
          </w:p>
        </w:tc>
        <w:tc>
          <w:tcPr>
            <w:tcW w:w="7400" w:type="dxa"/>
            <w:vAlign w:val="bottom"/>
          </w:tcPr>
          <w:p>
            <w:pPr>
              <w:ind w:left="240"/>
              <w:spacing w:after="0"/>
              <w:rPr>
                <w:sz w:val="20"/>
                <w:szCs w:val="20"/>
                <w:color w:val="auto"/>
              </w:rPr>
            </w:pPr>
            <w:r>
              <w:rPr>
                <w:rFonts w:ascii="Arial" w:cs="Arial" w:eastAsia="Arial" w:hAnsi="Arial"/>
                <w:sz w:val="18"/>
                <w:szCs w:val="18"/>
                <w:color w:val="auto"/>
              </w:rPr>
              <w:t>Sanctions, anti-terrorism, anti-money laundering and anti-corruption</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17.16</w:t>
            </w:r>
          </w:p>
        </w:tc>
        <w:tc>
          <w:tcPr>
            <w:tcW w:w="7400" w:type="dxa"/>
            <w:vAlign w:val="bottom"/>
          </w:tcPr>
          <w:p>
            <w:pPr>
              <w:ind w:left="240"/>
              <w:spacing w:after="0"/>
              <w:rPr>
                <w:sz w:val="20"/>
                <w:szCs w:val="20"/>
                <w:color w:val="auto"/>
              </w:rPr>
            </w:pPr>
            <w:r>
              <w:rPr>
                <w:rFonts w:ascii="Arial" w:cs="Arial" w:eastAsia="Arial" w:hAnsi="Arial"/>
                <w:sz w:val="18"/>
                <w:szCs w:val="18"/>
                <w:color w:val="auto"/>
              </w:rPr>
              <w:t>List of Material Subsidiaries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17.17</w:t>
            </w:r>
          </w:p>
        </w:tc>
        <w:tc>
          <w:tcPr>
            <w:tcW w:w="7400" w:type="dxa"/>
            <w:vAlign w:val="bottom"/>
          </w:tcPr>
          <w:p>
            <w:pPr>
              <w:ind w:left="240"/>
              <w:spacing w:after="0"/>
              <w:rPr>
                <w:sz w:val="20"/>
                <w:szCs w:val="20"/>
                <w:color w:val="auto"/>
              </w:rPr>
            </w:pPr>
            <w:r>
              <w:rPr>
                <w:rFonts w:ascii="Arial" w:cs="Arial" w:eastAsia="Arial" w:hAnsi="Arial"/>
                <w:sz w:val="18"/>
                <w:szCs w:val="18"/>
                <w:color w:val="auto"/>
              </w:rPr>
              <w:t>Repetition</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6"/>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0" w:type="dxa"/>
            <w:vAlign w:val="bottom"/>
          </w:tcPr>
          <w:p>
            <w:pPr>
              <w:ind w:left="4120"/>
              <w:spacing w:after="0"/>
              <w:rPr>
                <w:sz w:val="20"/>
                <w:szCs w:val="20"/>
                <w:color w:val="auto"/>
              </w:rPr>
            </w:pPr>
            <w:r>
              <w:rPr>
                <w:rFonts w:ascii="Arial" w:cs="Arial" w:eastAsia="Arial" w:hAnsi="Arial"/>
                <w:sz w:val="18"/>
                <w:szCs w:val="18"/>
                <w:color w:val="auto"/>
              </w:rPr>
              <w:t>2</w:t>
            </w:r>
          </w:p>
        </w:tc>
        <w:tc>
          <w:tcPr>
            <w:tcW w:w="2520" w:type="dxa"/>
            <w:vAlign w:val="bottom"/>
          </w:tcPr>
          <w:p>
            <w:pPr>
              <w:spacing w:after="0"/>
              <w:rPr>
                <w:sz w:val="24"/>
                <w:szCs w:val="24"/>
                <w:color w:val="auto"/>
              </w:rPr>
            </w:pPr>
          </w:p>
        </w:tc>
      </w:tr>
      <w:tr>
        <w:trPr>
          <w:trHeight w:val="131"/>
        </w:trPr>
        <w:tc>
          <w:tcPr>
            <w:tcW w:w="5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40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4"/>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18.</w:t>
            </w: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INFORMATION UNDERTAKINGS</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18.1</w:t>
            </w:r>
          </w:p>
        </w:tc>
        <w:tc>
          <w:tcPr>
            <w:tcW w:w="738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18.2</w:t>
            </w:r>
          </w:p>
        </w:tc>
        <w:tc>
          <w:tcPr>
            <w:tcW w:w="7380" w:type="dxa"/>
            <w:vAlign w:val="bottom"/>
          </w:tcPr>
          <w:p>
            <w:pPr>
              <w:ind w:left="240"/>
              <w:spacing w:after="0"/>
              <w:rPr>
                <w:sz w:val="20"/>
                <w:szCs w:val="20"/>
                <w:color w:val="auto"/>
              </w:rPr>
            </w:pPr>
            <w:r>
              <w:rPr>
                <w:rFonts w:ascii="Arial" w:cs="Arial" w:eastAsia="Arial" w:hAnsi="Arial"/>
                <w:sz w:val="18"/>
                <w:szCs w:val="18"/>
                <w:color w:val="auto"/>
              </w:rPr>
              <w:t>Compliance Certificate</w:t>
            </w:r>
          </w:p>
        </w:tc>
        <w:tc>
          <w:tcPr>
            <w:tcW w:w="2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18.3</w:t>
            </w:r>
          </w:p>
        </w:tc>
        <w:tc>
          <w:tcPr>
            <w:tcW w:w="7380" w:type="dxa"/>
            <w:vAlign w:val="bottom"/>
          </w:tcPr>
          <w:p>
            <w:pPr>
              <w:ind w:left="240"/>
              <w:spacing w:after="0"/>
              <w:rPr>
                <w:sz w:val="20"/>
                <w:szCs w:val="20"/>
                <w:color w:val="auto"/>
              </w:rPr>
            </w:pPr>
            <w:r>
              <w:rPr>
                <w:rFonts w:ascii="Arial" w:cs="Arial" w:eastAsia="Arial" w:hAnsi="Arial"/>
                <w:sz w:val="18"/>
                <w:szCs w:val="18"/>
                <w:color w:val="auto"/>
              </w:rPr>
              <w:t>Requirements as to financial statements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18.4</w:t>
            </w:r>
          </w:p>
        </w:tc>
        <w:tc>
          <w:tcPr>
            <w:tcW w:w="7380" w:type="dxa"/>
            <w:vAlign w:val="bottom"/>
          </w:tcPr>
          <w:p>
            <w:pPr>
              <w:ind w:left="240"/>
              <w:spacing w:after="0"/>
              <w:rPr>
                <w:sz w:val="20"/>
                <w:szCs w:val="20"/>
                <w:color w:val="auto"/>
              </w:rPr>
            </w:pPr>
            <w:r>
              <w:rPr>
                <w:rFonts w:ascii="Arial" w:cs="Arial" w:eastAsia="Arial" w:hAnsi="Arial"/>
                <w:sz w:val="18"/>
                <w:szCs w:val="18"/>
                <w:color w:val="auto"/>
              </w:rPr>
              <w:t>Information: 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18.5</w:t>
            </w:r>
          </w:p>
        </w:tc>
        <w:tc>
          <w:tcPr>
            <w:tcW w:w="7380" w:type="dxa"/>
            <w:vAlign w:val="bottom"/>
          </w:tcPr>
          <w:p>
            <w:pPr>
              <w:ind w:left="240"/>
              <w:spacing w:after="0"/>
              <w:rPr>
                <w:sz w:val="20"/>
                <w:szCs w:val="20"/>
                <w:color w:val="auto"/>
              </w:rPr>
            </w:pPr>
            <w:r>
              <w:rPr>
                <w:rFonts w:ascii="Arial" w:cs="Arial" w:eastAsia="Arial" w:hAnsi="Arial"/>
                <w:sz w:val="18"/>
                <w:szCs w:val="18"/>
                <w:color w:val="auto"/>
              </w:rPr>
              <w:t>Notification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18.6</w:t>
            </w:r>
          </w:p>
        </w:tc>
        <w:tc>
          <w:tcPr>
            <w:tcW w:w="7380" w:type="dxa"/>
            <w:vAlign w:val="bottom"/>
          </w:tcPr>
          <w:p>
            <w:pPr>
              <w:ind w:left="240"/>
              <w:spacing w:after="0"/>
              <w:rPr>
                <w:sz w:val="20"/>
                <w:szCs w:val="20"/>
                <w:color w:val="auto"/>
              </w:rPr>
            </w:pPr>
            <w:r>
              <w:rPr>
                <w:rFonts w:ascii="Arial" w:cs="Arial" w:eastAsia="Arial" w:hAnsi="Arial"/>
                <w:sz w:val="18"/>
                <w:szCs w:val="18"/>
                <w:color w:val="auto"/>
              </w:rPr>
              <w:t>Use of Deal Site</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18.7</w:t>
            </w:r>
          </w:p>
        </w:tc>
        <w:tc>
          <w:tcPr>
            <w:tcW w:w="7380" w:type="dxa"/>
            <w:vAlign w:val="bottom"/>
          </w:tcPr>
          <w:p>
            <w:pPr>
              <w:ind w:left="240"/>
              <w:spacing w:after="0"/>
              <w:rPr>
                <w:sz w:val="20"/>
                <w:szCs w:val="20"/>
                <w:color w:val="auto"/>
              </w:rPr>
            </w:pPr>
            <w:r>
              <w:rPr>
                <w:rFonts w:ascii="Arial" w:cs="Arial" w:eastAsia="Arial" w:hAnsi="Arial"/>
                <w:sz w:val="18"/>
                <w:szCs w:val="18"/>
                <w:color w:val="auto"/>
              </w:rPr>
              <w:t>“Know your customer” checks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19.</w:t>
            </w: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FINANCIAL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19.1</w:t>
            </w:r>
          </w:p>
        </w:tc>
        <w:tc>
          <w:tcPr>
            <w:tcW w:w="7380" w:type="dxa"/>
            <w:vAlign w:val="bottom"/>
          </w:tcPr>
          <w:p>
            <w:pPr>
              <w:ind w:left="240"/>
              <w:spacing w:after="0"/>
              <w:rPr>
                <w:sz w:val="20"/>
                <w:szCs w:val="20"/>
                <w:color w:val="auto"/>
              </w:rPr>
            </w:pPr>
            <w:r>
              <w:rPr>
                <w:rFonts w:ascii="Arial" w:cs="Arial" w:eastAsia="Arial" w:hAnsi="Arial"/>
                <w:sz w:val="18"/>
                <w:szCs w:val="18"/>
                <w:color w:val="auto"/>
              </w:rPr>
              <w:t>Financial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19.2</w:t>
            </w:r>
          </w:p>
        </w:tc>
        <w:tc>
          <w:tcPr>
            <w:tcW w:w="7380" w:type="dxa"/>
            <w:vAlign w:val="bottom"/>
          </w:tcPr>
          <w:p>
            <w:pPr>
              <w:ind w:left="240"/>
              <w:spacing w:after="0"/>
              <w:rPr>
                <w:sz w:val="20"/>
                <w:szCs w:val="20"/>
                <w:color w:val="auto"/>
              </w:rPr>
            </w:pPr>
            <w:r>
              <w:rPr>
                <w:rFonts w:ascii="Arial" w:cs="Arial" w:eastAsia="Arial" w:hAnsi="Arial"/>
                <w:sz w:val="18"/>
                <w:szCs w:val="18"/>
                <w:color w:val="auto"/>
              </w:rPr>
              <w:t>Financial condition</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19.3</w:t>
            </w:r>
          </w:p>
        </w:tc>
        <w:tc>
          <w:tcPr>
            <w:tcW w:w="7380" w:type="dxa"/>
            <w:vAlign w:val="bottom"/>
          </w:tcPr>
          <w:p>
            <w:pPr>
              <w:ind w:left="240"/>
              <w:spacing w:after="0"/>
              <w:rPr>
                <w:sz w:val="20"/>
                <w:szCs w:val="20"/>
                <w:color w:val="auto"/>
              </w:rPr>
            </w:pPr>
            <w:r>
              <w:rPr>
                <w:rFonts w:ascii="Arial" w:cs="Arial" w:eastAsia="Arial" w:hAnsi="Arial"/>
                <w:sz w:val="18"/>
                <w:szCs w:val="18"/>
                <w:color w:val="auto"/>
              </w:rPr>
              <w:t>Financial covenant testing</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20.</w:t>
            </w: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GENERAL UNDERTAKINGS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20.1</w:t>
            </w:r>
          </w:p>
        </w:tc>
        <w:tc>
          <w:tcPr>
            <w:tcW w:w="7380" w:type="dxa"/>
            <w:vAlign w:val="bottom"/>
          </w:tcPr>
          <w:p>
            <w:pPr>
              <w:ind w:left="240"/>
              <w:spacing w:after="0"/>
              <w:rPr>
                <w:sz w:val="20"/>
                <w:szCs w:val="20"/>
                <w:color w:val="auto"/>
              </w:rPr>
            </w:pPr>
            <w:r>
              <w:rPr>
                <w:rFonts w:ascii="Arial" w:cs="Arial" w:eastAsia="Arial" w:hAnsi="Arial"/>
                <w:sz w:val="18"/>
                <w:szCs w:val="18"/>
                <w:color w:val="auto"/>
              </w:rPr>
              <w:t>Authorisations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20.2</w:t>
            </w:r>
          </w:p>
        </w:tc>
        <w:tc>
          <w:tcPr>
            <w:tcW w:w="738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20.3</w:t>
            </w:r>
          </w:p>
        </w:tc>
        <w:tc>
          <w:tcPr>
            <w:tcW w:w="7380" w:type="dxa"/>
            <w:vAlign w:val="bottom"/>
          </w:tcPr>
          <w:p>
            <w:pPr>
              <w:ind w:left="240"/>
              <w:spacing w:after="0"/>
              <w:rPr>
                <w:sz w:val="20"/>
                <w:szCs w:val="20"/>
                <w:color w:val="auto"/>
              </w:rPr>
            </w:pPr>
            <w:r>
              <w:rPr>
                <w:rFonts w:ascii="Arial" w:cs="Arial" w:eastAsia="Arial" w:hAnsi="Arial"/>
                <w:sz w:val="18"/>
                <w:szCs w:val="18"/>
                <w:color w:val="auto"/>
              </w:rPr>
              <w:t>Pari passu ranking</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20.4</w:t>
            </w:r>
          </w:p>
        </w:tc>
        <w:tc>
          <w:tcPr>
            <w:tcW w:w="7380" w:type="dxa"/>
            <w:vAlign w:val="bottom"/>
          </w:tcPr>
          <w:p>
            <w:pPr>
              <w:ind w:left="240"/>
              <w:spacing w:after="0"/>
              <w:rPr>
                <w:sz w:val="20"/>
                <w:szCs w:val="20"/>
                <w:color w:val="auto"/>
              </w:rPr>
            </w:pPr>
            <w:r>
              <w:rPr>
                <w:rFonts w:ascii="Arial" w:cs="Arial" w:eastAsia="Arial" w:hAnsi="Arial"/>
                <w:sz w:val="18"/>
                <w:szCs w:val="18"/>
                <w:color w:val="auto"/>
              </w:rPr>
              <w:t>Negative pledge</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20.5</w:t>
            </w:r>
          </w:p>
        </w:tc>
        <w:tc>
          <w:tcPr>
            <w:tcW w:w="7380" w:type="dxa"/>
            <w:vAlign w:val="bottom"/>
          </w:tcPr>
          <w:p>
            <w:pPr>
              <w:ind w:left="240"/>
              <w:spacing w:after="0"/>
              <w:rPr>
                <w:sz w:val="20"/>
                <w:szCs w:val="20"/>
                <w:color w:val="auto"/>
              </w:rPr>
            </w:pPr>
            <w:r>
              <w:rPr>
                <w:rFonts w:ascii="Arial" w:cs="Arial" w:eastAsia="Arial" w:hAnsi="Arial"/>
                <w:sz w:val="18"/>
                <w:szCs w:val="18"/>
                <w:color w:val="auto"/>
              </w:rPr>
              <w:t>Disposals</w:t>
            </w:r>
          </w:p>
        </w:tc>
        <w:tc>
          <w:tcPr>
            <w:tcW w:w="2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20.6</w:t>
            </w:r>
          </w:p>
        </w:tc>
        <w:tc>
          <w:tcPr>
            <w:tcW w:w="7380" w:type="dxa"/>
            <w:vAlign w:val="bottom"/>
          </w:tcPr>
          <w:p>
            <w:pPr>
              <w:ind w:left="240"/>
              <w:spacing w:after="0"/>
              <w:rPr>
                <w:sz w:val="20"/>
                <w:szCs w:val="20"/>
                <w:color w:val="auto"/>
              </w:rPr>
            </w:pPr>
            <w:r>
              <w:rPr>
                <w:rFonts w:ascii="Arial" w:cs="Arial" w:eastAsia="Arial" w:hAnsi="Arial"/>
                <w:sz w:val="18"/>
                <w:szCs w:val="18"/>
                <w:color w:val="auto"/>
              </w:rPr>
              <w:t>Merger</w:t>
            </w:r>
          </w:p>
        </w:tc>
        <w:tc>
          <w:tcPr>
            <w:tcW w:w="2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20.7</w:t>
            </w:r>
          </w:p>
        </w:tc>
        <w:tc>
          <w:tcPr>
            <w:tcW w:w="7380" w:type="dxa"/>
            <w:vAlign w:val="bottom"/>
          </w:tcPr>
          <w:p>
            <w:pPr>
              <w:ind w:left="240"/>
              <w:spacing w:after="0"/>
              <w:rPr>
                <w:sz w:val="20"/>
                <w:szCs w:val="20"/>
                <w:color w:val="auto"/>
              </w:rPr>
            </w:pPr>
            <w:r>
              <w:rPr>
                <w:rFonts w:ascii="Arial" w:cs="Arial" w:eastAsia="Arial" w:hAnsi="Arial"/>
                <w:sz w:val="18"/>
                <w:szCs w:val="18"/>
                <w:color w:val="auto"/>
              </w:rPr>
              <w:t>Change of business</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20.8</w:t>
            </w:r>
          </w:p>
        </w:tc>
        <w:tc>
          <w:tcPr>
            <w:tcW w:w="7380" w:type="dxa"/>
            <w:vAlign w:val="bottom"/>
          </w:tcPr>
          <w:p>
            <w:pPr>
              <w:ind w:left="240"/>
              <w:spacing w:after="0"/>
              <w:rPr>
                <w:sz w:val="20"/>
                <w:szCs w:val="20"/>
                <w:color w:val="auto"/>
              </w:rPr>
            </w:pPr>
            <w:r>
              <w:rPr>
                <w:rFonts w:ascii="Arial" w:cs="Arial" w:eastAsia="Arial" w:hAnsi="Arial"/>
                <w:sz w:val="18"/>
                <w:szCs w:val="18"/>
                <w:color w:val="auto"/>
              </w:rPr>
              <w:t>Maintenance of corporate existence and books and records</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20.9</w:t>
            </w:r>
          </w:p>
        </w:tc>
        <w:tc>
          <w:tcPr>
            <w:tcW w:w="7380" w:type="dxa"/>
            <w:vAlign w:val="bottom"/>
          </w:tcPr>
          <w:p>
            <w:pPr>
              <w:ind w:left="240"/>
              <w:spacing w:after="0"/>
              <w:rPr>
                <w:sz w:val="20"/>
                <w:szCs w:val="20"/>
                <w:color w:val="auto"/>
              </w:rPr>
            </w:pPr>
            <w:r>
              <w:rPr>
                <w:rFonts w:ascii="Arial" w:cs="Arial" w:eastAsia="Arial" w:hAnsi="Arial"/>
                <w:sz w:val="18"/>
                <w:szCs w:val="18"/>
                <w:color w:val="auto"/>
              </w:rPr>
              <w:t>Anti-corruption law</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20.10</w:t>
            </w:r>
          </w:p>
        </w:tc>
        <w:tc>
          <w:tcPr>
            <w:tcW w:w="7380" w:type="dxa"/>
            <w:vAlign w:val="bottom"/>
          </w:tcPr>
          <w:p>
            <w:pPr>
              <w:ind w:left="240"/>
              <w:spacing w:after="0"/>
              <w:rPr>
                <w:sz w:val="20"/>
                <w:szCs w:val="20"/>
                <w:color w:val="auto"/>
              </w:rPr>
            </w:pPr>
            <w:r>
              <w:rPr>
                <w:rFonts w:ascii="Arial" w:cs="Arial" w:eastAsia="Arial" w:hAnsi="Arial"/>
                <w:sz w:val="18"/>
                <w:szCs w:val="18"/>
                <w:color w:val="auto"/>
              </w:rPr>
              <w:t>Sanctions, Anti-Terrorism Laws and Anti-Money Laundering Laws</w:t>
            </w:r>
          </w:p>
        </w:tc>
        <w:tc>
          <w:tcPr>
            <w:tcW w:w="2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20.11</w:t>
            </w:r>
          </w:p>
        </w:tc>
        <w:tc>
          <w:tcPr>
            <w:tcW w:w="7380" w:type="dxa"/>
            <w:vAlign w:val="bottom"/>
          </w:tcPr>
          <w:p>
            <w:pPr>
              <w:ind w:left="240"/>
              <w:spacing w:after="0"/>
              <w:rPr>
                <w:sz w:val="20"/>
                <w:szCs w:val="20"/>
                <w:color w:val="auto"/>
              </w:rPr>
            </w:pPr>
            <w:r>
              <w:rPr>
                <w:rFonts w:ascii="Arial" w:cs="Arial" w:eastAsia="Arial" w:hAnsi="Arial"/>
                <w:sz w:val="18"/>
                <w:szCs w:val="18"/>
                <w:color w:val="auto"/>
              </w:rPr>
              <w:t>Taxation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20.12</w:t>
            </w:r>
          </w:p>
        </w:tc>
        <w:tc>
          <w:tcPr>
            <w:tcW w:w="7380" w:type="dxa"/>
            <w:vAlign w:val="bottom"/>
          </w:tcPr>
          <w:p>
            <w:pPr>
              <w:ind w:left="240"/>
              <w:spacing w:after="0"/>
              <w:rPr>
                <w:sz w:val="20"/>
                <w:szCs w:val="20"/>
                <w:color w:val="auto"/>
              </w:rPr>
            </w:pPr>
            <w:r>
              <w:rPr>
                <w:rFonts w:ascii="Arial" w:cs="Arial" w:eastAsia="Arial" w:hAnsi="Arial"/>
                <w:sz w:val="18"/>
                <w:szCs w:val="18"/>
                <w:color w:val="auto"/>
              </w:rPr>
              <w:t>Further Assurance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21.</w:t>
            </w: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EVENTS OF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21.1</w:t>
            </w:r>
          </w:p>
        </w:tc>
        <w:tc>
          <w:tcPr>
            <w:tcW w:w="7380" w:type="dxa"/>
            <w:vAlign w:val="bottom"/>
          </w:tcPr>
          <w:p>
            <w:pPr>
              <w:ind w:left="240"/>
              <w:spacing w:after="0"/>
              <w:rPr>
                <w:sz w:val="20"/>
                <w:szCs w:val="20"/>
                <w:color w:val="auto"/>
              </w:rPr>
            </w:pPr>
            <w:r>
              <w:rPr>
                <w:rFonts w:ascii="Arial" w:cs="Arial" w:eastAsia="Arial" w:hAnsi="Arial"/>
                <w:sz w:val="18"/>
                <w:szCs w:val="18"/>
                <w:color w:val="auto"/>
              </w:rPr>
              <w:t>Non-payment</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21.2</w:t>
            </w:r>
          </w:p>
        </w:tc>
        <w:tc>
          <w:tcPr>
            <w:tcW w:w="7380" w:type="dxa"/>
            <w:vAlign w:val="bottom"/>
          </w:tcPr>
          <w:p>
            <w:pPr>
              <w:ind w:left="240"/>
              <w:spacing w:after="0"/>
              <w:rPr>
                <w:sz w:val="20"/>
                <w:szCs w:val="20"/>
                <w:color w:val="auto"/>
              </w:rPr>
            </w:pPr>
            <w:r>
              <w:rPr>
                <w:rFonts w:ascii="Arial" w:cs="Arial" w:eastAsia="Arial" w:hAnsi="Arial"/>
                <w:sz w:val="18"/>
                <w:szCs w:val="18"/>
                <w:color w:val="auto"/>
              </w:rPr>
              <w:t>Financial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21.3</w:t>
            </w:r>
          </w:p>
        </w:tc>
        <w:tc>
          <w:tcPr>
            <w:tcW w:w="7380" w:type="dxa"/>
            <w:vAlign w:val="bottom"/>
          </w:tcPr>
          <w:p>
            <w:pPr>
              <w:ind w:left="240"/>
              <w:spacing w:after="0"/>
              <w:rPr>
                <w:sz w:val="20"/>
                <w:szCs w:val="20"/>
                <w:color w:val="auto"/>
              </w:rPr>
            </w:pPr>
            <w:r>
              <w:rPr>
                <w:rFonts w:ascii="Arial" w:cs="Arial" w:eastAsia="Arial" w:hAnsi="Arial"/>
                <w:sz w:val="18"/>
                <w:szCs w:val="18"/>
                <w:color w:val="auto"/>
              </w:rPr>
              <w:t>Other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21.4</w:t>
            </w:r>
          </w:p>
        </w:tc>
        <w:tc>
          <w:tcPr>
            <w:tcW w:w="7380" w:type="dxa"/>
            <w:vAlign w:val="bottom"/>
          </w:tcPr>
          <w:p>
            <w:pPr>
              <w:ind w:left="240"/>
              <w:spacing w:after="0"/>
              <w:rPr>
                <w:sz w:val="20"/>
                <w:szCs w:val="20"/>
                <w:color w:val="auto"/>
              </w:rPr>
            </w:pPr>
            <w:r>
              <w:rPr>
                <w:rFonts w:ascii="Arial" w:cs="Arial" w:eastAsia="Arial" w:hAnsi="Arial"/>
                <w:sz w:val="18"/>
                <w:szCs w:val="18"/>
                <w:color w:val="auto"/>
              </w:rPr>
              <w:t>Misrepresentation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21.5</w:t>
            </w:r>
          </w:p>
        </w:tc>
        <w:tc>
          <w:tcPr>
            <w:tcW w:w="7380" w:type="dxa"/>
            <w:vAlign w:val="bottom"/>
          </w:tcPr>
          <w:p>
            <w:pPr>
              <w:ind w:left="240"/>
              <w:spacing w:after="0"/>
              <w:rPr>
                <w:sz w:val="20"/>
                <w:szCs w:val="20"/>
                <w:color w:val="auto"/>
              </w:rPr>
            </w:pPr>
            <w:r>
              <w:rPr>
                <w:rFonts w:ascii="Arial" w:cs="Arial" w:eastAsia="Arial" w:hAnsi="Arial"/>
                <w:sz w:val="18"/>
                <w:szCs w:val="18"/>
                <w:color w:val="auto"/>
              </w:rPr>
              <w:t>Cross default</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21.6</w:t>
            </w:r>
          </w:p>
        </w:tc>
        <w:tc>
          <w:tcPr>
            <w:tcW w:w="7380" w:type="dxa"/>
            <w:vAlign w:val="bottom"/>
          </w:tcPr>
          <w:p>
            <w:pPr>
              <w:ind w:left="240"/>
              <w:spacing w:after="0"/>
              <w:rPr>
                <w:sz w:val="20"/>
                <w:szCs w:val="20"/>
                <w:color w:val="auto"/>
              </w:rPr>
            </w:pPr>
            <w:r>
              <w:rPr>
                <w:rFonts w:ascii="Arial" w:cs="Arial" w:eastAsia="Arial" w:hAnsi="Arial"/>
                <w:sz w:val="18"/>
                <w:szCs w:val="18"/>
                <w:color w:val="auto"/>
              </w:rPr>
              <w:t>Insolvency</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21.7</w:t>
            </w:r>
          </w:p>
        </w:tc>
        <w:tc>
          <w:tcPr>
            <w:tcW w:w="7380" w:type="dxa"/>
            <w:vAlign w:val="bottom"/>
          </w:tcPr>
          <w:p>
            <w:pPr>
              <w:ind w:left="240"/>
              <w:spacing w:after="0"/>
              <w:rPr>
                <w:sz w:val="20"/>
                <w:szCs w:val="20"/>
                <w:color w:val="auto"/>
              </w:rPr>
            </w:pPr>
            <w:r>
              <w:rPr>
                <w:rFonts w:ascii="Arial" w:cs="Arial" w:eastAsia="Arial" w:hAnsi="Arial"/>
                <w:sz w:val="18"/>
                <w:szCs w:val="18"/>
                <w:color w:val="auto"/>
              </w:rPr>
              <w:t>Insolvency proceedings</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21.8</w:t>
            </w:r>
          </w:p>
        </w:tc>
        <w:tc>
          <w:tcPr>
            <w:tcW w:w="7380" w:type="dxa"/>
            <w:vAlign w:val="bottom"/>
          </w:tcPr>
          <w:p>
            <w:pPr>
              <w:ind w:left="240"/>
              <w:spacing w:after="0"/>
              <w:rPr>
                <w:sz w:val="20"/>
                <w:szCs w:val="20"/>
                <w:color w:val="auto"/>
              </w:rPr>
            </w:pPr>
            <w:r>
              <w:rPr>
                <w:rFonts w:ascii="Arial" w:cs="Arial" w:eastAsia="Arial" w:hAnsi="Arial"/>
                <w:sz w:val="18"/>
                <w:szCs w:val="18"/>
                <w:color w:val="auto"/>
              </w:rPr>
              <w:t>Creditors’ process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21.9</w:t>
            </w:r>
          </w:p>
        </w:tc>
        <w:tc>
          <w:tcPr>
            <w:tcW w:w="7380" w:type="dxa"/>
            <w:vAlign w:val="bottom"/>
          </w:tcPr>
          <w:p>
            <w:pPr>
              <w:ind w:left="240"/>
              <w:spacing w:after="0"/>
              <w:rPr>
                <w:sz w:val="20"/>
                <w:szCs w:val="20"/>
                <w:color w:val="auto"/>
              </w:rPr>
            </w:pPr>
            <w:r>
              <w:rPr>
                <w:rFonts w:ascii="Arial" w:cs="Arial" w:eastAsia="Arial" w:hAnsi="Arial"/>
                <w:sz w:val="18"/>
                <w:szCs w:val="18"/>
                <w:color w:val="auto"/>
              </w:rPr>
              <w:t>Unlawfulness and invalidity</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21.10</w:t>
            </w:r>
          </w:p>
        </w:tc>
        <w:tc>
          <w:tcPr>
            <w:tcW w:w="7380" w:type="dxa"/>
            <w:vAlign w:val="bottom"/>
          </w:tcPr>
          <w:p>
            <w:pPr>
              <w:ind w:left="240"/>
              <w:spacing w:after="0"/>
              <w:rPr>
                <w:sz w:val="20"/>
                <w:szCs w:val="20"/>
                <w:color w:val="auto"/>
              </w:rPr>
            </w:pPr>
            <w:r>
              <w:rPr>
                <w:rFonts w:ascii="Arial" w:cs="Arial" w:eastAsia="Arial" w:hAnsi="Arial"/>
                <w:sz w:val="18"/>
                <w:szCs w:val="18"/>
                <w:color w:val="auto"/>
              </w:rPr>
              <w:t>Repudiation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21.11</w:t>
            </w:r>
          </w:p>
        </w:tc>
        <w:tc>
          <w:tcPr>
            <w:tcW w:w="7380" w:type="dxa"/>
            <w:vAlign w:val="bottom"/>
          </w:tcPr>
          <w:p>
            <w:pPr>
              <w:ind w:left="240"/>
              <w:spacing w:after="0"/>
              <w:rPr>
                <w:sz w:val="20"/>
                <w:szCs w:val="20"/>
                <w:color w:val="auto"/>
              </w:rPr>
            </w:pPr>
            <w:r>
              <w:rPr>
                <w:rFonts w:ascii="Arial" w:cs="Arial" w:eastAsia="Arial" w:hAnsi="Arial"/>
                <w:sz w:val="18"/>
                <w:szCs w:val="18"/>
                <w:color w:val="auto"/>
              </w:rPr>
              <w:t>Cessation of business</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21.12</w:t>
            </w:r>
          </w:p>
        </w:tc>
        <w:tc>
          <w:tcPr>
            <w:tcW w:w="7380" w:type="dxa"/>
            <w:vAlign w:val="bottom"/>
          </w:tcPr>
          <w:p>
            <w:pPr>
              <w:ind w:left="240"/>
              <w:spacing w:after="0"/>
              <w:rPr>
                <w:sz w:val="20"/>
                <w:szCs w:val="20"/>
                <w:color w:val="auto"/>
              </w:rPr>
            </w:pPr>
            <w:r>
              <w:rPr>
                <w:rFonts w:ascii="Arial" w:cs="Arial" w:eastAsia="Arial" w:hAnsi="Arial"/>
                <w:sz w:val="18"/>
                <w:szCs w:val="18"/>
                <w:color w:val="auto"/>
              </w:rPr>
              <w:t>Material adverse change</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21.13</w:t>
            </w:r>
          </w:p>
        </w:tc>
        <w:tc>
          <w:tcPr>
            <w:tcW w:w="7380" w:type="dxa"/>
            <w:vAlign w:val="bottom"/>
          </w:tcPr>
          <w:p>
            <w:pPr>
              <w:ind w:left="240"/>
              <w:spacing w:after="0"/>
              <w:rPr>
                <w:sz w:val="20"/>
                <w:szCs w:val="20"/>
                <w:color w:val="auto"/>
              </w:rPr>
            </w:pPr>
            <w:r>
              <w:rPr>
                <w:rFonts w:ascii="Arial" w:cs="Arial" w:eastAsia="Arial" w:hAnsi="Arial"/>
                <w:sz w:val="18"/>
                <w:szCs w:val="18"/>
                <w:color w:val="auto"/>
              </w:rPr>
              <w:t>Delisting or suspension of Borrower’s shares</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21.14</w:t>
            </w:r>
          </w:p>
        </w:tc>
        <w:tc>
          <w:tcPr>
            <w:tcW w:w="7380" w:type="dxa"/>
            <w:vAlign w:val="bottom"/>
          </w:tcPr>
          <w:p>
            <w:pPr>
              <w:ind w:left="240"/>
              <w:spacing w:after="0"/>
              <w:rPr>
                <w:sz w:val="20"/>
                <w:szCs w:val="20"/>
                <w:color w:val="auto"/>
              </w:rPr>
            </w:pPr>
            <w:r>
              <w:rPr>
                <w:rFonts w:ascii="Arial" w:cs="Arial" w:eastAsia="Arial" w:hAnsi="Arial"/>
                <w:sz w:val="18"/>
                <w:szCs w:val="18"/>
                <w:color w:val="auto"/>
              </w:rPr>
              <w:t>Acceleration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22.</w:t>
            </w: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CHANGES TO THE PARTIES</w:t>
            </w:r>
          </w:p>
        </w:tc>
        <w:tc>
          <w:tcPr>
            <w:tcW w:w="2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5"/>
        </w:trPr>
        <w:tc>
          <w:tcPr>
            <w:tcW w:w="56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22.1</w:t>
            </w:r>
          </w:p>
        </w:tc>
        <w:tc>
          <w:tcPr>
            <w:tcW w:w="7380" w:type="dxa"/>
            <w:vAlign w:val="bottom"/>
          </w:tcPr>
          <w:p>
            <w:pPr>
              <w:ind w:left="240"/>
              <w:spacing w:after="0"/>
              <w:rPr>
                <w:sz w:val="20"/>
                <w:szCs w:val="20"/>
                <w:color w:val="auto"/>
              </w:rPr>
            </w:pPr>
            <w:r>
              <w:rPr>
                <w:rFonts w:ascii="Arial" w:cs="Arial" w:eastAsia="Arial" w:hAnsi="Arial"/>
                <w:sz w:val="18"/>
                <w:szCs w:val="18"/>
                <w:color w:val="auto"/>
              </w:rPr>
              <w:t>Assignments and transfers by the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22.2</w:t>
            </w:r>
          </w:p>
        </w:tc>
        <w:tc>
          <w:tcPr>
            <w:tcW w:w="7380" w:type="dxa"/>
            <w:vAlign w:val="bottom"/>
          </w:tcPr>
          <w:p>
            <w:pPr>
              <w:ind w:left="240"/>
              <w:spacing w:after="0"/>
              <w:rPr>
                <w:sz w:val="20"/>
                <w:szCs w:val="20"/>
                <w:color w:val="auto"/>
              </w:rPr>
            </w:pPr>
            <w:r>
              <w:rPr>
                <w:rFonts w:ascii="Arial" w:cs="Arial" w:eastAsia="Arial" w:hAnsi="Arial"/>
                <w:sz w:val="18"/>
                <w:szCs w:val="18"/>
                <w:color w:val="auto"/>
              </w:rPr>
              <w:t>Conditions of assignment or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22.3</w:t>
            </w:r>
          </w:p>
        </w:tc>
        <w:tc>
          <w:tcPr>
            <w:tcW w:w="7380" w:type="dxa"/>
            <w:vAlign w:val="bottom"/>
          </w:tcPr>
          <w:p>
            <w:pPr>
              <w:ind w:left="240"/>
              <w:spacing w:after="0"/>
              <w:rPr>
                <w:sz w:val="20"/>
                <w:szCs w:val="20"/>
                <w:color w:val="auto"/>
              </w:rPr>
            </w:pPr>
            <w:r>
              <w:rPr>
                <w:rFonts w:ascii="Arial" w:cs="Arial" w:eastAsia="Arial" w:hAnsi="Arial"/>
                <w:sz w:val="18"/>
                <w:szCs w:val="18"/>
                <w:color w:val="auto"/>
              </w:rPr>
              <w:t>Assignment or transfer fee</w:t>
            </w:r>
          </w:p>
        </w:tc>
        <w:tc>
          <w:tcPr>
            <w:tcW w:w="2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22.4</w:t>
            </w:r>
          </w:p>
        </w:tc>
        <w:tc>
          <w:tcPr>
            <w:tcW w:w="7380" w:type="dxa"/>
            <w:vAlign w:val="bottom"/>
          </w:tcPr>
          <w:p>
            <w:pPr>
              <w:ind w:left="240"/>
              <w:spacing w:after="0"/>
              <w:rPr>
                <w:sz w:val="20"/>
                <w:szCs w:val="20"/>
                <w:color w:val="auto"/>
              </w:rPr>
            </w:pPr>
            <w:r>
              <w:rPr>
                <w:rFonts w:ascii="Arial" w:cs="Arial" w:eastAsia="Arial" w:hAnsi="Arial"/>
                <w:sz w:val="18"/>
                <w:szCs w:val="18"/>
                <w:color w:val="auto"/>
              </w:rPr>
              <w:t>Limitation of responsibility of Existing Lenders</w:t>
            </w:r>
          </w:p>
        </w:tc>
        <w:tc>
          <w:tcPr>
            <w:tcW w:w="2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22.5</w:t>
            </w:r>
          </w:p>
        </w:tc>
        <w:tc>
          <w:tcPr>
            <w:tcW w:w="7380" w:type="dxa"/>
            <w:vAlign w:val="bottom"/>
          </w:tcPr>
          <w:p>
            <w:pPr>
              <w:ind w:left="240"/>
              <w:spacing w:after="0"/>
              <w:rPr>
                <w:sz w:val="20"/>
                <w:szCs w:val="20"/>
                <w:color w:val="auto"/>
              </w:rPr>
            </w:pPr>
            <w:r>
              <w:rPr>
                <w:rFonts w:ascii="Arial" w:cs="Arial" w:eastAsia="Arial" w:hAnsi="Arial"/>
                <w:sz w:val="18"/>
                <w:szCs w:val="18"/>
                <w:color w:val="auto"/>
              </w:rPr>
              <w:t>Procedure for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22.6</w:t>
            </w:r>
          </w:p>
        </w:tc>
        <w:tc>
          <w:tcPr>
            <w:tcW w:w="7380" w:type="dxa"/>
            <w:vAlign w:val="bottom"/>
          </w:tcPr>
          <w:p>
            <w:pPr>
              <w:ind w:left="240"/>
              <w:spacing w:after="0"/>
              <w:rPr>
                <w:sz w:val="20"/>
                <w:szCs w:val="20"/>
                <w:color w:val="auto"/>
              </w:rPr>
            </w:pPr>
            <w:r>
              <w:rPr>
                <w:rFonts w:ascii="Arial" w:cs="Arial" w:eastAsia="Arial" w:hAnsi="Arial"/>
                <w:sz w:val="18"/>
                <w:szCs w:val="18"/>
                <w:color w:val="auto"/>
              </w:rPr>
              <w:t>Procedure for assignment</w:t>
            </w:r>
          </w:p>
        </w:tc>
        <w:tc>
          <w:tcPr>
            <w:tcW w:w="2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22.7</w:t>
            </w:r>
          </w:p>
        </w:tc>
        <w:tc>
          <w:tcPr>
            <w:tcW w:w="7380" w:type="dxa"/>
            <w:vAlign w:val="bottom"/>
          </w:tcPr>
          <w:p>
            <w:pPr>
              <w:ind w:left="240"/>
              <w:spacing w:after="0"/>
              <w:rPr>
                <w:sz w:val="20"/>
                <w:szCs w:val="20"/>
                <w:color w:val="auto"/>
              </w:rPr>
            </w:pPr>
            <w:r>
              <w:rPr>
                <w:rFonts w:ascii="Arial" w:cs="Arial" w:eastAsia="Arial" w:hAnsi="Arial"/>
                <w:sz w:val="18"/>
                <w:szCs w:val="18"/>
                <w:color w:val="auto"/>
              </w:rPr>
              <w:t>Copy of Transfer Certificate or Assignment Agreement to Borrower</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22.8</w:t>
            </w:r>
          </w:p>
        </w:tc>
        <w:tc>
          <w:tcPr>
            <w:tcW w:w="7380" w:type="dxa"/>
            <w:vAlign w:val="bottom"/>
          </w:tcPr>
          <w:p>
            <w:pPr>
              <w:ind w:left="240"/>
              <w:spacing w:after="0"/>
              <w:rPr>
                <w:sz w:val="20"/>
                <w:szCs w:val="20"/>
                <w:color w:val="auto"/>
              </w:rPr>
            </w:pPr>
            <w:r>
              <w:rPr>
                <w:rFonts w:ascii="Arial" w:cs="Arial" w:eastAsia="Arial" w:hAnsi="Arial"/>
                <w:sz w:val="18"/>
                <w:szCs w:val="18"/>
                <w:color w:val="auto"/>
              </w:rPr>
              <w:t>Breach of Conditions of Assignment or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22.9</w:t>
            </w:r>
          </w:p>
        </w:tc>
        <w:tc>
          <w:tcPr>
            <w:tcW w:w="7380" w:type="dxa"/>
            <w:vAlign w:val="bottom"/>
          </w:tcPr>
          <w:p>
            <w:pPr>
              <w:ind w:left="240"/>
              <w:spacing w:after="0"/>
              <w:rPr>
                <w:sz w:val="20"/>
                <w:szCs w:val="20"/>
                <w:color w:val="auto"/>
              </w:rPr>
            </w:pPr>
            <w:r>
              <w:rPr>
                <w:rFonts w:ascii="Arial" w:cs="Arial" w:eastAsia="Arial" w:hAnsi="Arial"/>
                <w:sz w:val="18"/>
                <w:szCs w:val="18"/>
                <w:color w:val="auto"/>
              </w:rPr>
              <w:t>Existing consents and waivers</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22.10</w:t>
            </w:r>
          </w:p>
        </w:tc>
        <w:tc>
          <w:tcPr>
            <w:tcW w:w="7380" w:type="dxa"/>
            <w:vAlign w:val="bottom"/>
          </w:tcPr>
          <w:p>
            <w:pPr>
              <w:ind w:left="240"/>
              <w:spacing w:after="0"/>
              <w:rPr>
                <w:sz w:val="20"/>
                <w:szCs w:val="20"/>
                <w:color w:val="auto"/>
              </w:rPr>
            </w:pPr>
            <w:r>
              <w:rPr>
                <w:rFonts w:ascii="Arial" w:cs="Arial" w:eastAsia="Arial" w:hAnsi="Arial"/>
                <w:sz w:val="18"/>
                <w:szCs w:val="18"/>
                <w:color w:val="auto"/>
              </w:rPr>
              <w:t>Exclusion of Agent’s liability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3"/>
        </w:trPr>
        <w:tc>
          <w:tcPr>
            <w:tcW w:w="56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22.11</w:t>
            </w:r>
          </w:p>
        </w:tc>
        <w:tc>
          <w:tcPr>
            <w:tcW w:w="7380" w:type="dxa"/>
            <w:vAlign w:val="bottom"/>
          </w:tcPr>
          <w:p>
            <w:pPr>
              <w:ind w:left="240"/>
              <w:spacing w:after="0"/>
              <w:rPr>
                <w:sz w:val="20"/>
                <w:szCs w:val="20"/>
                <w:color w:val="auto"/>
              </w:rPr>
            </w:pPr>
            <w:r>
              <w:rPr>
                <w:rFonts w:ascii="Arial" w:cs="Arial" w:eastAsia="Arial" w:hAnsi="Arial"/>
                <w:sz w:val="18"/>
                <w:szCs w:val="18"/>
                <w:color w:val="auto"/>
              </w:rPr>
              <w:t>Sub-participation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4"/>
        </w:trPr>
        <w:tc>
          <w:tcPr>
            <w:tcW w:w="5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rPr>
              <w:t>22.12</w:t>
            </w:r>
          </w:p>
        </w:tc>
        <w:tc>
          <w:tcPr>
            <w:tcW w:w="7380" w:type="dxa"/>
            <w:vAlign w:val="bottom"/>
          </w:tcPr>
          <w:p>
            <w:pPr>
              <w:ind w:left="240"/>
              <w:spacing w:after="0"/>
              <w:rPr>
                <w:sz w:val="20"/>
                <w:szCs w:val="20"/>
                <w:color w:val="auto"/>
              </w:rPr>
            </w:pPr>
            <w:r>
              <w:rPr>
                <w:rFonts w:ascii="Arial" w:cs="Arial" w:eastAsia="Arial" w:hAnsi="Arial"/>
                <w:sz w:val="18"/>
                <w:szCs w:val="18"/>
                <w:color w:val="auto"/>
              </w:rPr>
              <w:t>Assignments and transfers to members of the Group</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26"/>
        </w:trPr>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80" w:type="dxa"/>
            <w:vAlign w:val="bottom"/>
          </w:tcPr>
          <w:p>
            <w:pPr>
              <w:ind w:left="4120"/>
              <w:spacing w:after="0"/>
              <w:rPr>
                <w:sz w:val="20"/>
                <w:szCs w:val="20"/>
                <w:color w:val="auto"/>
              </w:rPr>
            </w:pPr>
            <w:r>
              <w:rPr>
                <w:rFonts w:ascii="Arial" w:cs="Arial" w:eastAsia="Arial" w:hAnsi="Arial"/>
                <w:sz w:val="18"/>
                <w:szCs w:val="18"/>
                <w:color w:val="auto"/>
              </w:rPr>
              <w:t>3</w:t>
            </w:r>
          </w:p>
        </w:tc>
        <w:tc>
          <w:tcPr>
            <w:tcW w:w="2540" w:type="dxa"/>
            <w:vAlign w:val="bottom"/>
          </w:tcPr>
          <w:p>
            <w:pPr>
              <w:spacing w:after="0"/>
              <w:rPr>
                <w:sz w:val="24"/>
                <w:szCs w:val="24"/>
                <w:color w:val="auto"/>
              </w:rPr>
            </w:pPr>
          </w:p>
        </w:tc>
      </w:tr>
      <w:tr>
        <w:trPr>
          <w:trHeight w:val="131"/>
        </w:trPr>
        <w:tc>
          <w:tcPr>
            <w:tcW w:w="5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38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22.13</w:t>
            </w:r>
          </w:p>
        </w:tc>
        <w:tc>
          <w:tcPr>
            <w:tcW w:w="3800" w:type="dxa"/>
            <w:vAlign w:val="bottom"/>
          </w:tcPr>
          <w:p>
            <w:pPr>
              <w:ind w:left="60"/>
              <w:spacing w:after="0"/>
              <w:rPr>
                <w:sz w:val="20"/>
                <w:szCs w:val="20"/>
                <w:color w:val="auto"/>
              </w:rPr>
            </w:pPr>
            <w:r>
              <w:rPr>
                <w:rFonts w:ascii="Arial" w:cs="Arial" w:eastAsia="Arial" w:hAnsi="Arial"/>
                <w:sz w:val="18"/>
                <w:szCs w:val="18"/>
                <w:color w:val="auto"/>
              </w:rPr>
              <w:t>Security over Lenders’ rights</w:t>
            </w:r>
          </w:p>
        </w:tc>
        <w:tc>
          <w:tcPr>
            <w:tcW w:w="5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4"/>
        </w:trPr>
        <w:tc>
          <w:tcPr>
            <w:tcW w:w="56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22.14</w:t>
            </w:r>
          </w:p>
        </w:tc>
        <w:tc>
          <w:tcPr>
            <w:tcW w:w="3800" w:type="dxa"/>
            <w:vAlign w:val="bottom"/>
          </w:tcPr>
          <w:p>
            <w:pPr>
              <w:ind w:left="60"/>
              <w:spacing w:after="0"/>
              <w:rPr>
                <w:sz w:val="20"/>
                <w:szCs w:val="20"/>
                <w:color w:val="auto"/>
              </w:rPr>
            </w:pPr>
            <w:r>
              <w:rPr>
                <w:rFonts w:ascii="Arial" w:cs="Arial" w:eastAsia="Arial" w:hAnsi="Arial"/>
                <w:sz w:val="18"/>
                <w:szCs w:val="18"/>
                <w:color w:val="auto"/>
              </w:rPr>
              <w:t>Assignments and transfers by the Borrower</w:t>
            </w:r>
          </w:p>
        </w:tc>
        <w:tc>
          <w:tcPr>
            <w:tcW w:w="5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23.</w:t>
            </w: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ROLE OF THE ADMINISTRATIVE PARTIES</w:t>
            </w:r>
          </w:p>
        </w:tc>
        <w:tc>
          <w:tcPr>
            <w:tcW w:w="5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5"/>
        </w:trPr>
        <w:tc>
          <w:tcPr>
            <w:tcW w:w="56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w:t>
            </w:r>
          </w:p>
        </w:tc>
        <w:tc>
          <w:tcPr>
            <w:tcW w:w="3800" w:type="dxa"/>
            <w:vAlign w:val="bottom"/>
          </w:tcPr>
          <w:p>
            <w:pPr>
              <w:ind w:left="60"/>
              <w:spacing w:after="0"/>
              <w:rPr>
                <w:sz w:val="20"/>
                <w:szCs w:val="20"/>
                <w:color w:val="auto"/>
              </w:rPr>
            </w:pPr>
            <w:r>
              <w:rPr>
                <w:rFonts w:ascii="Arial" w:cs="Arial" w:eastAsia="Arial" w:hAnsi="Arial"/>
                <w:sz w:val="18"/>
                <w:szCs w:val="18"/>
                <w:color w:val="auto"/>
              </w:rPr>
              <w:t>Appointment of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23.2</w:t>
            </w:r>
          </w:p>
        </w:tc>
        <w:tc>
          <w:tcPr>
            <w:tcW w:w="3800" w:type="dxa"/>
            <w:vAlign w:val="bottom"/>
          </w:tcPr>
          <w:p>
            <w:pPr>
              <w:ind w:left="60"/>
              <w:spacing w:after="0"/>
              <w:rPr>
                <w:sz w:val="20"/>
                <w:szCs w:val="20"/>
                <w:color w:val="auto"/>
              </w:rPr>
            </w:pPr>
            <w:r>
              <w:rPr>
                <w:rFonts w:ascii="Arial" w:cs="Arial" w:eastAsia="Arial" w:hAnsi="Arial"/>
                <w:sz w:val="18"/>
                <w:szCs w:val="18"/>
                <w:color w:val="auto"/>
              </w:rPr>
              <w:t>Instructions</w:t>
            </w:r>
          </w:p>
        </w:tc>
        <w:tc>
          <w:tcPr>
            <w:tcW w:w="5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23.3</w:t>
            </w:r>
          </w:p>
        </w:tc>
        <w:tc>
          <w:tcPr>
            <w:tcW w:w="3800" w:type="dxa"/>
            <w:vAlign w:val="bottom"/>
          </w:tcPr>
          <w:p>
            <w:pPr>
              <w:ind w:left="60"/>
              <w:spacing w:after="0"/>
              <w:rPr>
                <w:sz w:val="20"/>
                <w:szCs w:val="20"/>
                <w:color w:val="auto"/>
              </w:rPr>
            </w:pPr>
            <w:r>
              <w:rPr>
                <w:rFonts w:ascii="Arial" w:cs="Arial" w:eastAsia="Arial" w:hAnsi="Arial"/>
                <w:sz w:val="18"/>
                <w:szCs w:val="18"/>
                <w:color w:val="auto"/>
              </w:rPr>
              <w:t>Duties of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23.4</w:t>
            </w:r>
          </w:p>
        </w:tc>
        <w:tc>
          <w:tcPr>
            <w:tcW w:w="3800" w:type="dxa"/>
            <w:vAlign w:val="bottom"/>
          </w:tcPr>
          <w:p>
            <w:pPr>
              <w:ind w:left="60"/>
              <w:spacing w:after="0"/>
              <w:rPr>
                <w:sz w:val="20"/>
                <w:szCs w:val="20"/>
                <w:color w:val="auto"/>
              </w:rPr>
            </w:pPr>
            <w:r>
              <w:rPr>
                <w:rFonts w:ascii="Arial" w:cs="Arial" w:eastAsia="Arial" w:hAnsi="Arial"/>
                <w:sz w:val="18"/>
                <w:szCs w:val="18"/>
                <w:color w:val="auto"/>
              </w:rPr>
              <w:t>Role of the MLABs</w:t>
            </w:r>
          </w:p>
        </w:tc>
        <w:tc>
          <w:tcPr>
            <w:tcW w:w="5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23.5</w:t>
            </w:r>
          </w:p>
        </w:tc>
        <w:tc>
          <w:tcPr>
            <w:tcW w:w="3800" w:type="dxa"/>
            <w:vAlign w:val="bottom"/>
          </w:tcPr>
          <w:p>
            <w:pPr>
              <w:ind w:left="60"/>
              <w:spacing w:after="0"/>
              <w:rPr>
                <w:sz w:val="20"/>
                <w:szCs w:val="20"/>
                <w:color w:val="auto"/>
              </w:rPr>
            </w:pPr>
            <w:r>
              <w:rPr>
                <w:rFonts w:ascii="Arial" w:cs="Arial" w:eastAsia="Arial" w:hAnsi="Arial"/>
                <w:sz w:val="18"/>
                <w:szCs w:val="18"/>
                <w:color w:val="auto"/>
              </w:rPr>
              <w:t>No fiduciary duties</w:t>
            </w:r>
          </w:p>
        </w:tc>
        <w:tc>
          <w:tcPr>
            <w:tcW w:w="5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23.6</w:t>
            </w:r>
          </w:p>
        </w:tc>
        <w:tc>
          <w:tcPr>
            <w:tcW w:w="3800" w:type="dxa"/>
            <w:vAlign w:val="bottom"/>
          </w:tcPr>
          <w:p>
            <w:pPr>
              <w:ind w:left="60"/>
              <w:spacing w:after="0"/>
              <w:rPr>
                <w:sz w:val="20"/>
                <w:szCs w:val="20"/>
                <w:color w:val="auto"/>
              </w:rPr>
            </w:pPr>
            <w:r>
              <w:rPr>
                <w:rFonts w:ascii="Arial" w:cs="Arial" w:eastAsia="Arial" w:hAnsi="Arial"/>
                <w:sz w:val="18"/>
                <w:szCs w:val="18"/>
                <w:color w:val="auto"/>
              </w:rPr>
              <w:t>Business with the Group</w:t>
            </w:r>
          </w:p>
        </w:tc>
        <w:tc>
          <w:tcPr>
            <w:tcW w:w="5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23.7</w:t>
            </w:r>
          </w:p>
        </w:tc>
        <w:tc>
          <w:tcPr>
            <w:tcW w:w="3800" w:type="dxa"/>
            <w:vAlign w:val="bottom"/>
          </w:tcPr>
          <w:p>
            <w:pPr>
              <w:ind w:left="60"/>
              <w:spacing w:after="0"/>
              <w:rPr>
                <w:sz w:val="20"/>
                <w:szCs w:val="20"/>
                <w:color w:val="auto"/>
              </w:rPr>
            </w:pPr>
            <w:r>
              <w:rPr>
                <w:rFonts w:ascii="Arial" w:cs="Arial" w:eastAsia="Arial" w:hAnsi="Arial"/>
                <w:sz w:val="18"/>
                <w:szCs w:val="18"/>
                <w:color w:val="auto"/>
              </w:rPr>
              <w:t>Rights and discretions of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23.8</w:t>
            </w:r>
          </w:p>
        </w:tc>
        <w:tc>
          <w:tcPr>
            <w:tcW w:w="3800" w:type="dxa"/>
            <w:vAlign w:val="bottom"/>
          </w:tcPr>
          <w:p>
            <w:pPr>
              <w:ind w:left="60"/>
              <w:spacing w:after="0"/>
              <w:rPr>
                <w:sz w:val="20"/>
                <w:szCs w:val="20"/>
                <w:color w:val="auto"/>
              </w:rPr>
            </w:pPr>
            <w:r>
              <w:rPr>
                <w:rFonts w:ascii="Arial" w:cs="Arial" w:eastAsia="Arial" w:hAnsi="Arial"/>
                <w:sz w:val="18"/>
                <w:szCs w:val="18"/>
                <w:color w:val="auto"/>
              </w:rPr>
              <w:t>Responsibility for documentation</w:t>
            </w:r>
          </w:p>
        </w:tc>
        <w:tc>
          <w:tcPr>
            <w:tcW w:w="5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23.9</w:t>
            </w:r>
          </w:p>
        </w:tc>
        <w:tc>
          <w:tcPr>
            <w:tcW w:w="3800" w:type="dxa"/>
            <w:vAlign w:val="bottom"/>
          </w:tcPr>
          <w:p>
            <w:pPr>
              <w:ind w:left="60"/>
              <w:spacing w:after="0"/>
              <w:rPr>
                <w:sz w:val="20"/>
                <w:szCs w:val="20"/>
                <w:color w:val="auto"/>
              </w:rPr>
            </w:pPr>
            <w:r>
              <w:rPr>
                <w:rFonts w:ascii="Arial" w:cs="Arial" w:eastAsia="Arial" w:hAnsi="Arial"/>
                <w:sz w:val="18"/>
                <w:szCs w:val="18"/>
                <w:color w:val="auto"/>
              </w:rPr>
              <w:t>No duty to monitor</w:t>
            </w:r>
          </w:p>
        </w:tc>
        <w:tc>
          <w:tcPr>
            <w:tcW w:w="5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23.10</w:t>
            </w:r>
          </w:p>
        </w:tc>
        <w:tc>
          <w:tcPr>
            <w:tcW w:w="3800" w:type="dxa"/>
            <w:vAlign w:val="bottom"/>
          </w:tcPr>
          <w:p>
            <w:pPr>
              <w:ind w:left="60"/>
              <w:spacing w:after="0"/>
              <w:rPr>
                <w:sz w:val="20"/>
                <w:szCs w:val="20"/>
                <w:color w:val="auto"/>
              </w:rPr>
            </w:pPr>
            <w:r>
              <w:rPr>
                <w:rFonts w:ascii="Arial" w:cs="Arial" w:eastAsia="Arial" w:hAnsi="Arial"/>
                <w:sz w:val="18"/>
                <w:szCs w:val="18"/>
                <w:color w:val="auto"/>
              </w:rPr>
              <w:t>Exclusion of liability</w:t>
            </w:r>
          </w:p>
        </w:tc>
        <w:tc>
          <w:tcPr>
            <w:tcW w:w="5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23.11</w:t>
            </w:r>
          </w:p>
        </w:tc>
        <w:tc>
          <w:tcPr>
            <w:tcW w:w="3800" w:type="dxa"/>
            <w:vAlign w:val="bottom"/>
          </w:tcPr>
          <w:p>
            <w:pPr>
              <w:ind w:left="60"/>
              <w:spacing w:after="0"/>
              <w:rPr>
                <w:sz w:val="20"/>
                <w:szCs w:val="20"/>
                <w:color w:val="auto"/>
              </w:rPr>
            </w:pPr>
            <w:r>
              <w:rPr>
                <w:rFonts w:ascii="Arial" w:cs="Arial" w:eastAsia="Arial" w:hAnsi="Arial"/>
                <w:sz w:val="18"/>
                <w:szCs w:val="18"/>
                <w:color w:val="auto"/>
              </w:rPr>
              <w:t>Lenders’ indemnity to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23.12</w:t>
            </w:r>
          </w:p>
        </w:tc>
        <w:tc>
          <w:tcPr>
            <w:tcW w:w="3800" w:type="dxa"/>
            <w:vAlign w:val="bottom"/>
          </w:tcPr>
          <w:p>
            <w:pPr>
              <w:ind w:left="60"/>
              <w:spacing w:after="0"/>
              <w:rPr>
                <w:sz w:val="20"/>
                <w:szCs w:val="20"/>
                <w:color w:val="auto"/>
              </w:rPr>
            </w:pPr>
            <w:r>
              <w:rPr>
                <w:rFonts w:ascii="Arial" w:cs="Arial" w:eastAsia="Arial" w:hAnsi="Arial"/>
                <w:sz w:val="18"/>
                <w:szCs w:val="18"/>
                <w:color w:val="auto"/>
              </w:rPr>
              <w:t>Resignation of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23.13</w:t>
            </w:r>
          </w:p>
        </w:tc>
        <w:tc>
          <w:tcPr>
            <w:tcW w:w="38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5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23.14</w:t>
            </w:r>
          </w:p>
        </w:tc>
        <w:tc>
          <w:tcPr>
            <w:tcW w:w="3800" w:type="dxa"/>
            <w:vAlign w:val="bottom"/>
          </w:tcPr>
          <w:p>
            <w:pPr>
              <w:ind w:left="60"/>
              <w:spacing w:after="0"/>
              <w:rPr>
                <w:sz w:val="20"/>
                <w:szCs w:val="20"/>
                <w:color w:val="auto"/>
              </w:rPr>
            </w:pPr>
            <w:r>
              <w:rPr>
                <w:rFonts w:ascii="Arial" w:cs="Arial" w:eastAsia="Arial" w:hAnsi="Arial"/>
                <w:sz w:val="18"/>
                <w:szCs w:val="18"/>
                <w:color w:val="auto"/>
              </w:rPr>
              <w:t>Relationship with the Lenders</w:t>
            </w:r>
          </w:p>
        </w:tc>
        <w:tc>
          <w:tcPr>
            <w:tcW w:w="5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23.15</w:t>
            </w:r>
          </w:p>
        </w:tc>
        <w:tc>
          <w:tcPr>
            <w:tcW w:w="3800" w:type="dxa"/>
            <w:vAlign w:val="bottom"/>
          </w:tcPr>
          <w:p>
            <w:pPr>
              <w:ind w:left="60"/>
              <w:spacing w:after="0"/>
              <w:rPr>
                <w:sz w:val="20"/>
                <w:szCs w:val="20"/>
                <w:color w:val="auto"/>
              </w:rPr>
            </w:pPr>
            <w:r>
              <w:rPr>
                <w:rFonts w:ascii="Arial" w:cs="Arial" w:eastAsia="Arial" w:hAnsi="Arial"/>
                <w:sz w:val="18"/>
                <w:szCs w:val="18"/>
                <w:color w:val="auto"/>
              </w:rPr>
              <w:t>Credit appraisal by the Lenders</w:t>
            </w:r>
          </w:p>
        </w:tc>
        <w:tc>
          <w:tcPr>
            <w:tcW w:w="5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4"/>
        </w:trPr>
        <w:tc>
          <w:tcPr>
            <w:tcW w:w="56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23.16</w:t>
            </w:r>
          </w:p>
        </w:tc>
        <w:tc>
          <w:tcPr>
            <w:tcW w:w="3800" w:type="dxa"/>
            <w:vAlign w:val="bottom"/>
          </w:tcPr>
          <w:p>
            <w:pPr>
              <w:ind w:left="60"/>
              <w:spacing w:after="0"/>
              <w:rPr>
                <w:sz w:val="20"/>
                <w:szCs w:val="20"/>
                <w:color w:val="auto"/>
              </w:rPr>
            </w:pPr>
            <w:r>
              <w:rPr>
                <w:rFonts w:ascii="Arial" w:cs="Arial" w:eastAsia="Arial" w:hAnsi="Arial"/>
                <w:sz w:val="18"/>
                <w:szCs w:val="18"/>
                <w:color w:val="auto"/>
              </w:rPr>
              <w:t>Deduction from amounts payable by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24.</w:t>
            </w: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SHARING AMONG THE FINANCE PARTIES</w:t>
            </w:r>
          </w:p>
        </w:tc>
        <w:tc>
          <w:tcPr>
            <w:tcW w:w="5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5"/>
        </w:trPr>
        <w:tc>
          <w:tcPr>
            <w:tcW w:w="56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24.1</w:t>
            </w:r>
          </w:p>
        </w:tc>
        <w:tc>
          <w:tcPr>
            <w:tcW w:w="3800" w:type="dxa"/>
            <w:vAlign w:val="bottom"/>
          </w:tcPr>
          <w:p>
            <w:pPr>
              <w:ind w:left="60"/>
              <w:spacing w:after="0"/>
              <w:rPr>
                <w:sz w:val="20"/>
                <w:szCs w:val="20"/>
                <w:color w:val="auto"/>
              </w:rPr>
            </w:pPr>
            <w:r>
              <w:rPr>
                <w:rFonts w:ascii="Arial" w:cs="Arial" w:eastAsia="Arial" w:hAnsi="Arial"/>
                <w:sz w:val="18"/>
                <w:szCs w:val="18"/>
                <w:color w:val="auto"/>
              </w:rPr>
              <w:t>Payments to Finance Parties</w:t>
            </w:r>
          </w:p>
        </w:tc>
        <w:tc>
          <w:tcPr>
            <w:tcW w:w="5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24.2</w:t>
            </w:r>
          </w:p>
        </w:tc>
        <w:tc>
          <w:tcPr>
            <w:tcW w:w="3800" w:type="dxa"/>
            <w:vAlign w:val="bottom"/>
          </w:tcPr>
          <w:p>
            <w:pPr>
              <w:ind w:left="60"/>
              <w:spacing w:after="0"/>
              <w:rPr>
                <w:sz w:val="20"/>
                <w:szCs w:val="20"/>
                <w:color w:val="auto"/>
              </w:rPr>
            </w:pPr>
            <w:r>
              <w:rPr>
                <w:rFonts w:ascii="Arial" w:cs="Arial" w:eastAsia="Arial" w:hAnsi="Arial"/>
                <w:sz w:val="18"/>
                <w:szCs w:val="18"/>
                <w:color w:val="auto"/>
              </w:rPr>
              <w:t>Redistribution of payments</w:t>
            </w:r>
          </w:p>
        </w:tc>
        <w:tc>
          <w:tcPr>
            <w:tcW w:w="5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24.3</w:t>
            </w:r>
          </w:p>
        </w:tc>
        <w:tc>
          <w:tcPr>
            <w:tcW w:w="3800" w:type="dxa"/>
            <w:vAlign w:val="bottom"/>
          </w:tcPr>
          <w:p>
            <w:pPr>
              <w:ind w:left="60"/>
              <w:spacing w:after="0"/>
              <w:rPr>
                <w:sz w:val="20"/>
                <w:szCs w:val="20"/>
                <w:color w:val="auto"/>
              </w:rPr>
            </w:pPr>
            <w:r>
              <w:rPr>
                <w:rFonts w:ascii="Arial" w:cs="Arial" w:eastAsia="Arial" w:hAnsi="Arial"/>
                <w:sz w:val="18"/>
                <w:szCs w:val="18"/>
                <w:color w:val="auto"/>
              </w:rPr>
              <w:t>Recovering Finance Party’s rights</w:t>
            </w:r>
          </w:p>
        </w:tc>
        <w:tc>
          <w:tcPr>
            <w:tcW w:w="5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24.4</w:t>
            </w:r>
          </w:p>
        </w:tc>
        <w:tc>
          <w:tcPr>
            <w:tcW w:w="3800" w:type="dxa"/>
            <w:vAlign w:val="bottom"/>
          </w:tcPr>
          <w:p>
            <w:pPr>
              <w:ind w:left="60"/>
              <w:spacing w:after="0"/>
              <w:rPr>
                <w:sz w:val="20"/>
                <w:szCs w:val="20"/>
                <w:color w:val="auto"/>
              </w:rPr>
            </w:pPr>
            <w:r>
              <w:rPr>
                <w:rFonts w:ascii="Arial" w:cs="Arial" w:eastAsia="Arial" w:hAnsi="Arial"/>
                <w:sz w:val="18"/>
                <w:szCs w:val="18"/>
                <w:color w:val="auto"/>
              </w:rPr>
              <w:t>Reversal of redistribution</w:t>
            </w:r>
          </w:p>
        </w:tc>
        <w:tc>
          <w:tcPr>
            <w:tcW w:w="5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4"/>
        </w:trPr>
        <w:tc>
          <w:tcPr>
            <w:tcW w:w="56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24.5</w:t>
            </w:r>
          </w:p>
        </w:tc>
        <w:tc>
          <w:tcPr>
            <w:tcW w:w="3800" w:type="dxa"/>
            <w:vAlign w:val="bottom"/>
          </w:tcPr>
          <w:p>
            <w:pPr>
              <w:ind w:left="60"/>
              <w:spacing w:after="0"/>
              <w:rPr>
                <w:sz w:val="20"/>
                <w:szCs w:val="20"/>
                <w:color w:val="auto"/>
              </w:rPr>
            </w:pPr>
            <w:r>
              <w:rPr>
                <w:rFonts w:ascii="Arial" w:cs="Arial" w:eastAsia="Arial" w:hAnsi="Arial"/>
                <w:sz w:val="18"/>
                <w:szCs w:val="18"/>
                <w:color w:val="auto"/>
              </w:rPr>
              <w:t>Exceptions</w:t>
            </w:r>
          </w:p>
        </w:tc>
        <w:tc>
          <w:tcPr>
            <w:tcW w:w="5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25.</w:t>
            </w: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PAYMENT MECHANICS</w:t>
            </w:r>
          </w:p>
        </w:tc>
        <w:tc>
          <w:tcPr>
            <w:tcW w:w="5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5"/>
        </w:trPr>
        <w:tc>
          <w:tcPr>
            <w:tcW w:w="56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25.1</w:t>
            </w:r>
          </w:p>
        </w:tc>
        <w:tc>
          <w:tcPr>
            <w:tcW w:w="3800" w:type="dxa"/>
            <w:vAlign w:val="bottom"/>
          </w:tcPr>
          <w:p>
            <w:pPr>
              <w:ind w:left="60"/>
              <w:spacing w:after="0"/>
              <w:rPr>
                <w:sz w:val="20"/>
                <w:szCs w:val="20"/>
                <w:color w:val="auto"/>
              </w:rPr>
            </w:pPr>
            <w:r>
              <w:rPr>
                <w:rFonts w:ascii="Arial" w:cs="Arial" w:eastAsia="Arial" w:hAnsi="Arial"/>
                <w:sz w:val="18"/>
                <w:szCs w:val="18"/>
                <w:color w:val="auto"/>
              </w:rPr>
              <w:t>Payments to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25.2</w:t>
            </w:r>
          </w:p>
        </w:tc>
        <w:tc>
          <w:tcPr>
            <w:tcW w:w="3800" w:type="dxa"/>
            <w:vAlign w:val="bottom"/>
          </w:tcPr>
          <w:p>
            <w:pPr>
              <w:ind w:left="60"/>
              <w:spacing w:after="0"/>
              <w:rPr>
                <w:sz w:val="20"/>
                <w:szCs w:val="20"/>
                <w:color w:val="auto"/>
              </w:rPr>
            </w:pPr>
            <w:r>
              <w:rPr>
                <w:rFonts w:ascii="Arial" w:cs="Arial" w:eastAsia="Arial" w:hAnsi="Arial"/>
                <w:sz w:val="18"/>
                <w:szCs w:val="18"/>
                <w:color w:val="auto"/>
              </w:rPr>
              <w:t>Distributions by the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25.3</w:t>
            </w:r>
          </w:p>
        </w:tc>
        <w:tc>
          <w:tcPr>
            <w:tcW w:w="3800" w:type="dxa"/>
            <w:vAlign w:val="bottom"/>
          </w:tcPr>
          <w:p>
            <w:pPr>
              <w:ind w:left="60"/>
              <w:spacing w:after="0"/>
              <w:rPr>
                <w:sz w:val="20"/>
                <w:szCs w:val="20"/>
                <w:color w:val="auto"/>
              </w:rPr>
            </w:pPr>
            <w:r>
              <w:rPr>
                <w:rFonts w:ascii="Arial" w:cs="Arial" w:eastAsia="Arial" w:hAnsi="Arial"/>
                <w:sz w:val="18"/>
                <w:szCs w:val="18"/>
                <w:color w:val="auto"/>
              </w:rPr>
              <w:t>Distributions to the Borrower</w:t>
            </w:r>
          </w:p>
        </w:tc>
        <w:tc>
          <w:tcPr>
            <w:tcW w:w="5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25.4</w:t>
            </w:r>
          </w:p>
        </w:tc>
        <w:tc>
          <w:tcPr>
            <w:tcW w:w="3800" w:type="dxa"/>
            <w:vAlign w:val="bottom"/>
          </w:tcPr>
          <w:p>
            <w:pPr>
              <w:ind w:left="60"/>
              <w:spacing w:after="0"/>
              <w:rPr>
                <w:sz w:val="20"/>
                <w:szCs w:val="20"/>
                <w:color w:val="auto"/>
              </w:rPr>
            </w:pPr>
            <w:r>
              <w:rPr>
                <w:rFonts w:ascii="Arial" w:cs="Arial" w:eastAsia="Arial" w:hAnsi="Arial"/>
                <w:sz w:val="18"/>
                <w:szCs w:val="18"/>
                <w:color w:val="auto"/>
              </w:rPr>
              <w:t>Clawback and pre-funding</w:t>
            </w:r>
          </w:p>
        </w:tc>
        <w:tc>
          <w:tcPr>
            <w:tcW w:w="5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25.5</w:t>
            </w:r>
          </w:p>
        </w:tc>
        <w:tc>
          <w:tcPr>
            <w:tcW w:w="3800" w:type="dxa"/>
            <w:vAlign w:val="bottom"/>
          </w:tcPr>
          <w:p>
            <w:pPr>
              <w:ind w:left="60"/>
              <w:spacing w:after="0"/>
              <w:rPr>
                <w:sz w:val="20"/>
                <w:szCs w:val="20"/>
                <w:color w:val="auto"/>
              </w:rPr>
            </w:pPr>
            <w:r>
              <w:rPr>
                <w:rFonts w:ascii="Arial" w:cs="Arial" w:eastAsia="Arial" w:hAnsi="Arial"/>
                <w:sz w:val="18"/>
                <w:szCs w:val="18"/>
                <w:color w:val="auto"/>
              </w:rPr>
              <w:t>Impaired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25.6</w:t>
            </w:r>
          </w:p>
        </w:tc>
        <w:tc>
          <w:tcPr>
            <w:tcW w:w="3800" w:type="dxa"/>
            <w:vAlign w:val="bottom"/>
          </w:tcPr>
          <w:p>
            <w:pPr>
              <w:ind w:left="60"/>
              <w:spacing w:after="0"/>
              <w:rPr>
                <w:sz w:val="20"/>
                <w:szCs w:val="20"/>
                <w:color w:val="auto"/>
              </w:rPr>
            </w:pPr>
            <w:r>
              <w:rPr>
                <w:rFonts w:ascii="Arial" w:cs="Arial" w:eastAsia="Arial" w:hAnsi="Arial"/>
                <w:sz w:val="18"/>
                <w:szCs w:val="18"/>
                <w:color w:val="auto"/>
              </w:rPr>
              <w:t>Partial payments</w:t>
            </w:r>
          </w:p>
        </w:tc>
        <w:tc>
          <w:tcPr>
            <w:tcW w:w="5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25.7</w:t>
            </w:r>
          </w:p>
        </w:tc>
        <w:tc>
          <w:tcPr>
            <w:tcW w:w="3800" w:type="dxa"/>
            <w:vAlign w:val="bottom"/>
          </w:tcPr>
          <w:p>
            <w:pPr>
              <w:ind w:left="60"/>
              <w:spacing w:after="0"/>
              <w:rPr>
                <w:sz w:val="20"/>
                <w:szCs w:val="20"/>
                <w:color w:val="auto"/>
              </w:rPr>
            </w:pPr>
            <w:r>
              <w:rPr>
                <w:rFonts w:ascii="Arial" w:cs="Arial" w:eastAsia="Arial" w:hAnsi="Arial"/>
                <w:sz w:val="18"/>
                <w:szCs w:val="18"/>
                <w:color w:val="auto"/>
              </w:rPr>
              <w:t>No set-off by the Borrower</w:t>
            </w:r>
          </w:p>
        </w:tc>
        <w:tc>
          <w:tcPr>
            <w:tcW w:w="5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25.8</w:t>
            </w:r>
          </w:p>
        </w:tc>
        <w:tc>
          <w:tcPr>
            <w:tcW w:w="3800" w:type="dxa"/>
            <w:vAlign w:val="bottom"/>
          </w:tcPr>
          <w:p>
            <w:pPr>
              <w:ind w:left="60"/>
              <w:spacing w:after="0"/>
              <w:rPr>
                <w:sz w:val="20"/>
                <w:szCs w:val="20"/>
                <w:color w:val="auto"/>
              </w:rPr>
            </w:pPr>
            <w:r>
              <w:rPr>
                <w:rFonts w:ascii="Arial" w:cs="Arial" w:eastAsia="Arial" w:hAnsi="Arial"/>
                <w:sz w:val="18"/>
                <w:szCs w:val="18"/>
                <w:color w:val="auto"/>
              </w:rPr>
              <w:t>Business Days</w:t>
            </w:r>
          </w:p>
        </w:tc>
        <w:tc>
          <w:tcPr>
            <w:tcW w:w="5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25.9</w:t>
            </w:r>
          </w:p>
        </w:tc>
        <w:tc>
          <w:tcPr>
            <w:tcW w:w="3800" w:type="dxa"/>
            <w:vAlign w:val="bottom"/>
          </w:tcPr>
          <w:p>
            <w:pPr>
              <w:ind w:left="60"/>
              <w:spacing w:after="0"/>
              <w:rPr>
                <w:sz w:val="20"/>
                <w:szCs w:val="20"/>
                <w:color w:val="auto"/>
              </w:rPr>
            </w:pPr>
            <w:r>
              <w:rPr>
                <w:rFonts w:ascii="Arial" w:cs="Arial" w:eastAsia="Arial" w:hAnsi="Arial"/>
                <w:sz w:val="18"/>
                <w:szCs w:val="18"/>
                <w:color w:val="auto"/>
              </w:rPr>
              <w:t>Currency of account</w:t>
            </w:r>
          </w:p>
        </w:tc>
        <w:tc>
          <w:tcPr>
            <w:tcW w:w="5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25.10</w:t>
            </w:r>
          </w:p>
        </w:tc>
        <w:tc>
          <w:tcPr>
            <w:tcW w:w="3800" w:type="dxa"/>
            <w:vAlign w:val="bottom"/>
          </w:tcPr>
          <w:p>
            <w:pPr>
              <w:ind w:left="60"/>
              <w:spacing w:after="0"/>
              <w:rPr>
                <w:sz w:val="20"/>
                <w:szCs w:val="20"/>
                <w:color w:val="auto"/>
              </w:rPr>
            </w:pPr>
            <w:r>
              <w:rPr>
                <w:rFonts w:ascii="Arial" w:cs="Arial" w:eastAsia="Arial" w:hAnsi="Arial"/>
                <w:sz w:val="18"/>
                <w:szCs w:val="18"/>
                <w:color w:val="auto"/>
              </w:rPr>
              <w:t>Change of currency</w:t>
            </w:r>
          </w:p>
        </w:tc>
        <w:tc>
          <w:tcPr>
            <w:tcW w:w="5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4"/>
        </w:trPr>
        <w:tc>
          <w:tcPr>
            <w:tcW w:w="56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25.11</w:t>
            </w:r>
          </w:p>
        </w:tc>
        <w:tc>
          <w:tcPr>
            <w:tcW w:w="3800" w:type="dxa"/>
            <w:vAlign w:val="bottom"/>
          </w:tcPr>
          <w:p>
            <w:pPr>
              <w:ind w:left="60"/>
              <w:spacing w:after="0"/>
              <w:rPr>
                <w:sz w:val="20"/>
                <w:szCs w:val="20"/>
                <w:color w:val="auto"/>
              </w:rPr>
            </w:pPr>
            <w:r>
              <w:rPr>
                <w:rFonts w:ascii="Arial" w:cs="Arial" w:eastAsia="Arial" w:hAnsi="Arial"/>
                <w:sz w:val="18"/>
                <w:szCs w:val="18"/>
                <w:color w:val="auto"/>
              </w:rPr>
              <w:t>Disruption to payment systems etc.</w:t>
            </w:r>
          </w:p>
        </w:tc>
        <w:tc>
          <w:tcPr>
            <w:tcW w:w="5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26.</w:t>
            </w:r>
          </w:p>
        </w:tc>
        <w:tc>
          <w:tcPr>
            <w:tcW w:w="1160" w:type="dxa"/>
            <w:vAlign w:val="bottom"/>
          </w:tcPr>
          <w:p>
            <w:pPr>
              <w:ind w:left="340"/>
              <w:spacing w:after="0"/>
              <w:rPr>
                <w:sz w:val="20"/>
                <w:szCs w:val="20"/>
                <w:color w:val="auto"/>
              </w:rPr>
            </w:pPr>
            <w:r>
              <w:rPr>
                <w:rFonts w:ascii="Arial" w:cs="Arial" w:eastAsia="Arial" w:hAnsi="Arial"/>
                <w:sz w:val="18"/>
                <w:szCs w:val="18"/>
                <w:color w:val="auto"/>
              </w:rPr>
              <w:t>SET-OFF</w:t>
            </w:r>
          </w:p>
        </w:tc>
        <w:tc>
          <w:tcPr>
            <w:tcW w:w="3800" w:type="dxa"/>
            <w:vAlign w:val="bottom"/>
          </w:tcPr>
          <w:p>
            <w:pPr>
              <w:spacing w:after="0"/>
              <w:rPr>
                <w:sz w:val="24"/>
                <w:szCs w:val="24"/>
                <w:color w:val="auto"/>
              </w:rPr>
            </w:pPr>
          </w:p>
        </w:tc>
        <w:tc>
          <w:tcPr>
            <w:tcW w:w="5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27.</w:t>
            </w:r>
          </w:p>
        </w:tc>
        <w:tc>
          <w:tcPr>
            <w:tcW w:w="1160" w:type="dxa"/>
            <w:vAlign w:val="bottom"/>
          </w:tcPr>
          <w:p>
            <w:pPr>
              <w:ind w:left="340"/>
              <w:spacing w:after="0"/>
              <w:rPr>
                <w:sz w:val="20"/>
                <w:szCs w:val="20"/>
                <w:color w:val="auto"/>
              </w:rPr>
            </w:pPr>
            <w:r>
              <w:rPr>
                <w:rFonts w:ascii="Arial" w:cs="Arial" w:eastAsia="Arial" w:hAnsi="Arial"/>
                <w:sz w:val="18"/>
                <w:szCs w:val="18"/>
                <w:color w:val="auto"/>
                <w:w w:val="99"/>
              </w:rPr>
              <w:t>NOTICES</w:t>
            </w:r>
          </w:p>
        </w:tc>
        <w:tc>
          <w:tcPr>
            <w:tcW w:w="3800" w:type="dxa"/>
            <w:vAlign w:val="bottom"/>
          </w:tcPr>
          <w:p>
            <w:pPr>
              <w:spacing w:after="0"/>
              <w:rPr>
                <w:sz w:val="24"/>
                <w:szCs w:val="24"/>
                <w:color w:val="auto"/>
              </w:rPr>
            </w:pPr>
          </w:p>
        </w:tc>
        <w:tc>
          <w:tcPr>
            <w:tcW w:w="5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5"/>
        </w:trPr>
        <w:tc>
          <w:tcPr>
            <w:tcW w:w="56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27.1</w:t>
            </w:r>
          </w:p>
        </w:tc>
        <w:tc>
          <w:tcPr>
            <w:tcW w:w="3800" w:type="dxa"/>
            <w:vAlign w:val="bottom"/>
          </w:tcPr>
          <w:p>
            <w:pPr>
              <w:ind w:left="60"/>
              <w:spacing w:after="0"/>
              <w:rPr>
                <w:sz w:val="20"/>
                <w:szCs w:val="20"/>
                <w:color w:val="auto"/>
              </w:rPr>
            </w:pPr>
            <w:r>
              <w:rPr>
                <w:rFonts w:ascii="Arial" w:cs="Arial" w:eastAsia="Arial" w:hAnsi="Arial"/>
                <w:sz w:val="18"/>
                <w:szCs w:val="18"/>
                <w:color w:val="auto"/>
              </w:rPr>
              <w:t>Communications in writing</w:t>
            </w:r>
          </w:p>
        </w:tc>
        <w:tc>
          <w:tcPr>
            <w:tcW w:w="5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27.2</w:t>
            </w:r>
          </w:p>
        </w:tc>
        <w:tc>
          <w:tcPr>
            <w:tcW w:w="3800" w:type="dxa"/>
            <w:vAlign w:val="bottom"/>
          </w:tcPr>
          <w:p>
            <w:pPr>
              <w:ind w:left="60"/>
              <w:spacing w:after="0"/>
              <w:rPr>
                <w:sz w:val="20"/>
                <w:szCs w:val="20"/>
                <w:color w:val="auto"/>
              </w:rPr>
            </w:pPr>
            <w:r>
              <w:rPr>
                <w:rFonts w:ascii="Arial" w:cs="Arial" w:eastAsia="Arial" w:hAnsi="Arial"/>
                <w:sz w:val="18"/>
                <w:szCs w:val="18"/>
                <w:color w:val="auto"/>
              </w:rPr>
              <w:t>Addresses</w:t>
            </w:r>
          </w:p>
        </w:tc>
        <w:tc>
          <w:tcPr>
            <w:tcW w:w="5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27.3</w:t>
            </w:r>
          </w:p>
        </w:tc>
        <w:tc>
          <w:tcPr>
            <w:tcW w:w="3800" w:type="dxa"/>
            <w:vAlign w:val="bottom"/>
          </w:tcPr>
          <w:p>
            <w:pPr>
              <w:ind w:left="60"/>
              <w:spacing w:after="0"/>
              <w:rPr>
                <w:sz w:val="20"/>
                <w:szCs w:val="20"/>
                <w:color w:val="auto"/>
              </w:rPr>
            </w:pPr>
            <w:r>
              <w:rPr>
                <w:rFonts w:ascii="Arial" w:cs="Arial" w:eastAsia="Arial" w:hAnsi="Arial"/>
                <w:sz w:val="18"/>
                <w:szCs w:val="18"/>
                <w:color w:val="auto"/>
              </w:rPr>
              <w:t>Delivery</w:t>
            </w:r>
          </w:p>
        </w:tc>
        <w:tc>
          <w:tcPr>
            <w:tcW w:w="5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27.4</w:t>
            </w:r>
          </w:p>
        </w:tc>
        <w:tc>
          <w:tcPr>
            <w:tcW w:w="3800" w:type="dxa"/>
            <w:vAlign w:val="bottom"/>
          </w:tcPr>
          <w:p>
            <w:pPr>
              <w:ind w:left="60"/>
              <w:spacing w:after="0"/>
              <w:rPr>
                <w:sz w:val="20"/>
                <w:szCs w:val="20"/>
                <w:color w:val="auto"/>
              </w:rPr>
            </w:pPr>
            <w:r>
              <w:rPr>
                <w:rFonts w:ascii="Arial" w:cs="Arial" w:eastAsia="Arial" w:hAnsi="Arial"/>
                <w:sz w:val="18"/>
                <w:szCs w:val="18"/>
                <w:color w:val="auto"/>
              </w:rPr>
              <w:t>Notification of address and fax number</w:t>
            </w:r>
          </w:p>
        </w:tc>
        <w:tc>
          <w:tcPr>
            <w:tcW w:w="5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27.5</w:t>
            </w:r>
          </w:p>
        </w:tc>
        <w:tc>
          <w:tcPr>
            <w:tcW w:w="3800" w:type="dxa"/>
            <w:vAlign w:val="bottom"/>
          </w:tcPr>
          <w:p>
            <w:pPr>
              <w:ind w:left="60"/>
              <w:spacing w:after="0"/>
              <w:rPr>
                <w:sz w:val="20"/>
                <w:szCs w:val="20"/>
                <w:color w:val="auto"/>
              </w:rPr>
            </w:pPr>
            <w:r>
              <w:rPr>
                <w:rFonts w:ascii="Arial" w:cs="Arial" w:eastAsia="Arial" w:hAnsi="Arial"/>
                <w:sz w:val="18"/>
                <w:szCs w:val="18"/>
                <w:color w:val="auto"/>
              </w:rPr>
              <w:t>Electronic communication</w:t>
            </w:r>
          </w:p>
        </w:tc>
        <w:tc>
          <w:tcPr>
            <w:tcW w:w="5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27.6</w:t>
            </w:r>
          </w:p>
        </w:tc>
        <w:tc>
          <w:tcPr>
            <w:tcW w:w="3800" w:type="dxa"/>
            <w:vAlign w:val="bottom"/>
          </w:tcPr>
          <w:p>
            <w:pPr>
              <w:ind w:left="60"/>
              <w:spacing w:after="0"/>
              <w:rPr>
                <w:sz w:val="20"/>
                <w:szCs w:val="20"/>
                <w:color w:val="auto"/>
              </w:rPr>
            </w:pPr>
            <w:r>
              <w:rPr>
                <w:rFonts w:ascii="Arial" w:cs="Arial" w:eastAsia="Arial" w:hAnsi="Arial"/>
                <w:sz w:val="18"/>
                <w:szCs w:val="18"/>
                <w:color w:val="auto"/>
                <w:w w:val="94"/>
              </w:rPr>
              <w:t>Communication when Agent is an Impaired Agent</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4"/>
        </w:trPr>
        <w:tc>
          <w:tcPr>
            <w:tcW w:w="56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27.7</w:t>
            </w:r>
          </w:p>
        </w:tc>
        <w:tc>
          <w:tcPr>
            <w:tcW w:w="3800" w:type="dxa"/>
            <w:vAlign w:val="bottom"/>
          </w:tcPr>
          <w:p>
            <w:pPr>
              <w:ind w:left="60"/>
              <w:spacing w:after="0"/>
              <w:rPr>
                <w:sz w:val="20"/>
                <w:szCs w:val="20"/>
                <w:color w:val="auto"/>
              </w:rPr>
            </w:pPr>
            <w:r>
              <w:rPr>
                <w:rFonts w:ascii="Arial" w:cs="Arial" w:eastAsia="Arial" w:hAnsi="Arial"/>
                <w:sz w:val="18"/>
                <w:szCs w:val="18"/>
                <w:color w:val="auto"/>
              </w:rPr>
              <w:t>English language</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28.</w:t>
            </w: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CALCULATIONS AND CERTIFICATES</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15"/>
        </w:trPr>
        <w:tc>
          <w:tcPr>
            <w:tcW w:w="56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28.1</w:t>
            </w:r>
          </w:p>
        </w:tc>
        <w:tc>
          <w:tcPr>
            <w:tcW w:w="3800" w:type="dxa"/>
            <w:vAlign w:val="bottom"/>
          </w:tcPr>
          <w:p>
            <w:pPr>
              <w:ind w:left="60"/>
              <w:spacing w:after="0"/>
              <w:rPr>
                <w:sz w:val="20"/>
                <w:szCs w:val="20"/>
                <w:color w:val="auto"/>
              </w:rPr>
            </w:pPr>
            <w:r>
              <w:rPr>
                <w:rFonts w:ascii="Arial" w:cs="Arial" w:eastAsia="Arial" w:hAnsi="Arial"/>
                <w:sz w:val="18"/>
                <w:szCs w:val="18"/>
                <w:color w:val="auto"/>
              </w:rPr>
              <w:t>Accounts</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3"/>
        </w:trPr>
        <w:tc>
          <w:tcPr>
            <w:tcW w:w="56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28.2</w:t>
            </w:r>
          </w:p>
        </w:tc>
        <w:tc>
          <w:tcPr>
            <w:tcW w:w="3800" w:type="dxa"/>
            <w:vAlign w:val="bottom"/>
          </w:tcPr>
          <w:p>
            <w:pPr>
              <w:ind w:left="60"/>
              <w:spacing w:after="0"/>
              <w:rPr>
                <w:sz w:val="20"/>
                <w:szCs w:val="20"/>
                <w:color w:val="auto"/>
              </w:rPr>
            </w:pPr>
            <w:r>
              <w:rPr>
                <w:rFonts w:ascii="Arial" w:cs="Arial" w:eastAsia="Arial" w:hAnsi="Arial"/>
                <w:sz w:val="18"/>
                <w:szCs w:val="18"/>
                <w:color w:val="auto"/>
              </w:rPr>
              <w:t>Certificates and determinations</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4"/>
        </w:trPr>
        <w:tc>
          <w:tcPr>
            <w:tcW w:w="56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28.3</w:t>
            </w:r>
          </w:p>
        </w:tc>
        <w:tc>
          <w:tcPr>
            <w:tcW w:w="3800" w:type="dxa"/>
            <w:vAlign w:val="bottom"/>
          </w:tcPr>
          <w:p>
            <w:pPr>
              <w:ind w:left="60"/>
              <w:spacing w:after="0"/>
              <w:rPr>
                <w:sz w:val="20"/>
                <w:szCs w:val="20"/>
                <w:color w:val="auto"/>
              </w:rPr>
            </w:pPr>
            <w:r>
              <w:rPr>
                <w:rFonts w:ascii="Arial" w:cs="Arial" w:eastAsia="Arial" w:hAnsi="Arial"/>
                <w:sz w:val="18"/>
                <w:szCs w:val="18"/>
                <w:color w:val="auto"/>
              </w:rPr>
              <w:t>Day count convention</w:t>
            </w:r>
          </w:p>
        </w:tc>
        <w:tc>
          <w:tcPr>
            <w:tcW w:w="5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26"/>
        </w:trPr>
        <w:tc>
          <w:tcPr>
            <w:tcW w:w="560" w:type="dxa"/>
            <w:vAlign w:val="bottom"/>
          </w:tcPr>
          <w:p>
            <w:pPr>
              <w:jc w:val="right"/>
              <w:ind w:right="251"/>
              <w:spacing w:after="0"/>
              <w:rPr>
                <w:sz w:val="20"/>
                <w:szCs w:val="20"/>
                <w:color w:val="auto"/>
              </w:rPr>
            </w:pPr>
            <w:r>
              <w:rPr>
                <w:rFonts w:ascii="Arial" w:cs="Arial" w:eastAsia="Arial" w:hAnsi="Arial"/>
                <w:sz w:val="18"/>
                <w:szCs w:val="18"/>
                <w:color w:val="auto"/>
                <w:w w:val="79"/>
              </w:rPr>
              <w:t>29.</w:t>
            </w: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PARTIAL INVALIDITY</w:t>
            </w:r>
          </w:p>
        </w:tc>
        <w:tc>
          <w:tcPr>
            <w:tcW w:w="5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26"/>
        </w:trPr>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940" w:type="dxa"/>
            <w:vAlign w:val="bottom"/>
          </w:tcPr>
          <w:p>
            <w:pPr>
              <w:jc w:val="right"/>
              <w:ind w:right="5611"/>
              <w:spacing w:after="0"/>
              <w:rPr>
                <w:sz w:val="20"/>
                <w:szCs w:val="20"/>
                <w:color w:val="auto"/>
              </w:rPr>
            </w:pPr>
            <w:r>
              <w:rPr>
                <w:rFonts w:ascii="Arial" w:cs="Arial" w:eastAsia="Arial" w:hAnsi="Arial"/>
                <w:sz w:val="18"/>
                <w:szCs w:val="18"/>
                <w:color w:val="auto"/>
              </w:rPr>
              <w:t>4</w:t>
            </w:r>
          </w:p>
        </w:tc>
      </w:tr>
      <w:tr>
        <w:trPr>
          <w:trHeight w:val="131"/>
        </w:trPr>
        <w:tc>
          <w:tcPr>
            <w:tcW w:w="5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5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30.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REMEDIES AND WAIVERS</w:t>
            </w:r>
          </w:p>
        </w:tc>
        <w:tc>
          <w:tcPr>
            <w:tcW w:w="2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AMENDMENTS AND WAIVERS</w:t>
            </w:r>
          </w:p>
        </w:tc>
        <w:tc>
          <w:tcPr>
            <w:tcW w:w="2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5"/>
        </w:trPr>
        <w:tc>
          <w:tcPr>
            <w:tcW w:w="8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6880" w:type="dxa"/>
            <w:vAlign w:val="bottom"/>
          </w:tcPr>
          <w:p>
            <w:pPr>
              <w:ind w:left="60"/>
              <w:spacing w:after="0"/>
              <w:rPr>
                <w:sz w:val="20"/>
                <w:szCs w:val="20"/>
                <w:color w:val="auto"/>
              </w:rPr>
            </w:pPr>
            <w:r>
              <w:rPr>
                <w:rFonts w:ascii="Arial" w:cs="Arial" w:eastAsia="Arial" w:hAnsi="Arial"/>
                <w:sz w:val="18"/>
                <w:szCs w:val="18"/>
                <w:color w:val="auto"/>
              </w:rPr>
              <w:t>Required consents</w:t>
            </w:r>
          </w:p>
        </w:tc>
        <w:tc>
          <w:tcPr>
            <w:tcW w:w="2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6880" w:type="dxa"/>
            <w:vAlign w:val="bottom"/>
          </w:tcPr>
          <w:p>
            <w:pPr>
              <w:ind w:left="60"/>
              <w:spacing w:after="0"/>
              <w:rPr>
                <w:sz w:val="20"/>
                <w:szCs w:val="20"/>
                <w:color w:val="auto"/>
              </w:rPr>
            </w:pPr>
            <w:r>
              <w:rPr>
                <w:rFonts w:ascii="Arial" w:cs="Arial" w:eastAsia="Arial" w:hAnsi="Arial"/>
                <w:sz w:val="18"/>
                <w:szCs w:val="18"/>
                <w:color w:val="auto"/>
              </w:rPr>
              <w:t>All-Lender matters</w:t>
            </w:r>
          </w:p>
        </w:tc>
        <w:tc>
          <w:tcPr>
            <w:tcW w:w="2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31.3</w:t>
            </w:r>
          </w:p>
        </w:tc>
        <w:tc>
          <w:tcPr>
            <w:tcW w:w="6880" w:type="dxa"/>
            <w:vAlign w:val="bottom"/>
          </w:tcPr>
          <w:p>
            <w:pPr>
              <w:ind w:left="60"/>
              <w:spacing w:after="0"/>
              <w:rPr>
                <w:sz w:val="20"/>
                <w:szCs w:val="20"/>
                <w:color w:val="auto"/>
              </w:rPr>
            </w:pPr>
            <w:r>
              <w:rPr>
                <w:rFonts w:ascii="Arial" w:cs="Arial" w:eastAsia="Arial" w:hAnsi="Arial"/>
                <w:sz w:val="18"/>
                <w:szCs w:val="18"/>
                <w:color w:val="auto"/>
              </w:rPr>
              <w:t>Other exceptions</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31.4</w:t>
            </w:r>
          </w:p>
        </w:tc>
        <w:tc>
          <w:tcPr>
            <w:tcW w:w="6880" w:type="dxa"/>
            <w:vAlign w:val="bottom"/>
          </w:tcPr>
          <w:p>
            <w:pPr>
              <w:ind w:left="60"/>
              <w:spacing w:after="0"/>
              <w:rPr>
                <w:sz w:val="20"/>
                <w:szCs w:val="20"/>
                <w:color w:val="auto"/>
              </w:rPr>
            </w:pPr>
            <w:r>
              <w:rPr>
                <w:rFonts w:ascii="Arial" w:cs="Arial" w:eastAsia="Arial" w:hAnsi="Arial"/>
                <w:sz w:val="18"/>
                <w:szCs w:val="18"/>
                <w:color w:val="auto"/>
              </w:rPr>
              <w:t>Excluded Commitment</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4"/>
        </w:trPr>
        <w:tc>
          <w:tcPr>
            <w:tcW w:w="80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31.5</w:t>
            </w:r>
          </w:p>
        </w:tc>
        <w:tc>
          <w:tcPr>
            <w:tcW w:w="6880" w:type="dxa"/>
            <w:vAlign w:val="bottom"/>
          </w:tcPr>
          <w:p>
            <w:pPr>
              <w:ind w:left="60"/>
              <w:spacing w:after="0"/>
              <w:rPr>
                <w:sz w:val="20"/>
                <w:szCs w:val="20"/>
                <w:color w:val="auto"/>
              </w:rPr>
            </w:pPr>
            <w:r>
              <w:rPr>
                <w:rFonts w:ascii="Arial" w:cs="Arial" w:eastAsia="Arial" w:hAnsi="Arial"/>
                <w:sz w:val="18"/>
                <w:szCs w:val="18"/>
                <w:color w:val="auto"/>
              </w:rPr>
              <w:t>Replacement of Screen Rate</w:t>
            </w:r>
          </w:p>
        </w:tc>
        <w:tc>
          <w:tcPr>
            <w:tcW w:w="2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CONFIDENTIAL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5"/>
        </w:trPr>
        <w:tc>
          <w:tcPr>
            <w:tcW w:w="8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68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6880" w:type="dxa"/>
            <w:vAlign w:val="bottom"/>
          </w:tcPr>
          <w:p>
            <w:pPr>
              <w:ind w:left="60"/>
              <w:spacing w:after="0"/>
              <w:rPr>
                <w:sz w:val="20"/>
                <w:szCs w:val="20"/>
                <w:color w:val="auto"/>
              </w:rPr>
            </w:pPr>
            <w:r>
              <w:rPr>
                <w:rFonts w:ascii="Arial" w:cs="Arial" w:eastAsia="Arial" w:hAnsi="Arial"/>
                <w:sz w:val="18"/>
                <w:szCs w:val="18"/>
                <w:color w:val="auto"/>
              </w:rPr>
              <w:t>Disclosure of Confidential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32.3</w:t>
            </w:r>
          </w:p>
        </w:tc>
        <w:tc>
          <w:tcPr>
            <w:tcW w:w="6880" w:type="dxa"/>
            <w:vAlign w:val="bottom"/>
          </w:tcPr>
          <w:p>
            <w:pPr>
              <w:ind w:left="60"/>
              <w:spacing w:after="0"/>
              <w:rPr>
                <w:sz w:val="20"/>
                <w:szCs w:val="20"/>
                <w:color w:val="auto"/>
              </w:rPr>
            </w:pPr>
            <w:r>
              <w:rPr>
                <w:rFonts w:ascii="Arial" w:cs="Arial" w:eastAsia="Arial" w:hAnsi="Arial"/>
                <w:sz w:val="18"/>
                <w:szCs w:val="18"/>
                <w:color w:val="auto"/>
              </w:rPr>
              <w:t>Disclosure to numbering service providers</w:t>
            </w:r>
          </w:p>
        </w:tc>
        <w:tc>
          <w:tcPr>
            <w:tcW w:w="2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32.4</w:t>
            </w:r>
          </w:p>
        </w:tc>
        <w:tc>
          <w:tcPr>
            <w:tcW w:w="688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32.5</w:t>
            </w:r>
          </w:p>
        </w:tc>
        <w:tc>
          <w:tcPr>
            <w:tcW w:w="6880" w:type="dxa"/>
            <w:vAlign w:val="bottom"/>
          </w:tcPr>
          <w:p>
            <w:pPr>
              <w:ind w:left="60"/>
              <w:spacing w:after="0"/>
              <w:rPr>
                <w:sz w:val="20"/>
                <w:szCs w:val="20"/>
                <w:color w:val="auto"/>
              </w:rPr>
            </w:pPr>
            <w:r>
              <w:rPr>
                <w:rFonts w:ascii="Arial" w:cs="Arial" w:eastAsia="Arial" w:hAnsi="Arial"/>
                <w:sz w:val="18"/>
                <w:szCs w:val="18"/>
                <w:color w:val="auto"/>
              </w:rPr>
              <w:t>Inside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32.6</w:t>
            </w:r>
          </w:p>
        </w:tc>
        <w:tc>
          <w:tcPr>
            <w:tcW w:w="6880" w:type="dxa"/>
            <w:vAlign w:val="bottom"/>
          </w:tcPr>
          <w:p>
            <w:pPr>
              <w:ind w:left="60"/>
              <w:spacing w:after="0"/>
              <w:rPr>
                <w:sz w:val="20"/>
                <w:szCs w:val="20"/>
                <w:color w:val="auto"/>
              </w:rPr>
            </w:pPr>
            <w:r>
              <w:rPr>
                <w:rFonts w:ascii="Arial" w:cs="Arial" w:eastAsia="Arial" w:hAnsi="Arial"/>
                <w:sz w:val="18"/>
                <w:szCs w:val="18"/>
                <w:color w:val="auto"/>
              </w:rPr>
              <w:t>Notification of disclosure</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4"/>
        </w:trPr>
        <w:tc>
          <w:tcPr>
            <w:tcW w:w="80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32.7</w:t>
            </w:r>
          </w:p>
        </w:tc>
        <w:tc>
          <w:tcPr>
            <w:tcW w:w="6880" w:type="dxa"/>
            <w:vAlign w:val="bottom"/>
          </w:tcPr>
          <w:p>
            <w:pPr>
              <w:ind w:left="60"/>
              <w:spacing w:after="0"/>
              <w:rPr>
                <w:sz w:val="20"/>
                <w:szCs w:val="20"/>
                <w:color w:val="auto"/>
              </w:rPr>
            </w:pPr>
            <w:r>
              <w:rPr>
                <w:rFonts w:ascii="Arial" w:cs="Arial" w:eastAsia="Arial" w:hAnsi="Arial"/>
                <w:sz w:val="18"/>
                <w:szCs w:val="18"/>
                <w:color w:val="auto"/>
              </w:rPr>
              <w:t>Continuing obligations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33.</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CONFIDENTIALITY OF FUNDING RATES</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5"/>
        </w:trPr>
        <w:tc>
          <w:tcPr>
            <w:tcW w:w="8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33.1</w:t>
            </w:r>
          </w:p>
        </w:tc>
        <w:tc>
          <w:tcPr>
            <w:tcW w:w="6880" w:type="dxa"/>
            <w:vAlign w:val="bottom"/>
          </w:tcPr>
          <w:p>
            <w:pPr>
              <w:ind w:left="60"/>
              <w:spacing w:after="0"/>
              <w:rPr>
                <w:sz w:val="20"/>
                <w:szCs w:val="20"/>
                <w:color w:val="auto"/>
              </w:rPr>
            </w:pPr>
            <w:r>
              <w:rPr>
                <w:rFonts w:ascii="Arial" w:cs="Arial" w:eastAsia="Arial" w:hAnsi="Arial"/>
                <w:sz w:val="18"/>
                <w:szCs w:val="18"/>
                <w:color w:val="auto"/>
              </w:rPr>
              <w:t>Confidentiality and disclosure</w:t>
            </w:r>
          </w:p>
        </w:tc>
        <w:tc>
          <w:tcPr>
            <w:tcW w:w="2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33.2</w:t>
            </w:r>
          </w:p>
        </w:tc>
        <w:tc>
          <w:tcPr>
            <w:tcW w:w="6880" w:type="dxa"/>
            <w:vAlign w:val="bottom"/>
          </w:tcPr>
          <w:p>
            <w:pPr>
              <w:ind w:left="60"/>
              <w:spacing w:after="0"/>
              <w:rPr>
                <w:sz w:val="20"/>
                <w:szCs w:val="20"/>
                <w:color w:val="auto"/>
              </w:rPr>
            </w:pPr>
            <w:r>
              <w:rPr>
                <w:rFonts w:ascii="Arial" w:cs="Arial" w:eastAsia="Arial" w:hAnsi="Arial"/>
                <w:sz w:val="18"/>
                <w:szCs w:val="18"/>
                <w:color w:val="auto"/>
              </w:rPr>
              <w:t>Related obligations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4"/>
        </w:trPr>
        <w:tc>
          <w:tcPr>
            <w:tcW w:w="80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33.3</w:t>
            </w:r>
          </w:p>
        </w:tc>
        <w:tc>
          <w:tcPr>
            <w:tcW w:w="6880" w:type="dxa"/>
            <w:vAlign w:val="bottom"/>
          </w:tcPr>
          <w:p>
            <w:pPr>
              <w:ind w:left="60"/>
              <w:spacing w:after="0"/>
              <w:rPr>
                <w:sz w:val="20"/>
                <w:szCs w:val="20"/>
                <w:color w:val="auto"/>
              </w:rPr>
            </w:pPr>
            <w:r>
              <w:rPr>
                <w:rFonts w:ascii="Arial" w:cs="Arial" w:eastAsia="Arial" w:hAnsi="Arial"/>
                <w:sz w:val="18"/>
                <w:szCs w:val="18"/>
                <w:color w:val="auto"/>
              </w:rPr>
              <w:t>No Event of Default</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RESTRICTIONS ON DEBT PURCHASE TRANSACTIONS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15"/>
        </w:trPr>
        <w:tc>
          <w:tcPr>
            <w:tcW w:w="8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34.1</w:t>
            </w:r>
          </w:p>
        </w:tc>
        <w:tc>
          <w:tcPr>
            <w:tcW w:w="6880" w:type="dxa"/>
            <w:vAlign w:val="bottom"/>
          </w:tcPr>
          <w:p>
            <w:pPr>
              <w:ind w:left="60"/>
              <w:spacing w:after="0"/>
              <w:rPr>
                <w:sz w:val="20"/>
                <w:szCs w:val="20"/>
                <w:color w:val="auto"/>
              </w:rPr>
            </w:pPr>
            <w:r>
              <w:rPr>
                <w:rFonts w:ascii="Arial" w:cs="Arial" w:eastAsia="Arial" w:hAnsi="Arial"/>
                <w:sz w:val="18"/>
                <w:szCs w:val="18"/>
                <w:color w:val="auto"/>
              </w:rPr>
              <w:t>Prohibition on Debt Purchase Transactions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4"/>
        </w:trPr>
        <w:tc>
          <w:tcPr>
            <w:tcW w:w="80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34.2</w:t>
            </w:r>
          </w:p>
        </w:tc>
        <w:tc>
          <w:tcPr>
            <w:tcW w:w="6880" w:type="dxa"/>
            <w:vAlign w:val="bottom"/>
          </w:tcPr>
          <w:p>
            <w:pPr>
              <w:ind w:left="60"/>
              <w:spacing w:after="0"/>
              <w:rPr>
                <w:sz w:val="20"/>
                <w:szCs w:val="20"/>
                <w:color w:val="auto"/>
              </w:rPr>
            </w:pPr>
            <w:r>
              <w:rPr>
                <w:rFonts w:ascii="Arial" w:cs="Arial" w:eastAsia="Arial" w:hAnsi="Arial"/>
                <w:sz w:val="18"/>
                <w:szCs w:val="18"/>
                <w:color w:val="auto"/>
              </w:rPr>
              <w:t>Notification to other Lenders of Debt Purchase Transactions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35.</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COUNTERPARTS</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36.</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U.S.A. PATRIOT ACT</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37.</w:t>
            </w:r>
          </w:p>
        </w:tc>
        <w:tc>
          <w:tcPr>
            <w:tcW w:w="920" w:type="dxa"/>
            <w:vAlign w:val="bottom"/>
          </w:tcPr>
          <w:p>
            <w:pPr>
              <w:ind w:left="100"/>
              <w:spacing w:after="0"/>
              <w:rPr>
                <w:sz w:val="20"/>
                <w:szCs w:val="20"/>
                <w:color w:val="auto"/>
              </w:rPr>
            </w:pPr>
            <w:r>
              <w:rPr>
                <w:rFonts w:ascii="Arial" w:cs="Arial" w:eastAsia="Arial" w:hAnsi="Arial"/>
                <w:sz w:val="18"/>
                <w:szCs w:val="18"/>
                <w:color w:val="auto"/>
              </w:rPr>
              <w:t>BAIL-IN</w:t>
            </w:r>
          </w:p>
        </w:tc>
        <w:tc>
          <w:tcPr>
            <w:tcW w:w="688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15"/>
        </w:trPr>
        <w:tc>
          <w:tcPr>
            <w:tcW w:w="8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37.1</w:t>
            </w:r>
          </w:p>
        </w:tc>
        <w:tc>
          <w:tcPr>
            <w:tcW w:w="6880" w:type="dxa"/>
            <w:vAlign w:val="bottom"/>
          </w:tcPr>
          <w:p>
            <w:pPr>
              <w:ind w:left="60"/>
              <w:spacing w:after="0"/>
              <w:rPr>
                <w:sz w:val="20"/>
                <w:szCs w:val="20"/>
                <w:color w:val="auto"/>
              </w:rPr>
            </w:pPr>
            <w:r>
              <w:rPr>
                <w:rFonts w:ascii="Arial" w:cs="Arial" w:eastAsia="Arial" w:hAnsi="Arial"/>
                <w:sz w:val="18"/>
                <w:szCs w:val="18"/>
                <w:color w:val="auto"/>
              </w:rPr>
              <w:t>Contractual recognition of bail-in</w:t>
            </w:r>
          </w:p>
        </w:tc>
        <w:tc>
          <w:tcPr>
            <w:tcW w:w="2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4"/>
        </w:trPr>
        <w:tc>
          <w:tcPr>
            <w:tcW w:w="80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37.2</w:t>
            </w:r>
          </w:p>
        </w:tc>
        <w:tc>
          <w:tcPr>
            <w:tcW w:w="6880" w:type="dxa"/>
            <w:vAlign w:val="bottom"/>
          </w:tcPr>
          <w:p>
            <w:pPr>
              <w:ind w:left="60"/>
              <w:spacing w:after="0"/>
              <w:rPr>
                <w:sz w:val="20"/>
                <w:szCs w:val="20"/>
                <w:color w:val="auto"/>
              </w:rPr>
            </w:pPr>
            <w:r>
              <w:rPr>
                <w:rFonts w:ascii="Arial" w:cs="Arial" w:eastAsia="Arial" w:hAnsi="Arial"/>
                <w:sz w:val="18"/>
                <w:szCs w:val="18"/>
                <w:color w:val="auto"/>
              </w:rPr>
              <w:t>Bail-In definitions</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38.</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GOVERNING LAW</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39.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ENFORCEMENT</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5"/>
        </w:trPr>
        <w:tc>
          <w:tcPr>
            <w:tcW w:w="8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39.1</w:t>
            </w:r>
          </w:p>
        </w:tc>
        <w:tc>
          <w:tcPr>
            <w:tcW w:w="6880" w:type="dxa"/>
            <w:vAlign w:val="bottom"/>
          </w:tcPr>
          <w:p>
            <w:pPr>
              <w:ind w:left="60"/>
              <w:spacing w:after="0"/>
              <w:rPr>
                <w:sz w:val="20"/>
                <w:szCs w:val="20"/>
                <w:color w:val="auto"/>
              </w:rPr>
            </w:pPr>
            <w:r>
              <w:rPr>
                <w:rFonts w:ascii="Arial" w:cs="Arial" w:eastAsia="Arial" w:hAnsi="Arial"/>
                <w:sz w:val="18"/>
                <w:szCs w:val="18"/>
                <w:color w:val="auto"/>
              </w:rPr>
              <w:t>Jurisdiction of Hong Kong courts</w:t>
            </w:r>
          </w:p>
        </w:tc>
        <w:tc>
          <w:tcPr>
            <w:tcW w:w="2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3"/>
        </w:trPr>
        <w:tc>
          <w:tcPr>
            <w:tcW w:w="8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39.2</w:t>
            </w:r>
          </w:p>
        </w:tc>
        <w:tc>
          <w:tcPr>
            <w:tcW w:w="6880" w:type="dxa"/>
            <w:vAlign w:val="bottom"/>
          </w:tcPr>
          <w:p>
            <w:pPr>
              <w:ind w:left="60"/>
              <w:spacing w:after="0"/>
              <w:rPr>
                <w:sz w:val="20"/>
                <w:szCs w:val="20"/>
                <w:color w:val="auto"/>
              </w:rPr>
            </w:pPr>
            <w:r>
              <w:rPr>
                <w:rFonts w:ascii="Arial" w:cs="Arial" w:eastAsia="Arial" w:hAnsi="Arial"/>
                <w:sz w:val="18"/>
                <w:szCs w:val="18"/>
                <w:color w:val="auto"/>
              </w:rPr>
              <w:t>Service of process</w:t>
            </w:r>
          </w:p>
        </w:tc>
        <w:tc>
          <w:tcPr>
            <w:tcW w:w="2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4"/>
        </w:trPr>
        <w:tc>
          <w:tcPr>
            <w:tcW w:w="80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39.3</w:t>
            </w:r>
          </w:p>
        </w:tc>
        <w:tc>
          <w:tcPr>
            <w:tcW w:w="6880" w:type="dxa"/>
            <w:vAlign w:val="bottom"/>
          </w:tcPr>
          <w:p>
            <w:pPr>
              <w:ind w:left="60"/>
              <w:spacing w:after="0"/>
              <w:rPr>
                <w:sz w:val="20"/>
                <w:szCs w:val="20"/>
                <w:color w:val="auto"/>
              </w:rPr>
            </w:pPr>
            <w:r>
              <w:rPr>
                <w:rFonts w:ascii="Arial" w:cs="Arial" w:eastAsia="Arial" w:hAnsi="Arial"/>
                <w:sz w:val="18"/>
                <w:szCs w:val="18"/>
                <w:color w:val="auto"/>
              </w:rPr>
              <w:t>Waiver of immunities</w:t>
            </w:r>
          </w:p>
        </w:tc>
        <w:tc>
          <w:tcPr>
            <w:tcW w:w="2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40.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WAIVER OF JURY TRIAL</w:t>
            </w:r>
          </w:p>
        </w:tc>
        <w:tc>
          <w:tcPr>
            <w:tcW w:w="2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26"/>
        </w:trPr>
        <w:tc>
          <w:tcPr>
            <w:tcW w:w="800" w:type="dxa"/>
            <w:vAlign w:val="bottom"/>
          </w:tcPr>
          <w:p>
            <w:pPr>
              <w:spacing w:after="0"/>
              <w:rPr>
                <w:sz w:val="20"/>
                <w:szCs w:val="20"/>
                <w:color w:val="auto"/>
              </w:rPr>
            </w:pPr>
            <w:r>
              <w:rPr>
                <w:rFonts w:ascii="Arial" w:cs="Arial" w:eastAsia="Arial" w:hAnsi="Arial"/>
                <w:sz w:val="18"/>
                <w:szCs w:val="18"/>
                <w:b w:val="1"/>
                <w:bCs w:val="1"/>
                <w:color w:val="auto"/>
                <w:w w:val="97"/>
              </w:rPr>
              <w:t>Schedule</w:t>
            </w:r>
          </w:p>
        </w:tc>
        <w:tc>
          <w:tcPr>
            <w:tcW w:w="9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5"/>
        </w:trPr>
        <w:tc>
          <w:tcPr>
            <w:tcW w:w="800" w:type="dxa"/>
            <w:vAlign w:val="bottom"/>
          </w:tcPr>
          <w:p>
            <w:pPr>
              <w:spacing w:after="0"/>
              <w:rPr>
                <w:sz w:val="20"/>
                <w:szCs w:val="20"/>
                <w:color w:val="auto"/>
              </w:rPr>
            </w:pPr>
            <w:r>
              <w:rPr>
                <w:rFonts w:ascii="Arial" w:cs="Arial" w:eastAsia="Arial" w:hAnsi="Arial"/>
                <w:sz w:val="18"/>
                <w:szCs w:val="18"/>
                <w:color w:val="auto"/>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The Original Parties</w:t>
            </w:r>
          </w:p>
        </w:tc>
        <w:tc>
          <w:tcPr>
            <w:tcW w:w="2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Conditions Precedent</w:t>
            </w:r>
          </w:p>
        </w:tc>
        <w:tc>
          <w:tcPr>
            <w:tcW w:w="28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3</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Utilisation Request</w:t>
            </w:r>
          </w:p>
        </w:tc>
        <w:tc>
          <w:tcPr>
            <w:tcW w:w="28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Form of Transfer Certificate</w:t>
            </w:r>
          </w:p>
        </w:tc>
        <w:tc>
          <w:tcPr>
            <w:tcW w:w="2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5</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Form of Assignment Agreement</w:t>
            </w:r>
          </w:p>
        </w:tc>
        <w:tc>
          <w:tcPr>
            <w:tcW w:w="2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6</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Form of Compliance Certificate</w:t>
            </w:r>
          </w:p>
        </w:tc>
        <w:tc>
          <w:tcPr>
            <w:tcW w:w="28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920" w:type="dxa"/>
            <w:vAlign w:val="bottom"/>
          </w:tcPr>
          <w:p>
            <w:pPr>
              <w:ind w:left="100"/>
              <w:spacing w:after="0"/>
              <w:rPr>
                <w:sz w:val="20"/>
                <w:szCs w:val="20"/>
                <w:color w:val="auto"/>
              </w:rPr>
            </w:pPr>
            <w:r>
              <w:rPr>
                <w:rFonts w:ascii="Arial" w:cs="Arial" w:eastAsia="Arial" w:hAnsi="Arial"/>
                <w:sz w:val="18"/>
                <w:szCs w:val="18"/>
                <w:color w:val="auto"/>
                <w:w w:val="90"/>
              </w:rPr>
              <w:t>Timetables</w:t>
            </w:r>
          </w:p>
        </w:tc>
        <w:tc>
          <w:tcPr>
            <w:tcW w:w="688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3"/>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Form of Syndication Agreement</w:t>
            </w:r>
          </w:p>
        </w:tc>
        <w:tc>
          <w:tcPr>
            <w:tcW w:w="28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Form of Increase Confirmation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26"/>
        </w:trPr>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80" w:type="dxa"/>
            <w:vAlign w:val="bottom"/>
          </w:tcPr>
          <w:p>
            <w:pPr>
              <w:ind w:left="3940"/>
              <w:spacing w:after="0"/>
              <w:rPr>
                <w:sz w:val="20"/>
                <w:szCs w:val="20"/>
                <w:color w:val="auto"/>
              </w:rPr>
            </w:pPr>
            <w:r>
              <w:rPr>
                <w:rFonts w:ascii="Arial" w:cs="Arial" w:eastAsia="Arial" w:hAnsi="Arial"/>
                <w:sz w:val="18"/>
                <w:szCs w:val="18"/>
                <w:color w:val="auto"/>
              </w:rPr>
              <w:t>5</w:t>
            </w:r>
          </w:p>
        </w:tc>
        <w:tc>
          <w:tcPr>
            <w:tcW w:w="2860" w:type="dxa"/>
            <w:vAlign w:val="bottom"/>
          </w:tcPr>
          <w:p>
            <w:pPr>
              <w:spacing w:after="0"/>
              <w:rPr>
                <w:sz w:val="24"/>
                <w:szCs w:val="24"/>
                <w:color w:val="auto"/>
              </w:rPr>
            </w:pPr>
          </w:p>
        </w:tc>
      </w:tr>
      <w:tr>
        <w:trPr>
          <w:trHeight w:val="131"/>
        </w:trPr>
        <w:tc>
          <w:tcPr>
            <w:tcW w:w="8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68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w:t>
            </w:r>
          </w:p>
        </w:tc>
        <w:tc>
          <w:tcPr>
            <w:tcW w:w="164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19" w:lineRule="exact"/>
        <w:rPr>
          <w:sz w:val="20"/>
          <w:szCs w:val="20"/>
          <w:color w:val="auto"/>
        </w:rPr>
      </w:pPr>
    </w:p>
    <w:p>
      <w:pPr>
        <w:ind w:left="700" w:right="300" w:hanging="693"/>
        <w:spacing w:after="0" w:line="260"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NETEASE, INC.</w:t>
      </w:r>
      <w:r>
        <w:rPr>
          <w:rFonts w:ascii="Arial" w:cs="Arial" w:eastAsia="Arial" w:hAnsi="Arial"/>
          <w:sz w:val="18"/>
          <w:szCs w:val="18"/>
          <w:color w:val="auto"/>
        </w:rPr>
        <w:t>, an exempted company incorporated with limited liability under the laws of the Cayman Islands with registration number 90896</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registered office is at P.O. Box 31119 Seven Mile Beach, Grand Pavilion, Hibiscus Way, George Town, Grand Cayman, Cayman Islands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700" w:right="300" w:hanging="693"/>
        <w:spacing w:after="0" w:line="260"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AUSTRALIA AND NEW ZEALAND BANKING GROUP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CITIGROUP GLOBAL MARKETS ASIA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DBS BANK LTD.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HONGKONG AND SHANGHAI BANKING CORPORATION LIMITED </w:t>
      </w:r>
      <w:r>
        <w:rPr>
          <w:rFonts w:ascii="Arial" w:cs="Arial" w:eastAsia="Arial" w:hAnsi="Arial"/>
          <w:sz w:val="18"/>
          <w:szCs w:val="18"/>
          <w:color w:val="auto"/>
        </w:rPr>
        <w:t>as mandated lead arrangers and bookrunners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MLABs</w:t>
      </w:r>
      <w:r>
        <w:rPr>
          <w:rFonts w:ascii="Arial" w:cs="Arial" w:eastAsia="Arial" w:hAnsi="Arial"/>
          <w:sz w:val="18"/>
          <w:szCs w:val="18"/>
          <w:color w:val="auto"/>
        </w:rPr>
        <w:t xml:space="preserve">, and each a </w:t>
      </w:r>
      <w:r>
        <w:rPr>
          <w:rFonts w:ascii="Arial" w:cs="Arial" w:eastAsia="Arial" w:hAnsi="Arial"/>
          <w:sz w:val="18"/>
          <w:szCs w:val="18"/>
          <w:b w:val="1"/>
          <w:bCs w:val="1"/>
          <w:color w:val="auto"/>
        </w:rPr>
        <w:t>MLAB</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700" w:hanging="693"/>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Part II of Schedule 1 as lenders (</w:t>
      </w:r>
      <w:r>
        <w:rPr>
          <w:rFonts w:ascii="Arial" w:cs="Arial" w:eastAsia="Arial" w:hAnsi="Arial"/>
          <w:sz w:val="18"/>
          <w:szCs w:val="18"/>
          <w:b w:val="1"/>
          <w:bCs w:val="1"/>
          <w:color w:val="auto"/>
        </w:rPr>
        <w:t>Original Lenders</w:t>
      </w:r>
      <w:r>
        <w:rPr>
          <w:rFonts w:ascii="Arial" w:cs="Arial" w:eastAsia="Arial" w:hAnsi="Arial"/>
          <w:sz w:val="18"/>
          <w:szCs w:val="18"/>
          <w:color w:val="auto"/>
        </w:rPr>
        <w:t>); and</w:t>
      </w:r>
    </w:p>
    <w:p>
      <w:pPr>
        <w:spacing w:after="0" w:line="219" w:lineRule="exact"/>
        <w:rPr>
          <w:rFonts w:ascii="Arial" w:cs="Arial" w:eastAsia="Arial" w:hAnsi="Arial"/>
          <w:sz w:val="18"/>
          <w:szCs w:val="18"/>
          <w:color w:val="auto"/>
        </w:rPr>
      </w:pPr>
    </w:p>
    <w:p>
      <w:pPr>
        <w:ind w:left="700" w:hanging="693"/>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CITICORP INTERNATIONAL LIMITED </w:t>
      </w:r>
      <w:r>
        <w:rPr>
          <w:rFonts w:ascii="Arial" w:cs="Arial" w:eastAsia="Arial" w:hAnsi="Arial"/>
          <w:sz w:val="18"/>
          <w:szCs w:val="18"/>
          <w:color w:val="auto"/>
        </w:rPr>
        <w:t>as agent of the Finance Parties (other than itself)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 AGREE AS FOLLOWS:</w:t>
      </w:r>
    </w:p>
    <w:p>
      <w:pPr>
        <w:spacing w:after="0" w:line="219" w:lineRule="exact"/>
        <w:rPr>
          <w:sz w:val="20"/>
          <w:szCs w:val="20"/>
          <w:color w:val="auto"/>
        </w:rPr>
      </w:pPr>
    </w:p>
    <w:p>
      <w:pPr>
        <w:ind w:left="700" w:hanging="693"/>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4"/>
          <w:szCs w:val="14"/>
          <w:b w:val="1"/>
          <w:bCs w:val="1"/>
          <w:color w:val="auto"/>
        </w:rPr>
        <w:t>Definitions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definitions apply in this document.</w:t>
      </w:r>
    </w:p>
    <w:p>
      <w:pPr>
        <w:spacing w:after="0" w:line="213" w:lineRule="exact"/>
        <w:rPr>
          <w:sz w:val="20"/>
          <w:szCs w:val="20"/>
          <w:color w:val="auto"/>
        </w:rPr>
      </w:pPr>
    </w:p>
    <w:p>
      <w:pPr>
        <w:ind w:left="700" w:right="260"/>
        <w:spacing w:after="0" w:line="274" w:lineRule="auto"/>
        <w:rPr>
          <w:sz w:val="20"/>
          <w:szCs w:val="20"/>
          <w:color w:val="auto"/>
        </w:rPr>
      </w:pPr>
      <w:r>
        <w:rPr>
          <w:rFonts w:ascii="Arial" w:cs="Arial" w:eastAsia="Arial" w:hAnsi="Arial"/>
          <w:sz w:val="18"/>
          <w:szCs w:val="18"/>
          <w:b w:val="1"/>
          <w:bCs w:val="1"/>
          <w:color w:val="auto"/>
        </w:rPr>
        <w:t xml:space="preserve">Acceleration Event </w:t>
      </w:r>
      <w:r>
        <w:rPr>
          <w:rFonts w:ascii="Arial" w:cs="Arial" w:eastAsia="Arial" w:hAnsi="Arial"/>
          <w:sz w:val="18"/>
          <w:szCs w:val="18"/>
          <w:color w:val="auto"/>
        </w:rPr>
        <w:t>means an Event of Default which is continuing and in respect of which the Agent has given notice to the Borrower demanding</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repayment of the Facilities (pursuant to Clause 21.14 (Acceleration)).</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Administrative Party </w:t>
      </w:r>
      <w:r>
        <w:rPr>
          <w:rFonts w:ascii="Arial" w:cs="Arial" w:eastAsia="Arial" w:hAnsi="Arial"/>
          <w:sz w:val="18"/>
          <w:szCs w:val="18"/>
          <w:color w:val="auto"/>
        </w:rPr>
        <w:t>means each of the Agent and the MLABs.</w:t>
      </w:r>
    </w:p>
    <w:p>
      <w:pPr>
        <w:spacing w:after="0" w:line="219" w:lineRule="exact"/>
        <w:rPr>
          <w:sz w:val="20"/>
          <w:szCs w:val="20"/>
          <w:color w:val="auto"/>
        </w:rPr>
      </w:pPr>
    </w:p>
    <w:p>
      <w:pPr>
        <w:ind w:left="700" w:right="260"/>
        <w:spacing w:after="0" w:line="274"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 that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Anti-Bribery and Corruption Laws </w:t>
      </w:r>
      <w:r>
        <w:rPr>
          <w:rFonts w:ascii="Arial" w:cs="Arial" w:eastAsia="Arial" w:hAnsi="Arial"/>
          <w:sz w:val="18"/>
          <w:szCs w:val="18"/>
          <w:color w:val="auto"/>
        </w:rPr>
        <w:t>means:</w:t>
      </w:r>
    </w:p>
    <w:p>
      <w:pPr>
        <w:spacing w:after="0" w:line="225" w:lineRule="exact"/>
        <w:rPr>
          <w:sz w:val="20"/>
          <w:szCs w:val="20"/>
          <w:color w:val="auto"/>
        </w:rPr>
      </w:pPr>
    </w:p>
    <w:p>
      <w:pPr>
        <w:ind w:left="1260" w:hanging="559"/>
        <w:spacing w:after="0"/>
        <w:tabs>
          <w:tab w:leader="none" w:pos="1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FCPA;</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United Kingdom Bribery Act of 2010;</w:t>
      </w:r>
    </w:p>
    <w:p>
      <w:pPr>
        <w:spacing w:after="0" w:line="219" w:lineRule="exact"/>
        <w:rPr>
          <w:rFonts w:ascii="Arial" w:cs="Arial" w:eastAsia="Arial" w:hAnsi="Arial"/>
          <w:sz w:val="18"/>
          <w:szCs w:val="18"/>
          <w:color w:val="auto"/>
        </w:rPr>
      </w:pPr>
    </w:p>
    <w:p>
      <w:pPr>
        <w:ind w:left="1240" w:right="80" w:hanging="543"/>
        <w:spacing w:after="0" w:line="257" w:lineRule="auto"/>
        <w:tabs>
          <w:tab w:leader="none" w:pos="12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laws, rules and regulations (concerning or relating to bribery or corruption) issued, administered or enforced by any of the United States of America, the United Kingdom, the European Union (or any member state thereof), Hong Kong, the PRC, Singapore, Canada, the Commonwealth of Australia or any Governmental Agency of any of the foregoing; and</w:t>
      </w:r>
    </w:p>
    <w:p>
      <w:pPr>
        <w:spacing w:after="0" w:line="187" w:lineRule="exact"/>
        <w:rPr>
          <w:rFonts w:ascii="Arial" w:cs="Arial" w:eastAsia="Arial" w:hAnsi="Arial"/>
          <w:sz w:val="18"/>
          <w:szCs w:val="18"/>
          <w:color w:val="auto"/>
        </w:rPr>
      </w:pPr>
    </w:p>
    <w:p>
      <w:pPr>
        <w:ind w:left="1260" w:hanging="559"/>
        <w:spacing w:after="0" w:line="257" w:lineRule="auto"/>
        <w:tabs>
          <w:tab w:leader="none" w:pos="127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laws, rules and regulations (concerning or relating to bribery or corruption) issued, administered or enforced by any other country or jurisdiction applicable to any member of the Group from time to time or any other Governmental Agency having jurisdiction over any member of the Group from time to time.</w:t>
      </w:r>
    </w:p>
    <w:p>
      <w:pPr>
        <w:spacing w:after="0" w:line="182" w:lineRule="exact"/>
        <w:rPr>
          <w:sz w:val="20"/>
          <w:szCs w:val="20"/>
          <w:color w:val="auto"/>
        </w:rPr>
      </w:pPr>
    </w:p>
    <w:p>
      <w:pPr>
        <w:ind w:left="700" w:right="100"/>
        <w:spacing w:after="0" w:line="308" w:lineRule="auto"/>
        <w:rPr>
          <w:sz w:val="20"/>
          <w:szCs w:val="20"/>
          <w:color w:val="auto"/>
        </w:rPr>
      </w:pPr>
      <w:r>
        <w:rPr>
          <w:rFonts w:ascii="Arial" w:cs="Arial" w:eastAsia="Arial" w:hAnsi="Arial"/>
          <w:sz w:val="16"/>
          <w:szCs w:val="16"/>
          <w:b w:val="1"/>
          <w:bCs w:val="1"/>
          <w:color w:val="auto"/>
        </w:rPr>
        <w:t xml:space="preserve">Anti-Money Laundering Laws </w:t>
      </w:r>
      <w:r>
        <w:rPr>
          <w:rFonts w:ascii="Arial" w:cs="Arial" w:eastAsia="Arial" w:hAnsi="Arial"/>
          <w:sz w:val="16"/>
          <w:szCs w:val="16"/>
          <w:color w:val="auto"/>
        </w:rPr>
        <w:t>means all applicable financial recordkeeping and reporting requirements and all applicable anti-money laundering</w:t>
      </w:r>
      <w:r>
        <w:rPr>
          <w:rFonts w:ascii="Arial" w:cs="Arial" w:eastAsia="Arial" w:hAnsi="Arial"/>
          <w:sz w:val="16"/>
          <w:szCs w:val="16"/>
          <w:b w:val="1"/>
          <w:bCs w:val="1"/>
          <w:color w:val="auto"/>
        </w:rPr>
        <w:t xml:space="preserve"> </w:t>
      </w:r>
      <w:r>
        <w:rPr>
          <w:rFonts w:ascii="Arial" w:cs="Arial" w:eastAsia="Arial" w:hAnsi="Arial"/>
          <w:sz w:val="16"/>
          <w:szCs w:val="16"/>
          <w:color w:val="auto"/>
        </w:rPr>
        <w:t>statutes, the rules and regulations thereunder and any related or similar rules, regulations or guidelines, issued, administered or enforced by any of the United States, the United Kingdom, the European Union, the Cayman Islands, Hong Kong, the PRC, Singapore, Canada and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3" w:name="page174"/>
    <w:bookmarkEnd w:id="173"/>
    <w:p>
      <w:pPr>
        <w:ind w:left="3" w:right="140"/>
        <w:spacing w:after="0" w:line="267" w:lineRule="auto"/>
        <w:rPr>
          <w:sz w:val="20"/>
          <w:szCs w:val="20"/>
          <w:color w:val="auto"/>
        </w:rPr>
      </w:pPr>
      <w:r>
        <w:rPr>
          <w:rFonts w:ascii="Arial" w:cs="Arial" w:eastAsia="Arial" w:hAnsi="Arial"/>
          <w:sz w:val="18"/>
          <w:szCs w:val="18"/>
          <w:color w:val="auto"/>
        </w:rPr>
        <w:t>Commonwealth of Australia, and any other governmental agency having jurisdiction over the Borrower or any of its other Subsidiaries from time to time.</w:t>
      </w:r>
    </w:p>
    <w:p>
      <w:pPr>
        <w:spacing w:after="0" w:line="173" w:lineRule="exact"/>
        <w:rPr>
          <w:sz w:val="20"/>
          <w:szCs w:val="20"/>
          <w:color w:val="auto"/>
        </w:rPr>
      </w:pPr>
    </w:p>
    <w:p>
      <w:pPr>
        <w:ind w:left="3"/>
        <w:spacing w:after="0" w:line="284" w:lineRule="auto"/>
        <w:rPr>
          <w:sz w:val="20"/>
          <w:szCs w:val="20"/>
          <w:color w:val="auto"/>
        </w:rPr>
      </w:pPr>
      <w:r>
        <w:rPr>
          <w:rFonts w:ascii="Arial" w:cs="Arial" w:eastAsia="Arial" w:hAnsi="Arial"/>
          <w:sz w:val="16"/>
          <w:szCs w:val="16"/>
          <w:b w:val="1"/>
          <w:bCs w:val="1"/>
          <w:color w:val="auto"/>
        </w:rPr>
        <w:t xml:space="preserve">Anti-Terrorism Laws </w:t>
      </w:r>
      <w:r>
        <w:rPr>
          <w:rFonts w:ascii="Arial" w:cs="Arial" w:eastAsia="Arial" w:hAnsi="Arial"/>
          <w:sz w:val="16"/>
          <w:szCs w:val="16"/>
          <w:color w:val="auto"/>
        </w:rPr>
        <w:t>means any Executive Order, the U.S.A. Patriot Act, the Money Laundering Control Act of 1986, Public Law 99-570,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and Foreign Transactions Reporting Act, 31 U.S.C. §§ 5311-5330 and 12 U.S.C. §§ 1818(s), 1820(b) and 1951-1959, the International Emergency Economic Powers Act, 50 U.S.C. §§ 1701 et seq., the Trading with the Enemy Act, 50 U.S.C. App. §§ 1 et seq., the US United Nations Participation Act, the US Syria Accountability and Lebanese Sovereignty Act, the US Comprehensive Iran Sanctions, Accountability, and Divestment Act of 2010, the Iran Sanctions Act, Section 1245 of the National Defense Authorization Act of 2012, any other regulation issued under authority of any Executive Order or administered by OFAC, the Prevention of Terrorism Act 2005 of the United Kingdom, any sanction implemented or effective in the United Kingdom under the United Nations Act 1946 or the Emergency Laws (Re-enactments and Repeals) Act 1964 or the Anti-Terrorism, Crime and Security Act 2001 of the United Kingdom or under the Treaty establishing the European Community, and any similar law, regulations and/or sanctions enacted, issued and/or administered by any of the United Nations, the United States, the United Kingdom, the European Union, the Cayman Islands, Hong Kong, the PRC, Singapore, Canada and the Commonwealth of Australia.</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APLMA </w:t>
      </w:r>
      <w:r>
        <w:rPr>
          <w:rFonts w:ascii="Arial" w:cs="Arial" w:eastAsia="Arial" w:hAnsi="Arial"/>
          <w:sz w:val="18"/>
          <w:szCs w:val="18"/>
          <w:color w:val="auto"/>
        </w:rPr>
        <w:t>means the Asia Pacific Loan Market Association Limited.</w:t>
      </w:r>
    </w:p>
    <w:p>
      <w:pPr>
        <w:spacing w:after="0" w:line="219" w:lineRule="exact"/>
        <w:rPr>
          <w:sz w:val="20"/>
          <w:szCs w:val="20"/>
          <w:color w:val="auto"/>
        </w:rPr>
      </w:pPr>
    </w:p>
    <w:p>
      <w:pPr>
        <w:ind w:left="3" w:right="340"/>
        <w:spacing w:after="0" w:line="274" w:lineRule="auto"/>
        <w:rPr>
          <w:sz w:val="20"/>
          <w:szCs w:val="20"/>
          <w:color w:val="auto"/>
        </w:rPr>
      </w:pPr>
      <w:r>
        <w:rPr>
          <w:rFonts w:ascii="Arial" w:cs="Arial" w:eastAsia="Arial" w:hAnsi="Arial"/>
          <w:sz w:val="18"/>
          <w:szCs w:val="18"/>
          <w:b w:val="1"/>
          <w:bCs w:val="1"/>
          <w:color w:val="auto"/>
        </w:rPr>
        <w:t xml:space="preserve">Assignment Agreement </w:t>
      </w:r>
      <w:r>
        <w:rPr>
          <w:rFonts w:ascii="Arial" w:cs="Arial" w:eastAsia="Arial" w:hAnsi="Arial"/>
          <w:sz w:val="18"/>
          <w:szCs w:val="18"/>
          <w:color w:val="auto"/>
        </w:rPr>
        <w:t>means an agreement substantially in the form set out in Schedule 5 (Form of Assignment Agreement) or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between the relevant assignor, assignee, the Agent and the Borrower (acting reasonably).</w:t>
      </w:r>
    </w:p>
    <w:p>
      <w:pPr>
        <w:spacing w:after="0" w:line="167" w:lineRule="exact"/>
        <w:rPr>
          <w:sz w:val="20"/>
          <w:szCs w:val="20"/>
          <w:color w:val="auto"/>
        </w:rPr>
      </w:pPr>
    </w:p>
    <w:p>
      <w:pPr>
        <w:ind w:left="3" w:right="260"/>
        <w:spacing w:after="0" w:line="304" w:lineRule="auto"/>
        <w:rPr>
          <w:sz w:val="20"/>
          <w:szCs w:val="20"/>
          <w:color w:val="auto"/>
        </w:rPr>
      </w:pPr>
      <w:r>
        <w:rPr>
          <w:rFonts w:ascii="Arial" w:cs="Arial" w:eastAsia="Arial" w:hAnsi="Arial"/>
          <w:sz w:val="17"/>
          <w:szCs w:val="17"/>
          <w:b w:val="1"/>
          <w:bCs w:val="1"/>
          <w:color w:val="auto"/>
        </w:rPr>
        <w:t xml:space="preserve">Auditors </w:t>
      </w:r>
      <w:r>
        <w:rPr>
          <w:rFonts w:ascii="Arial" w:cs="Arial" w:eastAsia="Arial" w:hAnsi="Arial"/>
          <w:sz w:val="17"/>
          <w:szCs w:val="17"/>
          <w:color w:val="auto"/>
        </w:rPr>
        <w:t>means one of PricewaterhouseCoopers, Ernst &amp; Young, KPMG or Deloitte &amp; Touche, any other firm of international repute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firm mutually agreed to by the Borrower and the Agent (acting on the instructions of the Majority Lenders, acting reasonably).</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w:t>
      </w:r>
    </w:p>
    <w:p>
      <w:pPr>
        <w:spacing w:after="0" w:line="225" w:lineRule="exact"/>
        <w:rPr>
          <w:sz w:val="20"/>
          <w:szCs w:val="20"/>
          <w:color w:val="auto"/>
        </w:rPr>
      </w:pPr>
    </w:p>
    <w:p>
      <w:pPr>
        <w:ind w:left="543" w:hanging="543"/>
        <w:spacing w:after="0"/>
        <w:tabs>
          <w:tab w:leader="none" w:pos="54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authorisation, consent, approval, resolution, licence, exemption, filing, notarisation, lodgement or registration; or</w:t>
      </w:r>
    </w:p>
    <w:p>
      <w:pPr>
        <w:spacing w:after="0" w:line="219" w:lineRule="exact"/>
        <w:rPr>
          <w:rFonts w:ascii="Arial" w:cs="Arial" w:eastAsia="Arial" w:hAnsi="Arial"/>
          <w:sz w:val="18"/>
          <w:szCs w:val="18"/>
          <w:color w:val="auto"/>
        </w:rPr>
      </w:pPr>
    </w:p>
    <w:p>
      <w:pPr>
        <w:ind w:left="543" w:right="260" w:hanging="543"/>
        <w:spacing w:after="0" w:line="330" w:lineRule="auto"/>
        <w:tabs>
          <w:tab w:leader="none" w:pos="5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127" w:lineRule="exact"/>
        <w:rPr>
          <w:sz w:val="20"/>
          <w:szCs w:val="20"/>
          <w:color w:val="auto"/>
        </w:rPr>
      </w:pPr>
    </w:p>
    <w:p>
      <w:pPr>
        <w:ind w:left="3" w:right="120"/>
        <w:spacing w:after="0" w:line="274" w:lineRule="auto"/>
        <w:rPr>
          <w:sz w:val="20"/>
          <w:szCs w:val="20"/>
          <w:color w:val="auto"/>
        </w:rPr>
      </w:pPr>
      <w:r>
        <w:rPr>
          <w:rFonts w:ascii="Arial" w:cs="Arial" w:eastAsia="Arial" w:hAnsi="Arial"/>
          <w:sz w:val="18"/>
          <w:szCs w:val="18"/>
          <w:b w:val="1"/>
          <w:bCs w:val="1"/>
          <w:color w:val="auto"/>
        </w:rPr>
        <w:t xml:space="preserve">Availability Period </w:t>
      </w:r>
      <w:r>
        <w:rPr>
          <w:rFonts w:ascii="Arial" w:cs="Arial" w:eastAsia="Arial" w:hAnsi="Arial"/>
          <w:sz w:val="18"/>
          <w:szCs w:val="18"/>
          <w:color w:val="auto"/>
        </w:rPr>
        <w:t>means the period from and including the date of this agreement to and including the date falling 35 months from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Available Commitment </w:t>
      </w:r>
      <w:r>
        <w:rPr>
          <w:rFonts w:ascii="Arial" w:cs="Arial" w:eastAsia="Arial" w:hAnsi="Arial"/>
          <w:sz w:val="18"/>
          <w:szCs w:val="18"/>
          <w:color w:val="auto"/>
        </w:rPr>
        <w:t>means a Lender’s Commitment minus:</w:t>
      </w:r>
    </w:p>
    <w:p>
      <w:pPr>
        <w:spacing w:after="0" w:line="225" w:lineRule="exact"/>
        <w:rPr>
          <w:sz w:val="20"/>
          <w:szCs w:val="20"/>
          <w:color w:val="auto"/>
        </w:rPr>
      </w:pPr>
    </w:p>
    <w:p>
      <w:pPr>
        <w:ind w:left="543" w:hanging="543"/>
        <w:spacing w:after="0"/>
        <w:tabs>
          <w:tab w:leader="none" w:pos="54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Loans; and</w:t>
      </w:r>
    </w:p>
    <w:p>
      <w:pPr>
        <w:spacing w:after="0" w:line="219" w:lineRule="exact"/>
        <w:rPr>
          <w:rFonts w:ascii="Arial" w:cs="Arial" w:eastAsia="Arial" w:hAnsi="Arial"/>
          <w:sz w:val="18"/>
          <w:szCs w:val="18"/>
          <w:color w:val="auto"/>
        </w:rPr>
      </w:pPr>
    </w:p>
    <w:p>
      <w:pPr>
        <w:ind w:left="543" w:right="620" w:hanging="543"/>
        <w:spacing w:after="0" w:line="267" w:lineRule="auto"/>
        <w:tabs>
          <w:tab w:leader="none" w:pos="5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relation to any proposed Utilisation, the aggregate amount of its participation in any Loans that are due to be made on or before the proposed Utilisation Date,</w:t>
      </w:r>
    </w:p>
    <w:p>
      <w:pPr>
        <w:spacing w:after="0" w:line="179" w:lineRule="exact"/>
        <w:rPr>
          <w:sz w:val="20"/>
          <w:szCs w:val="20"/>
          <w:color w:val="auto"/>
        </w:rPr>
      </w:pPr>
    </w:p>
    <w:p>
      <w:pPr>
        <w:ind w:left="3" w:right="540"/>
        <w:spacing w:after="0" w:line="267" w:lineRule="auto"/>
        <w:rPr>
          <w:sz w:val="20"/>
          <w:szCs w:val="20"/>
          <w:color w:val="auto"/>
        </w:rPr>
      </w:pPr>
      <w:r>
        <w:rPr>
          <w:rFonts w:ascii="Arial" w:cs="Arial" w:eastAsia="Arial" w:hAnsi="Arial"/>
          <w:sz w:val="18"/>
          <w:szCs w:val="18"/>
          <w:color w:val="auto"/>
        </w:rPr>
        <w:t>other than, in relation to any proposed Utilisation, that Lender’s participation in any Loans that are due to be repaid or prepaid on or before the proposed Utilisation Date.</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the aggregate for the time being of each Lender’s Available Commitment.</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color w:val="auto"/>
        </w:rPr>
        <w:t>has the meaning given to it in Clause 19.1 (Financial definitions).</w:t>
      </w:r>
    </w:p>
    <w:p>
      <w:pPr>
        <w:spacing w:after="0" w:line="225" w:lineRule="exact"/>
        <w:rPr>
          <w:sz w:val="20"/>
          <w:szCs w:val="20"/>
          <w:color w:val="auto"/>
        </w:rPr>
      </w:pPr>
    </w:p>
    <w:p>
      <w:pPr>
        <w:ind w:left="496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63"/>
          </w:cols>
          <w:pgMar w:left="937" w:top="340" w:right="299" w:bottom="1440" w:gutter="0" w:footer="0" w:header="0"/>
        </w:sectPr>
      </w:pPr>
    </w:p>
    <w:bookmarkStart w:id="174" w:name="page175"/>
    <w:bookmarkEnd w:id="174"/>
    <w:p>
      <w:pPr>
        <w:ind w:left="3"/>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5" w:lineRule="exact"/>
        <w:rPr>
          <w:sz w:val="20"/>
          <w:szCs w:val="20"/>
          <w:color w:val="auto"/>
        </w:rPr>
      </w:pPr>
    </w:p>
    <w:p>
      <w:pPr>
        <w:ind w:left="543" w:right="300" w:hanging="543"/>
        <w:spacing w:after="0" w:line="279" w:lineRule="auto"/>
        <w:tabs>
          <w:tab w:leader="none" w:pos="53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interest (excluding any portion thereof attributable to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8"/>
          <w:szCs w:val="18"/>
          <w:color w:val="auto"/>
        </w:rPr>
        <w:t>exceeds:</w:t>
      </w:r>
    </w:p>
    <w:p>
      <w:pPr>
        <w:spacing w:after="0" w:line="219" w:lineRule="exact"/>
        <w:rPr>
          <w:sz w:val="20"/>
          <w:szCs w:val="20"/>
          <w:color w:val="auto"/>
        </w:rPr>
      </w:pPr>
    </w:p>
    <w:p>
      <w:pPr>
        <w:ind w:left="543" w:right="140" w:hanging="543"/>
        <w:spacing w:after="0" w:line="257" w:lineRule="auto"/>
        <w:tabs>
          <w:tab w:leader="none" w:pos="5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Relevant Market for a period starting on the Business Day following receipt or recovery and ending on the last day of the current Interest Period.</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w:t>
      </w:r>
    </w:p>
    <w:p>
      <w:pPr>
        <w:spacing w:after="0" w:line="225" w:lineRule="exact"/>
        <w:rPr>
          <w:sz w:val="20"/>
          <w:szCs w:val="20"/>
          <w:color w:val="auto"/>
        </w:rPr>
      </w:pPr>
    </w:p>
    <w:p>
      <w:pPr>
        <w:ind w:left="603" w:hanging="603"/>
        <w:spacing w:after="0"/>
        <w:tabs>
          <w:tab w:leader="none" w:pos="6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relation to any date relating to the payment or purchase of currency, in New York and Hong Kong; and</w:t>
      </w:r>
    </w:p>
    <w:p>
      <w:pPr>
        <w:spacing w:after="0" w:line="219" w:lineRule="exact"/>
        <w:rPr>
          <w:rFonts w:ascii="Arial" w:cs="Arial" w:eastAsia="Arial" w:hAnsi="Arial"/>
          <w:sz w:val="18"/>
          <w:szCs w:val="18"/>
          <w:color w:val="auto"/>
        </w:rPr>
      </w:pPr>
    </w:p>
    <w:p>
      <w:pPr>
        <w:ind w:left="603" w:hanging="603"/>
        <w:spacing w:after="0"/>
        <w:tabs>
          <w:tab w:leader="none" w:pos="6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relation to any date relating to any matter other than as specified in paragraph (a) above, in Hong Kong and the PRC.</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25" w:lineRule="exact"/>
        <w:rPr>
          <w:sz w:val="20"/>
          <w:szCs w:val="20"/>
          <w:color w:val="auto"/>
        </w:rPr>
      </w:pPr>
    </w:p>
    <w:p>
      <w:pPr>
        <w:ind w:left="543" w:right="280" w:hanging="543"/>
        <w:spacing w:after="0" w:line="267" w:lineRule="auto"/>
        <w:tabs>
          <w:tab w:leader="none" w:pos="5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its name under the heading “Commitment” in Part II of Schedule 1 (The Original Parties) and the amount of any other Commitment transferred to it under this agreement; and</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13" w:lineRule="exact"/>
        <w:rPr>
          <w:sz w:val="20"/>
          <w:szCs w:val="20"/>
          <w:color w:val="auto"/>
        </w:rPr>
      </w:pPr>
    </w:p>
    <w:p>
      <w:pPr>
        <w:ind w:left="3" w:right="140"/>
        <w:spacing w:after="0" w:line="260"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delivered pursuant to Clause 18.2 (Compliance Certificate) and signed by an authorised signatory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substantially in the form set out in Schedule 6 (Form of Compliance Certificate) or any other form agreed between the Agent and the Borrower.</w:t>
      </w:r>
    </w:p>
    <w:p>
      <w:pPr>
        <w:spacing w:after="0" w:line="180" w:lineRule="exact"/>
        <w:rPr>
          <w:sz w:val="20"/>
          <w:szCs w:val="20"/>
          <w:color w:val="auto"/>
        </w:rPr>
      </w:pPr>
    </w:p>
    <w:p>
      <w:pPr>
        <w:ind w:left="3"/>
        <w:spacing w:after="0" w:line="260"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the Borrower, the Group, the Finance Documents or the Facility of which a Finance Party</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aware in its capacity as, or for the purpose of becoming, a Finance Party or which is received by a Finance Party in relation to, or for the purpose of becoming a Finance Party under, the Finance Documents or the Facility from either:</w:t>
      </w:r>
    </w:p>
    <w:p>
      <w:pPr>
        <w:spacing w:after="0" w:line="186" w:lineRule="exact"/>
        <w:rPr>
          <w:sz w:val="20"/>
          <w:szCs w:val="20"/>
          <w:color w:val="auto"/>
        </w:rPr>
      </w:pPr>
    </w:p>
    <w:p>
      <w:pPr>
        <w:ind w:left="543" w:hanging="543"/>
        <w:spacing w:after="0"/>
        <w:tabs>
          <w:tab w:leader="none" w:pos="5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219" w:lineRule="exact"/>
        <w:rPr>
          <w:rFonts w:ascii="Arial" w:cs="Arial" w:eastAsia="Arial" w:hAnsi="Arial"/>
          <w:sz w:val="18"/>
          <w:szCs w:val="18"/>
          <w:color w:val="auto"/>
        </w:rPr>
      </w:pPr>
    </w:p>
    <w:p>
      <w:pPr>
        <w:ind w:left="543" w:right="60" w:hanging="543"/>
        <w:spacing w:after="0" w:line="267" w:lineRule="auto"/>
        <w:tabs>
          <w:tab w:leader="none" w:pos="5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179" w:lineRule="exact"/>
        <w:rPr>
          <w:sz w:val="20"/>
          <w:szCs w:val="20"/>
          <w:color w:val="auto"/>
        </w:rPr>
      </w:pPr>
    </w:p>
    <w:p>
      <w:pPr>
        <w:ind w:left="3" w:right="140"/>
        <w:spacing w:after="0" w:line="26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79" w:lineRule="exact"/>
        <w:rPr>
          <w:sz w:val="20"/>
          <w:szCs w:val="20"/>
          <w:color w:val="auto"/>
        </w:rPr>
      </w:pPr>
    </w:p>
    <w:p>
      <w:pPr>
        <w:ind w:left="4963"/>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03"/>
          </w:cols>
          <w:pgMar w:left="937" w:top="334" w:right="259" w:bottom="1440" w:gutter="0" w:footer="0" w:header="0"/>
        </w:sectPr>
      </w:pPr>
    </w:p>
    <w:bookmarkStart w:id="175" w:name="page176"/>
    <w:bookmarkEnd w:id="175"/>
    <w:p>
      <w:pPr>
        <w:ind w:left="1103" w:hanging="545"/>
        <w:spacing w:after="0" w:line="267" w:lineRule="auto"/>
        <w:tabs>
          <w:tab w:leader="none" w:pos="11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that:is or becomes public information other than as a direct or indirect result of any breach by that Finance Party of Clause 32 (Confidential Information); or</w:t>
      </w:r>
    </w:p>
    <w:p>
      <w:pPr>
        <w:spacing w:after="0" w:line="178" w:lineRule="exact"/>
        <w:rPr>
          <w:rFonts w:ascii="Arial" w:cs="Arial" w:eastAsia="Arial" w:hAnsi="Arial"/>
          <w:sz w:val="18"/>
          <w:szCs w:val="18"/>
          <w:color w:val="auto"/>
        </w:rPr>
      </w:pPr>
    </w:p>
    <w:p>
      <w:pPr>
        <w:ind w:left="1143" w:hanging="585"/>
        <w:spacing w:after="0"/>
        <w:tabs>
          <w:tab w:leader="none" w:pos="114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the Group or any of its advisers; or</w:t>
      </w:r>
    </w:p>
    <w:p>
      <w:pPr>
        <w:spacing w:after="0" w:line="219" w:lineRule="exact"/>
        <w:rPr>
          <w:rFonts w:ascii="Arial" w:cs="Arial" w:eastAsia="Arial" w:hAnsi="Arial"/>
          <w:sz w:val="18"/>
          <w:szCs w:val="18"/>
          <w:color w:val="auto"/>
        </w:rPr>
      </w:pPr>
    </w:p>
    <w:p>
      <w:pPr>
        <w:ind w:left="1103" w:right="80" w:hanging="545"/>
        <w:spacing w:after="0" w:line="253" w:lineRule="auto"/>
        <w:tabs>
          <w:tab w:leader="none" w:pos="11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87" w:lineRule="exact"/>
        <w:rPr>
          <w:sz w:val="20"/>
          <w:szCs w:val="20"/>
          <w:color w:val="auto"/>
        </w:rPr>
      </w:pPr>
    </w:p>
    <w:p>
      <w:pPr>
        <w:ind w:left="3" w:right="160"/>
        <w:spacing w:after="0" w:line="274" w:lineRule="auto"/>
        <w:rPr>
          <w:sz w:val="20"/>
          <w:szCs w:val="20"/>
          <w:color w:val="auto"/>
        </w:rPr>
      </w:pPr>
      <w:r>
        <w:rPr>
          <w:rFonts w:ascii="Arial" w:cs="Arial" w:eastAsia="Arial" w:hAnsi="Arial"/>
          <w:sz w:val="18"/>
          <w:szCs w:val="18"/>
          <w:b w:val="1"/>
          <w:bCs w:val="1"/>
          <w:color w:val="auto"/>
        </w:rPr>
        <w:t xml:space="preserve">Confidentiality Undertaking </w:t>
      </w:r>
      <w:r>
        <w:rPr>
          <w:rFonts w:ascii="Arial" w:cs="Arial" w:eastAsia="Arial" w:hAnsi="Arial"/>
          <w:sz w:val="18"/>
          <w:szCs w:val="18"/>
          <w:color w:val="auto"/>
        </w:rPr>
        <w:t>means a confidentiality undertaking substantially in a recommended form of the APLMA or in any other form agreed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Borrower and the Agent.</w:t>
      </w:r>
    </w:p>
    <w:p>
      <w:pPr>
        <w:spacing w:after="0" w:line="167" w:lineRule="exact"/>
        <w:rPr>
          <w:sz w:val="20"/>
          <w:szCs w:val="20"/>
          <w:color w:val="auto"/>
        </w:rPr>
      </w:pPr>
    </w:p>
    <w:p>
      <w:pPr>
        <w:jc w:val="both"/>
        <w:ind w:left="3" w:right="80"/>
        <w:spacing w:after="0" w:line="260" w:lineRule="auto"/>
        <w:rPr>
          <w:sz w:val="20"/>
          <w:szCs w:val="20"/>
          <w:color w:val="auto"/>
        </w:rPr>
      </w:pPr>
      <w:r>
        <w:rPr>
          <w:rFonts w:ascii="Arial" w:cs="Arial" w:eastAsia="Arial" w:hAnsi="Arial"/>
          <w:sz w:val="18"/>
          <w:szCs w:val="18"/>
          <w:b w:val="1"/>
          <w:bCs w:val="1"/>
          <w:color w:val="auto"/>
        </w:rPr>
        <w:t xml:space="preserve">Conflicted Lender </w:t>
      </w:r>
      <w:r>
        <w:rPr>
          <w:rFonts w:ascii="Arial" w:cs="Arial" w:eastAsia="Arial" w:hAnsi="Arial"/>
          <w:sz w:val="18"/>
          <w:szCs w:val="18"/>
          <w:color w:val="auto"/>
        </w:rPr>
        <w:t>means any Lender (which term, for the purposes of this definition shall include any Affiliate of that Lender) which is or is acting</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(including in its capacity as the grantor of a sub-participation or sub-contract carrying economic, voting and/or information rights, or any other agreement pursuant to which such rights may pass) either:</w:t>
      </w:r>
    </w:p>
    <w:p>
      <w:pPr>
        <w:spacing w:after="0" w:line="186" w:lineRule="exact"/>
        <w:rPr>
          <w:sz w:val="20"/>
          <w:szCs w:val="20"/>
          <w:color w:val="auto"/>
        </w:rPr>
      </w:pPr>
    </w:p>
    <w:p>
      <w:pPr>
        <w:ind w:left="543" w:hanging="543"/>
        <w:spacing w:after="0"/>
        <w:tabs>
          <w:tab w:leader="none" w:pos="5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competitor or supplier of the Group; or</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investor or equity holder of more than five per cent. of the equity or total investment in a competitor or supplier of the Group,</w:t>
      </w:r>
    </w:p>
    <w:p>
      <w:pPr>
        <w:spacing w:after="0" w:line="219" w:lineRule="exact"/>
        <w:rPr>
          <w:sz w:val="20"/>
          <w:szCs w:val="20"/>
          <w:color w:val="auto"/>
        </w:rPr>
      </w:pPr>
    </w:p>
    <w:p>
      <w:pPr>
        <w:ind w:left="3" w:right="100"/>
        <w:spacing w:after="0" w:line="279" w:lineRule="auto"/>
        <w:rPr>
          <w:sz w:val="20"/>
          <w:szCs w:val="20"/>
          <w:color w:val="auto"/>
        </w:rPr>
      </w:pPr>
      <w:r>
        <w:rPr>
          <w:rFonts w:ascii="Arial" w:cs="Arial" w:eastAsia="Arial" w:hAnsi="Arial"/>
          <w:sz w:val="17"/>
          <w:szCs w:val="17"/>
          <w:color w:val="auto"/>
        </w:rPr>
        <w:t xml:space="preserve">in each case whether before or after such person becomes a Lender and including where a Lender notifies the Agent that it is such (in a Transfer Certificate or otherwise) and where it has been notified as such to the Agent by the Borrower or another member of the Group (acting reasonably and in good faith),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a Lender will not be deemed to be a Conflicted Lender solely by virtue of that Lender:</w:t>
      </w:r>
    </w:p>
    <w:p>
      <w:pPr>
        <w:spacing w:after="0" w:line="171" w:lineRule="exact"/>
        <w:rPr>
          <w:sz w:val="20"/>
          <w:szCs w:val="20"/>
          <w:color w:val="auto"/>
        </w:rPr>
      </w:pPr>
    </w:p>
    <w:p>
      <w:pPr>
        <w:ind w:left="1223" w:right="180" w:hanging="635"/>
        <w:spacing w:after="0" w:line="267" w:lineRule="auto"/>
        <w:tabs>
          <w:tab w:leader="none" w:pos="124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dealing in shares in or securities of a Competitor, where the relevant teams and employees of that Lender engaged in such dealings operate on the public side of an information barrier;</w:t>
      </w:r>
    </w:p>
    <w:p>
      <w:pPr>
        <w:spacing w:after="0" w:line="178" w:lineRule="exact"/>
        <w:rPr>
          <w:rFonts w:ascii="Arial" w:cs="Arial" w:eastAsia="Arial" w:hAnsi="Arial"/>
          <w:sz w:val="18"/>
          <w:szCs w:val="18"/>
          <w:color w:val="auto"/>
        </w:rPr>
      </w:pPr>
    </w:p>
    <w:p>
      <w:pPr>
        <w:ind w:left="1223" w:right="100" w:hanging="635"/>
        <w:spacing w:after="0" w:line="253" w:lineRule="auto"/>
        <w:tabs>
          <w:tab w:leader="none" w:pos="12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becoming an investor or equity holder in a Competitor as a consequence of a debt-for-equity swap in, or enforcement of security over shares of, that competitor or supplier of the Group,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relevant teams and employees of that Lender involved in such transactions are separated from any teams or employees of that Lender working in relation to the Group and the Finance Documents (and related transactions) by way of an information barrier; or</w:t>
      </w:r>
    </w:p>
    <w:p>
      <w:pPr>
        <w:spacing w:after="0" w:line="192" w:lineRule="exact"/>
        <w:rPr>
          <w:rFonts w:ascii="Arial" w:cs="Arial" w:eastAsia="Arial" w:hAnsi="Arial"/>
          <w:sz w:val="18"/>
          <w:szCs w:val="18"/>
          <w:color w:val="auto"/>
        </w:rPr>
      </w:pPr>
    </w:p>
    <w:p>
      <w:pPr>
        <w:ind w:left="1223" w:right="200" w:hanging="635"/>
        <w:spacing w:after="0" w:line="253" w:lineRule="auto"/>
        <w:tabs>
          <w:tab w:leader="none" w:pos="12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being an investor or equity holder in a Competitor through a separately managed private equity investment fund or similar entity owned or managed by that Lender,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relevant teams and employees of that Lender involved in such private equity fund are separated from any teams or employees of that Lender working in relation to the Group and the Finance Documents (and related transactions) by way of an information barrier.</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Consolidated EBITDA </w:t>
      </w:r>
      <w:r>
        <w:rPr>
          <w:rFonts w:ascii="Arial" w:cs="Arial" w:eastAsia="Arial" w:hAnsi="Arial"/>
          <w:sz w:val="18"/>
          <w:szCs w:val="18"/>
          <w:color w:val="auto"/>
        </w:rPr>
        <w:t>has the meaning given to it in Clause 19.1 (Financial definitions).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Consolidated Net Worth </w:t>
      </w:r>
      <w:r>
        <w:rPr>
          <w:rFonts w:ascii="Arial" w:cs="Arial" w:eastAsia="Arial" w:hAnsi="Arial"/>
          <w:sz w:val="18"/>
          <w:szCs w:val="18"/>
          <w:color w:val="auto"/>
        </w:rPr>
        <w:t>has the meaning given to it in Clause 19.1 (Financial definitions).</w:t>
      </w:r>
    </w:p>
    <w:p>
      <w:pPr>
        <w:spacing w:after="0" w:line="225" w:lineRule="exact"/>
        <w:rPr>
          <w:sz w:val="20"/>
          <w:szCs w:val="20"/>
          <w:color w:val="auto"/>
        </w:rPr>
      </w:pPr>
    </w:p>
    <w:p>
      <w:pPr>
        <w:ind w:left="496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03"/>
          </w:cols>
          <w:pgMar w:left="937" w:top="341" w:right="259" w:bottom="1440" w:gutter="0" w:footer="0" w:header="0"/>
        </w:sectPr>
      </w:pPr>
    </w:p>
    <w:bookmarkStart w:id="176" w:name="page177"/>
    <w:bookmarkEnd w:id="176"/>
    <w:p>
      <w:pPr>
        <w:ind w:left="3"/>
        <w:spacing w:after="0"/>
        <w:rPr>
          <w:sz w:val="20"/>
          <w:szCs w:val="20"/>
          <w:color w:val="auto"/>
        </w:rPr>
      </w:pPr>
      <w:r>
        <w:rPr>
          <w:rFonts w:ascii="Arial" w:cs="Arial" w:eastAsia="Arial" w:hAnsi="Arial"/>
          <w:sz w:val="18"/>
          <w:szCs w:val="18"/>
          <w:b w:val="1"/>
          <w:bCs w:val="1"/>
          <w:color w:val="auto"/>
        </w:rPr>
        <w:t xml:space="preserve">Consolidated Total Debt </w:t>
      </w:r>
      <w:r>
        <w:rPr>
          <w:rFonts w:ascii="Arial" w:cs="Arial" w:eastAsia="Arial" w:hAnsi="Arial"/>
          <w:sz w:val="18"/>
          <w:szCs w:val="18"/>
          <w:color w:val="auto"/>
        </w:rPr>
        <w:t>has the meaning given to it in Clause 19.1 (Financial definitions).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5" w:lineRule="exact"/>
        <w:rPr>
          <w:sz w:val="20"/>
          <w:szCs w:val="20"/>
          <w:color w:val="auto"/>
        </w:rPr>
      </w:pPr>
    </w:p>
    <w:p>
      <w:pPr>
        <w:ind w:left="543" w:hanging="543"/>
        <w:spacing w:after="0"/>
        <w:tabs>
          <w:tab w:leader="none" w:pos="5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purchases or acquires by way of assignment or transfer any rights and/or obligations in respect of;</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19" w:lineRule="exact"/>
        <w:rPr>
          <w:rFonts w:ascii="Arial" w:cs="Arial" w:eastAsia="Arial" w:hAnsi="Arial"/>
          <w:sz w:val="18"/>
          <w:szCs w:val="18"/>
          <w:color w:val="auto"/>
        </w:rPr>
      </w:pPr>
    </w:p>
    <w:p>
      <w:pPr>
        <w:ind w:left="3" w:right="860" w:hanging="3"/>
        <w:spacing w:after="0" w:line="490" w:lineRule="auto"/>
        <w:tabs>
          <w:tab w:leader="none" w:pos="5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 any Commitment or any amount outstanding under any Finance Document.</w:t>
      </w:r>
    </w:p>
    <w:p>
      <w:pPr>
        <w:spacing w:after="0" w:line="1" w:lineRule="exact"/>
        <w:rPr>
          <w:sz w:val="20"/>
          <w:szCs w:val="20"/>
          <w:color w:val="auto"/>
        </w:rPr>
      </w:pPr>
    </w:p>
    <w:p>
      <w:pPr>
        <w:ind w:left="3" w:right="300"/>
        <w:spacing w:after="0" w:line="274"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 event or circumstance specified in Clause 21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the giving of notice or any combination of any of the foregoing) be an Event of Default.</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5" w:lineRule="exact"/>
        <w:rPr>
          <w:sz w:val="20"/>
          <w:szCs w:val="20"/>
          <w:color w:val="auto"/>
        </w:rPr>
      </w:pPr>
    </w:p>
    <w:p>
      <w:pPr>
        <w:ind w:left="543" w:hanging="543"/>
        <w:spacing w:after="0" w:line="267" w:lineRule="auto"/>
        <w:tabs>
          <w:tab w:leader="none" w:pos="5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 (a) above:</w:t>
      </w:r>
    </w:p>
    <w:p>
      <w:pPr>
        <w:spacing w:after="0" w:line="219" w:lineRule="exact"/>
        <w:rPr>
          <w:rFonts w:ascii="Arial" w:cs="Arial" w:eastAsia="Arial" w:hAnsi="Arial"/>
          <w:sz w:val="18"/>
          <w:szCs w:val="18"/>
          <w:color w:val="auto"/>
        </w:rPr>
      </w:pPr>
    </w:p>
    <w:p>
      <w:pPr>
        <w:ind w:left="1123" w:hanging="535"/>
        <w:spacing w:after="0"/>
        <w:tabs>
          <w:tab w:leader="none" w:pos="112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19" w:lineRule="exact"/>
        <w:rPr>
          <w:rFonts w:ascii="Arial" w:cs="Arial" w:eastAsia="Arial" w:hAnsi="Arial"/>
          <w:sz w:val="18"/>
          <w:szCs w:val="18"/>
          <w:color w:val="auto"/>
        </w:rPr>
      </w:pPr>
    </w:p>
    <w:p>
      <w:pPr>
        <w:ind w:left="1743" w:hanging="643"/>
        <w:spacing w:after="0"/>
        <w:tabs>
          <w:tab w:leader="none" w:pos="1743"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19" w:lineRule="exact"/>
        <w:rPr>
          <w:rFonts w:ascii="Arial" w:cs="Arial" w:eastAsia="Arial" w:hAnsi="Arial"/>
          <w:sz w:val="18"/>
          <w:szCs w:val="18"/>
          <w:color w:val="auto"/>
        </w:rPr>
      </w:pPr>
    </w:p>
    <w:p>
      <w:pPr>
        <w:ind w:left="1743" w:hanging="643"/>
        <w:spacing w:after="0"/>
        <w:tabs>
          <w:tab w:leader="none" w:pos="1743"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19" w:lineRule="exact"/>
        <w:rPr>
          <w:sz w:val="20"/>
          <w:szCs w:val="20"/>
          <w:color w:val="auto"/>
        </w:rPr>
      </w:pPr>
    </w:p>
    <w:p>
      <w:pPr>
        <w:ind w:left="1103"/>
        <w:spacing w:after="0"/>
        <w:rPr>
          <w:sz w:val="20"/>
          <w:szCs w:val="20"/>
          <w:color w:val="auto"/>
        </w:rPr>
      </w:pPr>
      <w:r>
        <w:rPr>
          <w:rFonts w:ascii="Arial" w:cs="Arial" w:eastAsia="Arial" w:hAnsi="Arial"/>
          <w:sz w:val="18"/>
          <w:szCs w:val="18"/>
          <w:color w:val="auto"/>
        </w:rPr>
        <w:t>in each case, payment is made within five Business Days of its due date; or</w:t>
      </w:r>
    </w:p>
    <w:p>
      <w:pPr>
        <w:spacing w:after="0" w:line="219" w:lineRule="exact"/>
        <w:rPr>
          <w:sz w:val="20"/>
          <w:szCs w:val="20"/>
          <w:color w:val="auto"/>
        </w:rPr>
      </w:pPr>
    </w:p>
    <w:p>
      <w:pPr>
        <w:ind w:left="1143" w:hanging="555"/>
        <w:spacing w:after="0"/>
        <w:tabs>
          <w:tab w:leader="none" w:pos="114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Disruption Event </w:t>
      </w:r>
      <w:r>
        <w:rPr>
          <w:rFonts w:ascii="Arial" w:cs="Arial" w:eastAsia="Arial" w:hAnsi="Arial"/>
          <w:sz w:val="18"/>
          <w:szCs w:val="18"/>
          <w:color w:val="auto"/>
        </w:rPr>
        <w:t>means either or both of:</w:t>
      </w:r>
    </w:p>
    <w:p>
      <w:pPr>
        <w:spacing w:after="0" w:line="225" w:lineRule="exact"/>
        <w:rPr>
          <w:sz w:val="20"/>
          <w:szCs w:val="20"/>
          <w:color w:val="auto"/>
        </w:rPr>
      </w:pPr>
    </w:p>
    <w:p>
      <w:pPr>
        <w:ind w:left="543" w:right="60" w:hanging="543"/>
        <w:spacing w:after="0" w:line="279" w:lineRule="auto"/>
        <w:tabs>
          <w:tab w:leader="none" w:pos="53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and</w:t>
      </w:r>
    </w:p>
    <w:p>
      <w:pPr>
        <w:spacing w:after="0" w:line="170" w:lineRule="exact"/>
        <w:rPr>
          <w:rFonts w:ascii="Arial" w:cs="Arial" w:eastAsia="Arial" w:hAnsi="Arial"/>
          <w:sz w:val="17"/>
          <w:szCs w:val="17"/>
          <w:color w:val="auto"/>
        </w:rPr>
      </w:pPr>
    </w:p>
    <w:p>
      <w:pPr>
        <w:ind w:left="543" w:right="20" w:hanging="543"/>
        <w:spacing w:after="0" w:line="267" w:lineRule="auto"/>
        <w:tabs>
          <w:tab w:leader="none" w:pos="5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78" w:lineRule="exact"/>
        <w:rPr>
          <w:rFonts w:ascii="Arial" w:cs="Arial" w:eastAsia="Arial" w:hAnsi="Arial"/>
          <w:sz w:val="18"/>
          <w:szCs w:val="18"/>
          <w:color w:val="auto"/>
        </w:rPr>
      </w:pPr>
    </w:p>
    <w:p>
      <w:pPr>
        <w:ind w:left="1123" w:hanging="573"/>
        <w:spacing w:after="0"/>
        <w:tabs>
          <w:tab w:leader="none" w:pos="112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19" w:lineRule="exact"/>
        <w:rPr>
          <w:rFonts w:ascii="Arial" w:cs="Arial" w:eastAsia="Arial" w:hAnsi="Arial"/>
          <w:sz w:val="18"/>
          <w:szCs w:val="18"/>
          <w:color w:val="auto"/>
        </w:rPr>
      </w:pPr>
    </w:p>
    <w:p>
      <w:pPr>
        <w:ind w:left="1123" w:hanging="573"/>
        <w:spacing w:after="0"/>
        <w:tabs>
          <w:tab w:leader="none" w:pos="112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19"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03"/>
          </w:cols>
          <w:pgMar w:left="937" w:top="335" w:right="259" w:bottom="1440" w:gutter="0" w:footer="0" w:header="0"/>
        </w:sectPr>
      </w:pPr>
    </w:p>
    <w:bookmarkStart w:id="177" w:name="page178"/>
    <w:bookmarkEnd w:id="177"/>
    <w:p>
      <w:pPr>
        <w:ind w:left="3"/>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Equity Interest </w:t>
      </w:r>
      <w:r>
        <w:rPr>
          <w:rFonts w:ascii="Arial" w:cs="Arial" w:eastAsia="Arial" w:hAnsi="Arial"/>
          <w:sz w:val="18"/>
          <w:szCs w:val="18"/>
          <w:color w:val="auto"/>
        </w:rPr>
        <w:t>means, in relation to any person:</w:t>
      </w:r>
    </w:p>
    <w:p>
      <w:pPr>
        <w:spacing w:after="0" w:line="225" w:lineRule="exact"/>
        <w:rPr>
          <w:sz w:val="20"/>
          <w:szCs w:val="20"/>
          <w:color w:val="auto"/>
        </w:rPr>
      </w:pPr>
    </w:p>
    <w:p>
      <w:pPr>
        <w:ind w:left="543" w:right="280" w:hanging="543"/>
        <w:spacing w:after="0" w:line="267" w:lineRule="auto"/>
        <w:tabs>
          <w:tab w:leader="none" w:pos="5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shares of any class or capital stock of or equity interest (including partnership or membership interest) in such person or any depositary receipt in respect of any such shares, capital stock or equity interest;</w:t>
      </w:r>
    </w:p>
    <w:p>
      <w:pPr>
        <w:spacing w:after="0" w:line="178" w:lineRule="exact"/>
        <w:rPr>
          <w:rFonts w:ascii="Arial" w:cs="Arial" w:eastAsia="Arial" w:hAnsi="Arial"/>
          <w:sz w:val="18"/>
          <w:szCs w:val="18"/>
          <w:color w:val="auto"/>
        </w:rPr>
      </w:pPr>
    </w:p>
    <w:p>
      <w:pPr>
        <w:ind w:left="543" w:hanging="543"/>
        <w:spacing w:after="0" w:line="257" w:lineRule="auto"/>
        <w:tabs>
          <w:tab w:leader="none" w:pos="5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securities convertible or exchangeable (whether at the option of the holder thereof or otherwise and whether such conversion is conditional or otherwise) into any such shares, capital stock, equity interest or depositary receipt, or any depositary receipt in respect of any such securities; or</w:t>
      </w:r>
    </w:p>
    <w:p>
      <w:pPr>
        <w:spacing w:after="0" w:line="187" w:lineRule="exact"/>
        <w:rPr>
          <w:rFonts w:ascii="Arial" w:cs="Arial" w:eastAsia="Arial" w:hAnsi="Arial"/>
          <w:sz w:val="18"/>
          <w:szCs w:val="18"/>
          <w:color w:val="auto"/>
        </w:rPr>
      </w:pPr>
    </w:p>
    <w:p>
      <w:pPr>
        <w:ind w:left="543" w:right="500" w:hanging="543"/>
        <w:spacing w:after="0" w:line="267" w:lineRule="auto"/>
        <w:tabs>
          <w:tab w:leader="none" w:pos="5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option, warrant or other right to acquire any such shares, capital stock, equity interest, securities or depositary receipts referred to in paragraphs (a) and/or (b).</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Event of Default </w:t>
      </w:r>
      <w:r>
        <w:rPr>
          <w:rFonts w:ascii="Arial" w:cs="Arial" w:eastAsia="Arial" w:hAnsi="Arial"/>
          <w:sz w:val="16"/>
          <w:szCs w:val="16"/>
          <w:color w:val="auto"/>
        </w:rPr>
        <w:t>means any event or circumstance specified as such in Clause 21 (Events of Default) (other than Clause 21.14 (Acceleration)).</w:t>
      </w:r>
    </w:p>
    <w:p>
      <w:pPr>
        <w:spacing w:after="0" w:line="24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Executive Orders </w:t>
      </w:r>
      <w:r>
        <w:rPr>
          <w:rFonts w:ascii="Arial" w:cs="Arial" w:eastAsia="Arial" w:hAnsi="Arial"/>
          <w:sz w:val="18"/>
          <w:szCs w:val="18"/>
          <w:color w:val="auto"/>
        </w:rPr>
        <w:t>means:</w:t>
      </w:r>
    </w:p>
    <w:p>
      <w:pPr>
        <w:spacing w:after="0" w:line="225" w:lineRule="exact"/>
        <w:rPr>
          <w:sz w:val="20"/>
          <w:szCs w:val="20"/>
          <w:color w:val="auto"/>
        </w:rPr>
      </w:pPr>
    </w:p>
    <w:p>
      <w:pPr>
        <w:ind w:left="543" w:right="320" w:hanging="543"/>
        <w:spacing w:after="0" w:line="267" w:lineRule="auto"/>
        <w:tabs>
          <w:tab w:leader="none" w:pos="5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US Executive Order No. 13224 on Blocking Property and Prohibiting Transactions with Persons who Commit, Threaten to Commit, or Support Terrorism, which came into effect on 23 September 2001, as amended;</w:t>
      </w:r>
    </w:p>
    <w:p>
      <w:pPr>
        <w:spacing w:after="0" w:line="178" w:lineRule="exact"/>
        <w:rPr>
          <w:rFonts w:ascii="Arial" w:cs="Arial" w:eastAsia="Arial" w:hAnsi="Arial"/>
          <w:sz w:val="18"/>
          <w:szCs w:val="18"/>
          <w:color w:val="auto"/>
        </w:rPr>
      </w:pPr>
    </w:p>
    <w:p>
      <w:pPr>
        <w:ind w:left="543" w:right="480" w:hanging="543"/>
        <w:spacing w:after="0" w:line="267" w:lineRule="auto"/>
        <w:tabs>
          <w:tab w:leader="none" w:pos="5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US Executive Order No. 13590 of 21 November 2011 authorising the imposition of certain sanctions with respect to the provision of goods, services, technology or support for Iran’s energy and petrochemical sectors;</w:t>
      </w:r>
    </w:p>
    <w:p>
      <w:pPr>
        <w:spacing w:after="0" w:line="178" w:lineRule="exact"/>
        <w:rPr>
          <w:rFonts w:ascii="Arial" w:cs="Arial" w:eastAsia="Arial" w:hAnsi="Arial"/>
          <w:sz w:val="18"/>
          <w:szCs w:val="18"/>
          <w:color w:val="auto"/>
        </w:rPr>
      </w:pPr>
    </w:p>
    <w:p>
      <w:pPr>
        <w:ind w:left="3" w:right="500" w:hanging="3"/>
        <w:spacing w:after="0" w:line="490" w:lineRule="auto"/>
        <w:tabs>
          <w:tab w:leader="none" w:pos="55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any other US Executive Order issued and in effect in connection with restrictions on the export of goods or economic or trade sanctions, (each an </w:t>
      </w:r>
      <w:r>
        <w:rPr>
          <w:rFonts w:ascii="Arial" w:cs="Arial" w:eastAsia="Arial" w:hAnsi="Arial"/>
          <w:sz w:val="18"/>
          <w:szCs w:val="18"/>
          <w:b w:val="1"/>
          <w:bCs w:val="1"/>
          <w:color w:val="auto"/>
        </w:rPr>
        <w:t>Executive Order</w:t>
      </w:r>
      <w:r>
        <w:rPr>
          <w:rFonts w:ascii="Arial" w:cs="Arial" w:eastAsia="Arial" w:hAnsi="Arial"/>
          <w:sz w:val="18"/>
          <w:szCs w:val="18"/>
          <w:color w:val="auto"/>
        </w:rPr>
        <w: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revolving loan facility made available under this agreement as described in Clause 2 (The Facility).</w:t>
      </w:r>
    </w:p>
    <w:p>
      <w:pPr>
        <w:spacing w:after="0" w:line="219" w:lineRule="exact"/>
        <w:rPr>
          <w:sz w:val="20"/>
          <w:szCs w:val="20"/>
          <w:color w:val="auto"/>
        </w:rPr>
      </w:pPr>
    </w:p>
    <w:p>
      <w:pPr>
        <w:jc w:val="both"/>
        <w:ind w:left="3" w:right="240"/>
        <w:spacing w:after="0" w:line="338" w:lineRule="auto"/>
        <w:rPr>
          <w:sz w:val="20"/>
          <w:szCs w:val="20"/>
          <w:color w:val="auto"/>
        </w:rPr>
      </w:pPr>
      <w:r>
        <w:rPr>
          <w:rFonts w:ascii="Arial" w:cs="Arial" w:eastAsia="Arial" w:hAnsi="Arial"/>
          <w:sz w:val="16"/>
          <w:szCs w:val="16"/>
          <w:b w:val="1"/>
          <w:bCs w:val="1"/>
          <w:color w:val="auto"/>
        </w:rPr>
        <w:t xml:space="preserve">Facility Office </w:t>
      </w:r>
      <w:r>
        <w:rPr>
          <w:rFonts w:ascii="Arial" w:cs="Arial" w:eastAsia="Arial" w:hAnsi="Arial"/>
          <w:sz w:val="16"/>
          <w:szCs w:val="16"/>
          <w:color w:val="auto"/>
        </w:rPr>
        <w:t>means the office or offices notified by a Lender to the Agent in writing on or before the date it becomes a Lender (or, following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date, by not less than five Business Days’ written notice) as the office or offices through which it will perform its obligations under this agreement.</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5" w:lineRule="exact"/>
        <w:rPr>
          <w:sz w:val="20"/>
          <w:szCs w:val="20"/>
          <w:color w:val="auto"/>
        </w:rPr>
      </w:pPr>
    </w:p>
    <w:p>
      <w:pPr>
        <w:ind w:left="543" w:hanging="543"/>
        <w:spacing w:after="0"/>
        <w:tabs>
          <w:tab w:leader="none" w:pos="54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19" w:lineRule="exact"/>
        <w:rPr>
          <w:rFonts w:ascii="Arial" w:cs="Arial" w:eastAsia="Arial" w:hAnsi="Arial"/>
          <w:sz w:val="18"/>
          <w:szCs w:val="18"/>
          <w:color w:val="auto"/>
        </w:rPr>
      </w:pPr>
    </w:p>
    <w:p>
      <w:pPr>
        <w:ind w:left="543" w:hanging="543"/>
        <w:spacing w:after="0" w:line="296" w:lineRule="auto"/>
        <w:tabs>
          <w:tab w:leader="none" w:pos="54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57" w:lineRule="exact"/>
        <w:rPr>
          <w:rFonts w:ascii="Arial" w:cs="Arial" w:eastAsia="Arial" w:hAnsi="Arial"/>
          <w:sz w:val="17"/>
          <w:szCs w:val="17"/>
          <w:color w:val="auto"/>
        </w:rPr>
      </w:pPr>
    </w:p>
    <w:p>
      <w:pPr>
        <w:ind w:left="543" w:right="260" w:hanging="543"/>
        <w:spacing w:after="0" w:line="267" w:lineRule="auto"/>
        <w:tabs>
          <w:tab w:leader="none" w:pos="54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179"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23"/>
          </w:cols>
          <w:pgMar w:left="937" w:top="341" w:right="239" w:bottom="1440" w:gutter="0" w:footer="0" w:header="0"/>
        </w:sectPr>
      </w:pPr>
    </w:p>
    <w:bookmarkStart w:id="178" w:name="page179"/>
    <w:bookmarkEnd w:id="178"/>
    <w:p>
      <w:pPr>
        <w:ind w:left="3"/>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5" w:lineRule="exact"/>
        <w:rPr>
          <w:sz w:val="20"/>
          <w:szCs w:val="20"/>
          <w:color w:val="auto"/>
        </w:rPr>
      </w:pPr>
    </w:p>
    <w:p>
      <w:pPr>
        <w:ind w:left="543" w:right="60" w:hanging="543"/>
        <w:spacing w:after="0" w:line="267" w:lineRule="auto"/>
        <w:tabs>
          <w:tab w:leader="none" w:pos="5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178" w:lineRule="exact"/>
        <w:rPr>
          <w:rFonts w:ascii="Arial" w:cs="Arial" w:eastAsia="Arial" w:hAnsi="Arial"/>
          <w:sz w:val="18"/>
          <w:szCs w:val="18"/>
          <w:color w:val="auto"/>
        </w:rPr>
      </w:pPr>
    </w:p>
    <w:p>
      <w:pPr>
        <w:ind w:left="543" w:hanging="543"/>
        <w:spacing w:after="0" w:line="267" w:lineRule="auto"/>
        <w:tabs>
          <w:tab w:leader="none" w:pos="5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 relation to a “passthru payment” described in section 1471(d)(7) of the Code not falling within paragraph (a) or (b) above, 1 January 2019,</w:t>
      </w:r>
    </w:p>
    <w:p>
      <w:pPr>
        <w:spacing w:after="0" w:line="242" w:lineRule="exact"/>
        <w:rPr>
          <w:sz w:val="20"/>
          <w:szCs w:val="20"/>
          <w:color w:val="auto"/>
        </w:rPr>
      </w:pPr>
    </w:p>
    <w:p>
      <w:pPr>
        <w:ind w:left="3" w:right="240"/>
        <w:spacing w:after="0" w:line="267"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FCPA </w:t>
      </w:r>
      <w:r>
        <w:rPr>
          <w:rFonts w:ascii="Arial" w:cs="Arial" w:eastAsia="Arial" w:hAnsi="Arial"/>
          <w:sz w:val="18"/>
          <w:szCs w:val="18"/>
          <w:color w:val="auto"/>
        </w:rPr>
        <w:t>means the United States Foreign Corrupt Practices Act 1977, as amended, and the rules and regulations thereunder.</w:t>
      </w:r>
    </w:p>
    <w:p>
      <w:pPr>
        <w:spacing w:after="0" w:line="219" w:lineRule="exact"/>
        <w:rPr>
          <w:sz w:val="20"/>
          <w:szCs w:val="20"/>
          <w:color w:val="auto"/>
        </w:rPr>
      </w:pPr>
    </w:p>
    <w:p>
      <w:pPr>
        <w:ind w:left="3" w:right="100"/>
        <w:spacing w:after="0" w:line="274" w:lineRule="auto"/>
        <w:rPr>
          <w:sz w:val="20"/>
          <w:szCs w:val="20"/>
          <w:color w:val="auto"/>
        </w:rPr>
      </w:pPr>
      <w:r>
        <w:rPr>
          <w:rFonts w:ascii="Arial" w:cs="Arial" w:eastAsia="Arial" w:hAnsi="Arial"/>
          <w:sz w:val="18"/>
          <w:szCs w:val="18"/>
          <w:b w:val="1"/>
          <w:bCs w:val="1"/>
          <w:color w:val="auto"/>
        </w:rPr>
        <w:t xml:space="preserve">Fee Letter </w:t>
      </w:r>
      <w:r>
        <w:rPr>
          <w:rFonts w:ascii="Arial" w:cs="Arial" w:eastAsia="Arial" w:hAnsi="Arial"/>
          <w:sz w:val="18"/>
          <w:szCs w:val="18"/>
          <w:color w:val="auto"/>
        </w:rPr>
        <w:t>means any letter or letters referring to this agreement or the Facility between one or more Administrative Parties and the Borrower setting</w:t>
      </w:r>
      <w:r>
        <w:rPr>
          <w:rFonts w:ascii="Arial" w:cs="Arial" w:eastAsia="Arial" w:hAnsi="Arial"/>
          <w:sz w:val="18"/>
          <w:szCs w:val="18"/>
          <w:b w:val="1"/>
          <w:bCs w:val="1"/>
          <w:color w:val="auto"/>
        </w:rPr>
        <w:t xml:space="preserve"> </w:t>
      </w:r>
      <w:r>
        <w:rPr>
          <w:rFonts w:ascii="Arial" w:cs="Arial" w:eastAsia="Arial" w:hAnsi="Arial"/>
          <w:sz w:val="18"/>
          <w:szCs w:val="18"/>
          <w:color w:val="auto"/>
        </w:rPr>
        <w:t>out any of the fees referred to in Clause 11 (Fees).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the date falling 36 Months after the date of this agreement.</w:t>
      </w:r>
    </w:p>
    <w:p>
      <w:pPr>
        <w:spacing w:after="0" w:line="219" w:lineRule="exact"/>
        <w:rPr>
          <w:sz w:val="20"/>
          <w:szCs w:val="20"/>
          <w:color w:val="auto"/>
        </w:rPr>
      </w:pPr>
    </w:p>
    <w:p>
      <w:pPr>
        <w:ind w:left="3" w:right="20"/>
        <w:spacing w:after="0" w:line="274" w:lineRule="auto"/>
        <w:rPr>
          <w:sz w:val="20"/>
          <w:szCs w:val="20"/>
          <w:color w:val="auto"/>
        </w:rPr>
      </w:pPr>
      <w:r>
        <w:rPr>
          <w:rFonts w:ascii="Arial" w:cs="Arial" w:eastAsia="Arial" w:hAnsi="Arial"/>
          <w:sz w:val="18"/>
          <w:szCs w:val="18"/>
          <w:b w:val="1"/>
          <w:bCs w:val="1"/>
          <w:color w:val="auto"/>
        </w:rPr>
        <w:t xml:space="preserve">Finance Document </w:t>
      </w:r>
      <w:r>
        <w:rPr>
          <w:rFonts w:ascii="Arial" w:cs="Arial" w:eastAsia="Arial" w:hAnsi="Arial"/>
          <w:sz w:val="18"/>
          <w:szCs w:val="18"/>
          <w:color w:val="auto"/>
        </w:rPr>
        <w:t>means this agreement, the Fee Letters, any Utilisation Request, any Compliance Certificate and any other document designated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by the Agent and the Borrower.</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a MLAB or a Lender.</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5" w:lineRule="exact"/>
        <w:rPr>
          <w:sz w:val="20"/>
          <w:szCs w:val="20"/>
          <w:color w:val="auto"/>
        </w:rPr>
      </w:pPr>
    </w:p>
    <w:p>
      <w:pPr>
        <w:ind w:left="543" w:hanging="543"/>
        <w:spacing w:after="0"/>
        <w:tabs>
          <w:tab w:leader="none" w:pos="54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moneys borrowed;</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amount raised pursuant to any bond, note, debenture, loan stock or any similar instrument;</w:t>
      </w:r>
    </w:p>
    <w:p>
      <w:pPr>
        <w:spacing w:after="0" w:line="219" w:lineRule="exact"/>
        <w:rPr>
          <w:rFonts w:ascii="Arial" w:cs="Arial" w:eastAsia="Arial" w:hAnsi="Arial"/>
          <w:sz w:val="18"/>
          <w:szCs w:val="18"/>
          <w:color w:val="auto"/>
        </w:rPr>
      </w:pPr>
    </w:p>
    <w:p>
      <w:pPr>
        <w:ind w:left="543" w:right="300" w:hanging="543"/>
        <w:spacing w:after="0" w:line="267" w:lineRule="auto"/>
        <w:tabs>
          <w:tab w:leader="none" w:pos="5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amount of any liability in respect of any finance lease or hire purchase contract which would, in accordance with GAAP, be treated as a balance sheet liability;</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19" w:lineRule="exact"/>
        <w:rPr>
          <w:rFonts w:ascii="Arial" w:cs="Arial" w:eastAsia="Arial" w:hAnsi="Arial"/>
          <w:sz w:val="18"/>
          <w:szCs w:val="18"/>
          <w:color w:val="auto"/>
        </w:rPr>
      </w:pPr>
    </w:p>
    <w:p>
      <w:pPr>
        <w:ind w:left="543" w:right="740" w:hanging="543"/>
        <w:spacing w:after="0" w:line="267" w:lineRule="auto"/>
        <w:tabs>
          <w:tab w:leader="none" w:pos="54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w:t>
      </w:r>
    </w:p>
    <w:p>
      <w:pPr>
        <w:spacing w:after="0" w:line="179"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23"/>
          </w:cols>
          <w:pgMar w:left="937" w:top="334" w:right="239" w:bottom="1440" w:gutter="0" w:footer="0" w:header="0"/>
        </w:sectPr>
      </w:pPr>
    </w:p>
    <w:bookmarkStart w:id="179" w:name="page180"/>
    <w:bookmarkEnd w:id="179"/>
    <w:p>
      <w:pPr>
        <w:ind w:left="600" w:right="460" w:hanging="543"/>
        <w:spacing w:after="0" w:line="279" w:lineRule="auto"/>
        <w:tabs>
          <w:tab w:leader="none" w:pos="61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70" w:lineRule="exact"/>
        <w:rPr>
          <w:rFonts w:ascii="Arial" w:cs="Arial" w:eastAsia="Arial" w:hAnsi="Arial"/>
          <w:sz w:val="17"/>
          <w:szCs w:val="17"/>
          <w:color w:val="auto"/>
        </w:rPr>
      </w:pPr>
    </w:p>
    <w:p>
      <w:pPr>
        <w:ind w:left="600" w:right="80" w:hanging="543"/>
        <w:spacing w:after="0" w:line="267" w:lineRule="auto"/>
        <w:tabs>
          <w:tab w:leader="none" w:pos="60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and/or</w:t>
      </w:r>
    </w:p>
    <w:p>
      <w:pPr>
        <w:spacing w:after="0" w:line="178" w:lineRule="exact"/>
        <w:rPr>
          <w:rFonts w:ascii="Arial" w:cs="Arial" w:eastAsia="Arial" w:hAnsi="Arial"/>
          <w:sz w:val="18"/>
          <w:szCs w:val="18"/>
          <w:color w:val="auto"/>
        </w:rPr>
      </w:pPr>
    </w:p>
    <w:p>
      <w:pPr>
        <w:ind w:left="600" w:hanging="543"/>
        <w:spacing w:after="0" w:line="267" w:lineRule="auto"/>
        <w:tabs>
          <w:tab w:leader="none" w:pos="61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or similar assurance against financial loss for any of the items referred to in paragraphs (a) to (h) above.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Financial Quarter </w:t>
      </w:r>
      <w:r>
        <w:rPr>
          <w:rFonts w:ascii="Arial" w:cs="Arial" w:eastAsia="Arial" w:hAnsi="Arial"/>
          <w:sz w:val="18"/>
          <w:szCs w:val="18"/>
          <w:color w:val="auto"/>
        </w:rPr>
        <w:t>means the period commencing on the day after one Quarter Date and ending on the next Quarter Date.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Funding Rate </w:t>
      </w:r>
      <w:r>
        <w:rPr>
          <w:rFonts w:ascii="Arial" w:cs="Arial" w:eastAsia="Arial" w:hAnsi="Arial"/>
          <w:sz w:val="17"/>
          <w:szCs w:val="17"/>
          <w:color w:val="auto"/>
        </w:rPr>
        <w:t>means any individual rate notified by a Lender to the Agent pursuant to paragraph (a)(ii) of Clause 10.4 (Cost of funds).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w:t>
      </w:r>
    </w:p>
    <w:p>
      <w:pPr>
        <w:spacing w:after="0" w:line="219" w:lineRule="exact"/>
        <w:rPr>
          <w:sz w:val="20"/>
          <w:szCs w:val="20"/>
          <w:color w:val="auto"/>
        </w:rPr>
      </w:pPr>
    </w:p>
    <w:p>
      <w:pPr>
        <w:ind w:left="60" w:right="100"/>
        <w:spacing w:after="0" w:line="274" w:lineRule="auto"/>
        <w:rPr>
          <w:sz w:val="20"/>
          <w:szCs w:val="20"/>
          <w:color w:val="auto"/>
        </w:rPr>
      </w:pPr>
      <w:r>
        <w:rPr>
          <w:rFonts w:ascii="Arial" w:cs="Arial" w:eastAsia="Arial" w:hAnsi="Arial"/>
          <w:sz w:val="18"/>
          <w:szCs w:val="18"/>
          <w:b w:val="1"/>
          <w:bCs w:val="1"/>
          <w:color w:val="auto"/>
        </w:rPr>
        <w:t xml:space="preserve">Governmental Agency </w:t>
      </w:r>
      <w:r>
        <w:rPr>
          <w:rFonts w:ascii="Arial" w:cs="Arial" w:eastAsia="Arial" w:hAnsi="Arial"/>
          <w:sz w:val="18"/>
          <w:szCs w:val="18"/>
          <w:color w:val="auto"/>
        </w:rPr>
        <w:t>means any government or any governmental agency, semi-governmental or judicial entity or authority (including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or any self-regulatory organisation established under statute).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Borrower and its Subsidiaries from time to time.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person, any other person in respect of which it is a Subsidiary.</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5" w:lineRule="exact"/>
        <w:rPr>
          <w:sz w:val="20"/>
          <w:szCs w:val="20"/>
          <w:color w:val="auto"/>
        </w:rPr>
      </w:pPr>
    </w:p>
    <w:p>
      <w:pPr>
        <w:ind w:left="600" w:right="140" w:hanging="543"/>
        <w:spacing w:after="0" w:line="267" w:lineRule="auto"/>
        <w:tabs>
          <w:tab w:leader="none" w:pos="5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78" w:lineRule="exact"/>
        <w:rPr>
          <w:rFonts w:ascii="Arial" w:cs="Arial" w:eastAsia="Arial" w:hAnsi="Arial"/>
          <w:sz w:val="18"/>
          <w:szCs w:val="18"/>
          <w:color w:val="auto"/>
        </w:rPr>
      </w:pPr>
    </w:p>
    <w:p>
      <w:pPr>
        <w:ind w:left="620" w:hanging="563"/>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13" w:lineRule="exact"/>
        <w:rPr>
          <w:rFonts w:ascii="Arial" w:cs="Arial" w:eastAsia="Arial" w:hAnsi="Arial"/>
          <w:sz w:val="18"/>
          <w:szCs w:val="18"/>
          <w:color w:val="auto"/>
        </w:rPr>
      </w:pPr>
    </w:p>
    <w:p>
      <w:pPr>
        <w:ind w:left="620" w:hanging="563"/>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620" w:hanging="563"/>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unless, in the case of paragraph (a) above:</w:t>
      </w:r>
    </w:p>
    <w:p>
      <w:pPr>
        <w:spacing w:after="0" w:line="219" w:lineRule="exact"/>
        <w:rPr>
          <w:rFonts w:ascii="Arial" w:cs="Arial" w:eastAsia="Arial" w:hAnsi="Arial"/>
          <w:sz w:val="18"/>
          <w:szCs w:val="18"/>
          <w:color w:val="auto"/>
        </w:rPr>
      </w:pPr>
    </w:p>
    <w:p>
      <w:pPr>
        <w:ind w:left="1180" w:hanging="611"/>
        <w:spacing w:after="0"/>
        <w:tabs>
          <w:tab w:leader="none" w:pos="11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19" w:lineRule="exact"/>
        <w:rPr>
          <w:rFonts w:ascii="Arial" w:cs="Arial" w:eastAsia="Arial" w:hAnsi="Arial"/>
          <w:sz w:val="18"/>
          <w:szCs w:val="18"/>
          <w:color w:val="auto"/>
        </w:rPr>
      </w:pPr>
    </w:p>
    <w:p>
      <w:pPr>
        <w:ind w:left="1780" w:hanging="611"/>
        <w:spacing w:after="0"/>
        <w:tabs>
          <w:tab w:leader="none" w:pos="178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19" w:lineRule="exact"/>
        <w:rPr>
          <w:rFonts w:ascii="Arial" w:cs="Arial" w:eastAsia="Arial" w:hAnsi="Arial"/>
          <w:sz w:val="18"/>
          <w:szCs w:val="18"/>
          <w:color w:val="auto"/>
        </w:rPr>
      </w:pPr>
    </w:p>
    <w:p>
      <w:pPr>
        <w:ind w:left="1760" w:hanging="591"/>
        <w:spacing w:after="0"/>
        <w:tabs>
          <w:tab w:leader="none" w:pos="176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such payment is made within five Business Days of its due date; or</w:t>
      </w:r>
    </w:p>
    <w:p>
      <w:pPr>
        <w:spacing w:after="0" w:line="219" w:lineRule="exact"/>
        <w:rPr>
          <w:sz w:val="20"/>
          <w:szCs w:val="20"/>
          <w:color w:val="auto"/>
        </w:rPr>
      </w:pPr>
    </w:p>
    <w:p>
      <w:pPr>
        <w:ind w:left="1200" w:hanging="631"/>
        <w:spacing w:after="0"/>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13"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b w:val="1"/>
          <w:bCs w:val="1"/>
          <w:color w:val="auto"/>
        </w:rPr>
        <w:t xml:space="preserve">Increase Confirmation </w:t>
      </w:r>
      <w:r>
        <w:rPr>
          <w:rFonts w:ascii="Arial" w:cs="Arial" w:eastAsia="Arial" w:hAnsi="Arial"/>
          <w:sz w:val="18"/>
          <w:szCs w:val="18"/>
          <w:color w:val="auto"/>
        </w:rPr>
        <w:t>means a confirmation substantially in the form set out in Schedule 9 (</w:t>
      </w:r>
      <w:r>
        <w:rPr>
          <w:rFonts w:ascii="Arial" w:cs="Arial" w:eastAsia="Arial" w:hAnsi="Arial"/>
          <w:sz w:val="18"/>
          <w:szCs w:val="18"/>
          <w:i w:val="1"/>
          <w:iCs w:val="1"/>
          <w:color w:val="auto"/>
        </w:rPr>
        <w:t>Form of Increase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in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between the Agent and the Borrower</w:t>
      </w:r>
      <w:r>
        <w:rPr>
          <w:rFonts w:ascii="Arial" w:cs="Arial" w:eastAsia="Arial" w:hAnsi="Arial"/>
          <w:sz w:val="18"/>
          <w:szCs w:val="18"/>
          <w:i w:val="1"/>
          <w:iCs w:val="1"/>
          <w:color w:val="auto"/>
        </w:rPr>
        <w:t>.</w:t>
      </w:r>
    </w:p>
    <w:p>
      <w:pPr>
        <w:spacing w:after="0" w:line="17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77470</wp:posOffset>
            </wp:positionV>
            <wp:extent cx="726948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40"/>
          </w:cols>
          <w:pgMar w:left="880" w:top="340" w:right="3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 xml:space="preserve">Indirect Tax </w:t>
      </w:r>
      <w:r>
        <w:rPr>
          <w:rFonts w:ascii="Arial" w:cs="Arial" w:eastAsia="Arial" w:hAnsi="Arial"/>
          <w:sz w:val="18"/>
          <w:szCs w:val="18"/>
          <w:color w:val="auto"/>
        </w:rPr>
        <w:t>means any goods and services tax, consumption tax, value added tax or any tax of a similar nature.</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Information Memorandum </w:t>
      </w:r>
      <w:r>
        <w:rPr>
          <w:rFonts w:ascii="Arial" w:cs="Arial" w:eastAsia="Arial" w:hAnsi="Arial"/>
          <w:sz w:val="18"/>
          <w:szCs w:val="18"/>
          <w:color w:val="auto"/>
        </w:rPr>
        <w:t>means the document in the form approved by the Borrower concerning, among other things, the Group which,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request and on its behalf, has been prepared in relation to the Facility and has been or will be distributed by the MLABs in connection with the syndication of the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an entity, means that the entity:</w:t>
      </w:r>
    </w:p>
    <w:p>
      <w:pPr>
        <w:spacing w:after="0" w:line="225" w:lineRule="exact"/>
        <w:rPr>
          <w:sz w:val="20"/>
          <w:szCs w:val="20"/>
          <w:color w:val="auto"/>
        </w:rPr>
      </w:pPr>
    </w:p>
    <w:p>
      <w:pPr>
        <w:ind w:left="600" w:hanging="543"/>
        <w:spacing w:after="0"/>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19" w:lineRule="exact"/>
        <w:rPr>
          <w:rFonts w:ascii="Arial" w:cs="Arial" w:eastAsia="Arial" w:hAnsi="Arial"/>
          <w:sz w:val="18"/>
          <w:szCs w:val="18"/>
          <w:color w:val="auto"/>
        </w:rPr>
      </w:pPr>
    </w:p>
    <w:p>
      <w:pPr>
        <w:ind w:left="620" w:hanging="563"/>
        <w:spacing w:after="0"/>
        <w:tabs>
          <w:tab w:leader="none" w:pos="6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becomes insolvent or is unable to pay its debts or fails or admits in writing its inability generally to pay its debts as they become due;</w:t>
      </w:r>
    </w:p>
    <w:p>
      <w:pPr>
        <w:spacing w:after="0" w:line="230" w:lineRule="exact"/>
        <w:rPr>
          <w:rFonts w:ascii="Arial" w:cs="Arial" w:eastAsia="Arial" w:hAnsi="Arial"/>
          <w:sz w:val="17"/>
          <w:szCs w:val="17"/>
          <w:color w:val="auto"/>
        </w:rPr>
      </w:pPr>
    </w:p>
    <w:p>
      <w:pPr>
        <w:ind w:left="620" w:hanging="563"/>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19" w:lineRule="exact"/>
        <w:rPr>
          <w:rFonts w:ascii="Arial" w:cs="Arial" w:eastAsia="Arial" w:hAnsi="Arial"/>
          <w:sz w:val="18"/>
          <w:szCs w:val="18"/>
          <w:color w:val="auto"/>
        </w:rPr>
      </w:pPr>
    </w:p>
    <w:p>
      <w:pPr>
        <w:ind w:left="600" w:right="100" w:hanging="543"/>
        <w:spacing w:after="0" w:line="295" w:lineRule="auto"/>
        <w:tabs>
          <w:tab w:leader="none" w:pos="60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60" w:lineRule="exact"/>
        <w:rPr>
          <w:rFonts w:ascii="Arial" w:cs="Arial" w:eastAsia="Arial" w:hAnsi="Arial"/>
          <w:sz w:val="16"/>
          <w:szCs w:val="16"/>
          <w:color w:val="auto"/>
        </w:rPr>
      </w:pPr>
    </w:p>
    <w:p>
      <w:pPr>
        <w:ind w:left="600" w:right="140" w:hanging="543"/>
        <w:spacing w:after="0" w:line="253" w:lineRule="auto"/>
        <w:tabs>
          <w:tab w:leader="none" w:pos="60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92" w:lineRule="exact"/>
        <w:rPr>
          <w:rFonts w:ascii="Arial" w:cs="Arial" w:eastAsia="Arial" w:hAnsi="Arial"/>
          <w:sz w:val="18"/>
          <w:szCs w:val="18"/>
          <w:color w:val="auto"/>
        </w:rPr>
      </w:pPr>
    </w:p>
    <w:p>
      <w:pPr>
        <w:ind w:left="1120" w:right="340" w:hanging="551"/>
        <w:spacing w:after="0" w:line="267" w:lineRule="auto"/>
        <w:tabs>
          <w:tab w:leader="none" w:pos="113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78" w:lineRule="exact"/>
        <w:rPr>
          <w:rFonts w:ascii="Arial" w:cs="Arial" w:eastAsia="Arial" w:hAnsi="Arial"/>
          <w:sz w:val="18"/>
          <w:szCs w:val="18"/>
          <w:color w:val="auto"/>
        </w:rPr>
      </w:pPr>
    </w:p>
    <w:p>
      <w:pPr>
        <w:ind w:left="1140" w:hanging="571"/>
        <w:spacing w:after="0"/>
        <w:tabs>
          <w:tab w:leader="none" w:pos="11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19" w:lineRule="exact"/>
        <w:rPr>
          <w:rFonts w:ascii="Arial" w:cs="Arial" w:eastAsia="Arial" w:hAnsi="Arial"/>
          <w:sz w:val="18"/>
          <w:szCs w:val="18"/>
          <w:color w:val="auto"/>
        </w:rPr>
      </w:pPr>
    </w:p>
    <w:p>
      <w:pPr>
        <w:ind w:left="600" w:right="540" w:hanging="543"/>
        <w:spacing w:after="0" w:line="267" w:lineRule="auto"/>
        <w:tabs>
          <w:tab w:leader="none" w:pos="6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78" w:lineRule="exact"/>
        <w:rPr>
          <w:rFonts w:ascii="Arial" w:cs="Arial" w:eastAsia="Arial" w:hAnsi="Arial"/>
          <w:sz w:val="18"/>
          <w:szCs w:val="18"/>
          <w:color w:val="auto"/>
        </w:rPr>
      </w:pPr>
    </w:p>
    <w:p>
      <w:pPr>
        <w:jc w:val="both"/>
        <w:ind w:left="600" w:right="400" w:hanging="543"/>
        <w:spacing w:after="0" w:line="304" w:lineRule="auto"/>
        <w:tabs>
          <w:tab w:leader="none" w:pos="61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53" w:lineRule="exact"/>
        <w:rPr>
          <w:rFonts w:ascii="Arial" w:cs="Arial" w:eastAsia="Arial" w:hAnsi="Arial"/>
          <w:sz w:val="16"/>
          <w:szCs w:val="16"/>
          <w:color w:val="auto"/>
        </w:rPr>
      </w:pPr>
    </w:p>
    <w:p>
      <w:pPr>
        <w:ind w:left="600" w:right="340" w:hanging="543"/>
        <w:spacing w:after="0" w:line="279" w:lineRule="auto"/>
        <w:tabs>
          <w:tab w:leader="none" w:pos="60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70" w:lineRule="exact"/>
        <w:rPr>
          <w:rFonts w:ascii="Arial" w:cs="Arial" w:eastAsia="Arial" w:hAnsi="Arial"/>
          <w:sz w:val="17"/>
          <w:szCs w:val="17"/>
          <w:color w:val="auto"/>
        </w:rPr>
      </w:pPr>
    </w:p>
    <w:p>
      <w:pPr>
        <w:ind w:left="600" w:right="180" w:hanging="543"/>
        <w:spacing w:after="0" w:line="267" w:lineRule="auto"/>
        <w:tabs>
          <w:tab w:leader="none" w:pos="61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77470</wp:posOffset>
            </wp:positionV>
            <wp:extent cx="726948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20"/>
          </w:cols>
          <w:pgMar w:left="880" w:top="334" w:right="299" w:bottom="1440" w:gutter="0" w:footer="0" w:header="0"/>
        </w:sectPr>
      </w:pPr>
    </w:p>
    <w:bookmarkStart w:id="181" w:name="page182"/>
    <w:bookmarkEnd w:id="181"/>
    <w:p>
      <w:pPr>
        <w:ind w:left="563" w:hanging="563"/>
        <w:spacing w:after="0"/>
        <w:tabs>
          <w:tab w:leader="none" w:pos="56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w:t>
      </w:r>
    </w:p>
    <w:p>
      <w:pPr>
        <w:spacing w:after="0" w:line="225" w:lineRule="exact"/>
        <w:rPr>
          <w:sz w:val="20"/>
          <w:szCs w:val="20"/>
          <w:color w:val="auto"/>
        </w:rPr>
      </w:pPr>
    </w:p>
    <w:p>
      <w:pPr>
        <w:ind w:left="543" w:hanging="543"/>
        <w:spacing w:after="0"/>
        <w:tabs>
          <w:tab w:leader="none" w:pos="54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relation to a Loan, each period determined in accordance with Clause 9 (Interest Periods); and</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relation to an Unpaid Sum, each period determined in accordance with Clause 8.3 (Default interest).</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Interpolated Screen Rate </w:t>
      </w:r>
      <w:r>
        <w:rPr>
          <w:rFonts w:ascii="Arial" w:cs="Arial" w:eastAsia="Arial" w:hAnsi="Arial"/>
          <w:sz w:val="16"/>
          <w:szCs w:val="16"/>
          <w:color w:val="auto"/>
        </w:rPr>
        <w:t>means, in relation to any Loan, the rate (rounded to the same number of decimal places as the two relevant Screen Rates)</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8"/>
          <w:szCs w:val="18"/>
          <w:color w:val="auto"/>
        </w:rPr>
        <w:t>which results from interpolating on a linear basis between:</w:t>
      </w:r>
    </w:p>
    <w:p>
      <w:pPr>
        <w:spacing w:after="0" w:line="208" w:lineRule="exact"/>
        <w:rPr>
          <w:sz w:val="20"/>
          <w:szCs w:val="20"/>
          <w:color w:val="auto"/>
        </w:rPr>
      </w:pPr>
    </w:p>
    <w:p>
      <w:pPr>
        <w:ind w:left="543" w:right="200" w:hanging="543"/>
        <w:spacing w:after="0" w:line="267" w:lineRule="auto"/>
        <w:tabs>
          <w:tab w:leader="none" w:pos="5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Interest Period of that Loan; and</w:t>
      </w:r>
    </w:p>
    <w:p>
      <w:pPr>
        <w:spacing w:after="0" w:line="178" w:lineRule="exact"/>
        <w:rPr>
          <w:rFonts w:ascii="Arial" w:cs="Arial" w:eastAsia="Arial" w:hAnsi="Arial"/>
          <w:sz w:val="18"/>
          <w:szCs w:val="18"/>
          <w:color w:val="auto"/>
        </w:rPr>
      </w:pPr>
    </w:p>
    <w:p>
      <w:pPr>
        <w:ind w:left="3" w:right="360" w:hanging="3"/>
        <w:spacing w:after="0" w:line="490" w:lineRule="auto"/>
        <w:tabs>
          <w:tab w:leader="none" w:pos="55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Interest Period of that Loan, each as of the Specified Time on the Quotation Day for the currency of that Loan.</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Latest Consolidated Balance Sheet </w:t>
      </w:r>
      <w:r>
        <w:rPr>
          <w:rFonts w:ascii="Arial" w:cs="Arial" w:eastAsia="Arial" w:hAnsi="Arial"/>
          <w:sz w:val="18"/>
          <w:szCs w:val="18"/>
          <w:color w:val="auto"/>
        </w:rPr>
        <w:t>has the meaning given to it in Clause 19.1 (Financial definitions).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5" w:lineRule="exact"/>
        <w:rPr>
          <w:sz w:val="20"/>
          <w:szCs w:val="20"/>
          <w:color w:val="auto"/>
        </w:rPr>
      </w:pPr>
    </w:p>
    <w:p>
      <w:pPr>
        <w:ind w:left="543" w:hanging="543"/>
        <w:spacing w:after="0" w:line="257" w:lineRule="auto"/>
        <w:tabs>
          <w:tab w:leader="none" w:pos="5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principle that certain (including equitable) remedies may be granted or refused at the discretion of a court, the principle of reasonableness and fairness where implied by law and the limitation of enforcement by laws relating to bankruptcy, insolvency, reorganisation, court schemes, administration, moratoria and other laws generally affecting the rights of creditors;</w:t>
      </w:r>
    </w:p>
    <w:p>
      <w:pPr>
        <w:spacing w:after="0" w:line="187" w:lineRule="exact"/>
        <w:rPr>
          <w:rFonts w:ascii="Arial" w:cs="Arial" w:eastAsia="Arial" w:hAnsi="Arial"/>
          <w:sz w:val="18"/>
          <w:szCs w:val="18"/>
          <w:color w:val="auto"/>
        </w:rPr>
      </w:pPr>
    </w:p>
    <w:p>
      <w:pPr>
        <w:ind w:left="543" w:right="380" w:hanging="543"/>
        <w:spacing w:after="0" w:line="330" w:lineRule="auto"/>
        <w:tabs>
          <w:tab w:leader="none" w:pos="54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time barring of claims under applicable statutes of limitation (or equivalent legislation), the possibility that an undertaking to assume liability for or indemnify a person against non-payment of stamp duty may be void and defences of acquiescence, set off or counterclaim;</w:t>
      </w:r>
    </w:p>
    <w:p>
      <w:pPr>
        <w:spacing w:after="0" w:line="133" w:lineRule="exact"/>
        <w:rPr>
          <w:rFonts w:ascii="Arial" w:cs="Arial" w:eastAsia="Arial" w:hAnsi="Arial"/>
          <w:sz w:val="16"/>
          <w:szCs w:val="16"/>
          <w:color w:val="auto"/>
        </w:rPr>
      </w:pPr>
    </w:p>
    <w:p>
      <w:pPr>
        <w:ind w:left="543" w:right="200" w:hanging="543"/>
        <w:spacing w:after="0" w:line="267" w:lineRule="auto"/>
        <w:tabs>
          <w:tab w:leader="none" w:pos="5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similar principles, rights and defences in respect of the enforceability of a contract, agreement or undertaking under the laws of any relevant jurisdiction;</w:t>
      </w:r>
    </w:p>
    <w:p>
      <w:pPr>
        <w:spacing w:after="0" w:line="178" w:lineRule="exact"/>
        <w:rPr>
          <w:rFonts w:ascii="Arial" w:cs="Arial" w:eastAsia="Arial" w:hAnsi="Arial"/>
          <w:sz w:val="18"/>
          <w:szCs w:val="18"/>
          <w:color w:val="auto"/>
        </w:rPr>
      </w:pPr>
    </w:p>
    <w:p>
      <w:pPr>
        <w:ind w:left="543" w:right="240" w:hanging="543"/>
        <w:spacing w:after="0" w:line="267" w:lineRule="auto"/>
        <w:tabs>
          <w:tab w:leader="none" w:pos="5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principle that additional interest imposed pursuant to any relevant agreement may be held to be unenforceable on the grounds that it is a penalty and thus void;</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principle that a court may not give effect to an indemnity for legal costs incurred by an unsuccessful litigant; and</w:t>
      </w:r>
    </w:p>
    <w:p>
      <w:pPr>
        <w:spacing w:after="0" w:line="219" w:lineRule="exact"/>
        <w:rPr>
          <w:rFonts w:ascii="Arial" w:cs="Arial" w:eastAsia="Arial" w:hAnsi="Arial"/>
          <w:sz w:val="18"/>
          <w:szCs w:val="18"/>
          <w:color w:val="auto"/>
        </w:rPr>
      </w:pPr>
    </w:p>
    <w:p>
      <w:pPr>
        <w:ind w:left="543" w:right="40" w:hanging="543"/>
        <w:spacing w:after="0" w:line="253" w:lineRule="auto"/>
        <w:tabs>
          <w:tab w:leader="none" w:pos="5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and which are set out in the legal opinions required to be delivered under this agreement (as if references therein to any document to which such legal opinions apply were references to any document to which any representation or warranty under any Finance Document (which is qualified by the Legal Reservations) relates).</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5" w:lineRule="exact"/>
        <w:rPr>
          <w:sz w:val="20"/>
          <w:szCs w:val="20"/>
          <w:color w:val="auto"/>
        </w:rPr>
      </w:pPr>
    </w:p>
    <w:p>
      <w:pPr>
        <w:ind w:left="543" w:hanging="543"/>
        <w:spacing w:after="0"/>
        <w:tabs>
          <w:tab w:leader="none" w:pos="54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219"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03"/>
          </w:cols>
          <w:pgMar w:left="937" w:top="340" w:right="259" w:bottom="1440" w:gutter="0" w:footer="0" w:header="0"/>
        </w:sectPr>
      </w:pPr>
    </w:p>
    <w:bookmarkStart w:id="182" w:name="page183"/>
    <w:bookmarkEnd w:id="182"/>
    <w:p>
      <w:pPr>
        <w:ind w:left="3" w:right="360" w:hanging="3"/>
        <w:spacing w:after="0" w:line="490" w:lineRule="auto"/>
        <w:tabs>
          <w:tab w:leader="none" w:pos="55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in accordance with Clause 22 (Changes to the Parties), which in each case has not ceased to be a Party in accordance with the terms of this agreement.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Leverage </w:t>
      </w:r>
      <w:r>
        <w:rPr>
          <w:rFonts w:ascii="Arial" w:cs="Arial" w:eastAsia="Arial" w:hAnsi="Arial"/>
          <w:sz w:val="18"/>
          <w:szCs w:val="18"/>
          <w:color w:val="auto"/>
        </w:rPr>
        <w:t>has the meaning given to it in Clause 19.1 (Financial definitions).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Loan:</w:t>
      </w:r>
    </w:p>
    <w:p>
      <w:pPr>
        <w:spacing w:after="0" w:line="225" w:lineRule="exact"/>
        <w:rPr>
          <w:sz w:val="20"/>
          <w:szCs w:val="20"/>
          <w:color w:val="auto"/>
        </w:rPr>
      </w:pPr>
    </w:p>
    <w:p>
      <w:pPr>
        <w:ind w:left="543" w:right="120" w:hanging="543"/>
        <w:spacing w:after="0" w:line="267" w:lineRule="auto"/>
        <w:tabs>
          <w:tab w:leader="none" w:pos="5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applicable Screen Rate as of the Specified Time for the currency of that Loan and for a period equal in length to the Interest Period of that Loan; or</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otherwise determined pursuant to Clause 11.1 (Unavailability of Screen Rate),</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a loan made or to be made under the Facility or the principal amount outstanding for the time being of that loan.</w:t>
      </w:r>
    </w:p>
    <w:p>
      <w:pPr>
        <w:spacing w:after="0" w:line="219" w:lineRule="exact"/>
        <w:rPr>
          <w:sz w:val="20"/>
          <w:szCs w:val="20"/>
          <w:color w:val="auto"/>
        </w:rPr>
      </w:pPr>
    </w:p>
    <w:p>
      <w:pPr>
        <w:ind w:left="3" w:right="160"/>
        <w:spacing w:after="0" w:line="274" w:lineRule="auto"/>
        <w:rPr>
          <w:sz w:val="20"/>
          <w:szCs w:val="20"/>
          <w:color w:val="auto"/>
        </w:rPr>
      </w:pPr>
      <w:r>
        <w:rPr>
          <w:rFonts w:ascii="Arial" w:cs="Arial" w:eastAsia="Arial" w:hAnsi="Arial"/>
          <w:sz w:val="18"/>
          <w:szCs w:val="18"/>
          <w:b w:val="1"/>
          <w:bCs w:val="1"/>
          <w:color w:val="auto"/>
        </w:rPr>
        <w:t xml:space="preserve">London Business Day </w:t>
      </w:r>
      <w:r>
        <w:rPr>
          <w:rFonts w:ascii="Arial" w:cs="Arial" w:eastAsia="Arial" w:hAnsi="Arial"/>
          <w:sz w:val="18"/>
          <w:szCs w:val="18"/>
          <w:color w:val="auto"/>
        </w:rPr>
        <w:t>means a day (other than a Saturday or Sunday) on which commercial banks are open for general business, including dealings</w:t>
      </w:r>
      <w:r>
        <w:rPr>
          <w:rFonts w:ascii="Arial" w:cs="Arial" w:eastAsia="Arial" w:hAnsi="Arial"/>
          <w:sz w:val="18"/>
          <w:szCs w:val="18"/>
          <w:b w:val="1"/>
          <w:bCs w:val="1"/>
          <w:color w:val="auto"/>
        </w:rPr>
        <w:t xml:space="preserve"> </w:t>
      </w:r>
      <w:r>
        <w:rPr>
          <w:rFonts w:ascii="Arial" w:cs="Arial" w:eastAsia="Arial" w:hAnsi="Arial"/>
          <w:sz w:val="18"/>
          <w:szCs w:val="18"/>
          <w:color w:val="auto"/>
        </w:rPr>
        <w:t>in interbank deposits in London.</w:t>
      </w:r>
    </w:p>
    <w:p>
      <w:pPr>
        <w:spacing w:after="0" w:line="167" w:lineRule="exact"/>
        <w:rPr>
          <w:sz w:val="20"/>
          <w:szCs w:val="20"/>
          <w:color w:val="auto"/>
        </w:rPr>
      </w:pPr>
    </w:p>
    <w:p>
      <w:pPr>
        <w:ind w:left="3" w:right="340"/>
        <w:spacing w:after="0" w:line="282" w:lineRule="auto"/>
        <w:rPr>
          <w:sz w:val="20"/>
          <w:szCs w:val="20"/>
          <w:color w:val="auto"/>
        </w:rPr>
      </w:pPr>
      <w:r>
        <w:rPr>
          <w:rFonts w:ascii="Arial" w:cs="Arial" w:eastAsia="Arial" w:hAnsi="Arial"/>
          <w:sz w:val="16"/>
          <w:szCs w:val="16"/>
          <w:b w:val="1"/>
          <w:bCs w:val="1"/>
          <w:color w:val="auto"/>
        </w:rPr>
        <w:t xml:space="preserve">Majority Lenders </w:t>
      </w:r>
      <w:r>
        <w:rPr>
          <w:rFonts w:ascii="Arial" w:cs="Arial" w:eastAsia="Arial" w:hAnsi="Arial"/>
          <w:sz w:val="16"/>
          <w:szCs w:val="16"/>
          <w:color w:val="auto"/>
        </w:rPr>
        <w:t>means a Lender or Lenders whose Commitments aggregate more than 66</w:t>
      </w:r>
      <w:r>
        <w:rPr>
          <w:rFonts w:ascii="Arial" w:cs="Arial" w:eastAsia="Arial" w:hAnsi="Arial"/>
          <w:sz w:val="21"/>
          <w:szCs w:val="21"/>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b w:val="1"/>
          <w:bCs w:val="1"/>
          <w:color w:val="auto"/>
        </w:rPr>
        <w:t xml:space="preserve"> </w:t>
      </w:r>
      <w:r>
        <w:rPr>
          <w:rFonts w:ascii="Arial" w:cs="Arial" w:eastAsia="Arial" w:hAnsi="Arial"/>
          <w:sz w:val="16"/>
          <w:szCs w:val="16"/>
          <w:color w:val="auto"/>
        </w:rPr>
        <w:t>per cent of the Total Commitments (or, if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have been reduced to zero, aggregated more than 66</w:t>
      </w:r>
      <w:r>
        <w:rPr>
          <w:rFonts w:ascii="Arial" w:cs="Arial" w:eastAsia="Arial" w:hAnsi="Arial"/>
          <w:sz w:val="21"/>
          <w:szCs w:val="21"/>
          <w:color w:val="auto"/>
          <w:vertAlign w:val="superscript"/>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per cent of the Total Commitments immediately prior to the reduction).</w:t>
      </w:r>
    </w:p>
    <w:p>
      <w:pPr>
        <w:spacing w:after="0" w:line="7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0.95 per cent. per annum.</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5" w:lineRule="exact"/>
        <w:rPr>
          <w:sz w:val="20"/>
          <w:szCs w:val="20"/>
          <w:color w:val="auto"/>
        </w:rPr>
      </w:pPr>
    </w:p>
    <w:p>
      <w:pPr>
        <w:ind w:left="543" w:hanging="543"/>
        <w:spacing w:after="0"/>
        <w:tabs>
          <w:tab w:leader="none" w:pos="54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business or financial condition of the Group (taken as a whole);</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ability of the Borrower to perform its payment obligations under any Finance Document; or</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validity, legality or enforceability of any Finance Document, or the rights or remedies of any Finance Party under, any Finance Document.</w:t>
      </w:r>
    </w:p>
    <w:p>
      <w:pPr>
        <w:spacing w:after="0" w:line="236" w:lineRule="exact"/>
        <w:rPr>
          <w:sz w:val="20"/>
          <w:szCs w:val="20"/>
          <w:color w:val="auto"/>
        </w:rPr>
      </w:pPr>
    </w:p>
    <w:p>
      <w:pPr>
        <w:jc w:val="both"/>
        <w:ind w:left="3" w:right="60"/>
        <w:spacing w:after="0" w:line="260" w:lineRule="auto"/>
        <w:rPr>
          <w:sz w:val="20"/>
          <w:szCs w:val="20"/>
          <w:color w:val="auto"/>
        </w:rPr>
      </w:pPr>
      <w:r>
        <w:rPr>
          <w:rFonts w:ascii="Arial" w:cs="Arial" w:eastAsia="Arial" w:hAnsi="Arial"/>
          <w:sz w:val="18"/>
          <w:szCs w:val="18"/>
          <w:b w:val="1"/>
          <w:bCs w:val="1"/>
          <w:color w:val="auto"/>
        </w:rPr>
        <w:t xml:space="preserve">Material Subsidiary </w:t>
      </w:r>
      <w:r>
        <w:rPr>
          <w:rFonts w:ascii="Arial" w:cs="Arial" w:eastAsia="Arial" w:hAnsi="Arial"/>
          <w:sz w:val="18"/>
          <w:szCs w:val="18"/>
          <w:color w:val="auto"/>
        </w:rPr>
        <w:t>means, at any time, any Subsidiary of the Borrower which has total assets or revenue (excluding intra-group items)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10 per cent or more of the total assets or revenue of the Group, calculated on a consolidated basis by reference to the most recent audited accounts of the Group.</w:t>
      </w:r>
    </w:p>
    <w:p>
      <w:pPr>
        <w:spacing w:after="0" w:line="180" w:lineRule="exact"/>
        <w:rPr>
          <w:sz w:val="20"/>
          <w:szCs w:val="20"/>
          <w:color w:val="auto"/>
        </w:rPr>
      </w:pPr>
    </w:p>
    <w:p>
      <w:pPr>
        <w:ind w:left="3" w:right="180"/>
        <w:spacing w:after="0" w:line="274" w:lineRule="auto"/>
        <w:rPr>
          <w:sz w:val="20"/>
          <w:szCs w:val="20"/>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 calendar month,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73" w:lineRule="exact"/>
        <w:rPr>
          <w:sz w:val="20"/>
          <w:szCs w:val="20"/>
          <w:color w:val="auto"/>
        </w:rPr>
      </w:pPr>
    </w:p>
    <w:p>
      <w:pPr>
        <w:ind w:left="543" w:right="100" w:hanging="543"/>
        <w:spacing w:after="0" w:line="330" w:lineRule="auto"/>
        <w:tabs>
          <w:tab w:leader="none" w:pos="53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33" w:lineRule="exact"/>
        <w:rPr>
          <w:rFonts w:ascii="Arial" w:cs="Arial" w:eastAsia="Arial" w:hAnsi="Arial"/>
          <w:sz w:val="16"/>
          <w:szCs w:val="16"/>
          <w:color w:val="auto"/>
        </w:rPr>
      </w:pPr>
    </w:p>
    <w:p>
      <w:pPr>
        <w:ind w:left="543" w:hanging="543"/>
        <w:spacing w:after="0" w:line="267" w:lineRule="auto"/>
        <w:tabs>
          <w:tab w:leader="none" w:pos="5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79"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23"/>
          </w:cols>
          <w:pgMar w:left="937" w:top="340" w:right="239" w:bottom="1440" w:gutter="0" w:footer="0" w:header="0"/>
        </w:sectPr>
      </w:pPr>
    </w:p>
    <w:bookmarkStart w:id="183" w:name="page184"/>
    <w:bookmarkEnd w:id="183"/>
    <w:p>
      <w:pPr>
        <w:ind w:left="543" w:hanging="543"/>
        <w:spacing w:after="0" w:line="267" w:lineRule="auto"/>
        <w:tabs>
          <w:tab w:leader="none" w:pos="54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 and</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NDRC </w:t>
      </w:r>
      <w:r>
        <w:rPr>
          <w:rFonts w:ascii="Arial" w:cs="Arial" w:eastAsia="Arial" w:hAnsi="Arial"/>
          <w:sz w:val="18"/>
          <w:szCs w:val="18"/>
          <w:color w:val="auto"/>
        </w:rPr>
        <w:t>means the National Development and Reform Commission of the PRC (including its successors) and its local counterparts.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22 (Changes to Parties).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Non-Consenting Lender </w:t>
      </w:r>
      <w:r>
        <w:rPr>
          <w:rFonts w:ascii="Arial" w:cs="Arial" w:eastAsia="Arial" w:hAnsi="Arial"/>
          <w:sz w:val="18"/>
          <w:szCs w:val="18"/>
          <w:color w:val="auto"/>
        </w:rPr>
        <w:t>has the meaning given to that term in Clause 7.5(g).</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the Office of Foreign Assets Control of the US Department of the Treasury (or any successor thereto).</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Original Financial Statements </w:t>
      </w:r>
      <w:r>
        <w:rPr>
          <w:rFonts w:ascii="Arial" w:cs="Arial" w:eastAsia="Arial" w:hAnsi="Arial"/>
          <w:sz w:val="16"/>
          <w:szCs w:val="16"/>
          <w:color w:val="auto"/>
        </w:rPr>
        <w:t>means the audited consolidated financial statements of the Group for the financial year ended 31 December 2017.</w:t>
      </w:r>
    </w:p>
    <w:p>
      <w:pPr>
        <w:spacing w:after="0" w:line="24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19" w:lineRule="exact"/>
        <w:rPr>
          <w:sz w:val="20"/>
          <w:szCs w:val="20"/>
          <w:color w:val="auto"/>
        </w:rPr>
      </w:pPr>
    </w:p>
    <w:p>
      <w:pPr>
        <w:ind w:left="3" w:right="220"/>
        <w:spacing w:after="0" w:line="274" w:lineRule="auto"/>
        <w:rPr>
          <w:sz w:val="20"/>
          <w:szCs w:val="20"/>
          <w:color w:val="auto"/>
        </w:rPr>
      </w:pPr>
      <w:r>
        <w:rPr>
          <w:rFonts w:ascii="Arial" w:cs="Arial" w:eastAsia="Arial" w:hAnsi="Arial"/>
          <w:sz w:val="18"/>
          <w:szCs w:val="18"/>
          <w:b w:val="1"/>
          <w:bCs w:val="1"/>
          <w:color w:val="auto"/>
        </w:rPr>
        <w:t xml:space="preserve">PRC </w:t>
      </w:r>
      <w:r>
        <w:rPr>
          <w:rFonts w:ascii="Arial" w:cs="Arial" w:eastAsia="Arial" w:hAnsi="Arial"/>
          <w:sz w:val="18"/>
          <w:szCs w:val="18"/>
          <w:color w:val="auto"/>
        </w:rPr>
        <w:t>means the People’s Republic of China (for the purposes of this agreement, does not include Hong Kong, the Special Administrative Region of</w:t>
      </w:r>
      <w:r>
        <w:rPr>
          <w:rFonts w:ascii="Arial" w:cs="Arial" w:eastAsia="Arial" w:hAnsi="Arial"/>
          <w:sz w:val="18"/>
          <w:szCs w:val="18"/>
          <w:b w:val="1"/>
          <w:bCs w:val="1"/>
          <w:color w:val="auto"/>
        </w:rPr>
        <w:t xml:space="preserve"> </w:t>
      </w:r>
      <w:r>
        <w:rPr>
          <w:rFonts w:ascii="Arial" w:cs="Arial" w:eastAsia="Arial" w:hAnsi="Arial"/>
          <w:sz w:val="18"/>
          <w:szCs w:val="18"/>
          <w:color w:val="auto"/>
        </w:rPr>
        <w:t>Macau or Taiwan).</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Quarter Dates </w:t>
      </w:r>
      <w:r>
        <w:rPr>
          <w:rFonts w:ascii="Arial" w:cs="Arial" w:eastAsia="Arial" w:hAnsi="Arial"/>
          <w:sz w:val="18"/>
          <w:szCs w:val="18"/>
          <w:color w:val="auto"/>
        </w:rPr>
        <w:t>means each of 31 March, 30 June, 30 September and 31 December.</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w:t>
      </w:r>
    </w:p>
    <w:p>
      <w:pPr>
        <w:spacing w:after="0" w:line="225" w:lineRule="exact"/>
        <w:rPr>
          <w:sz w:val="20"/>
          <w:szCs w:val="20"/>
          <w:color w:val="auto"/>
        </w:rPr>
      </w:pPr>
    </w:p>
    <w:p>
      <w:pPr>
        <w:ind w:left="543" w:right="140" w:hanging="543"/>
        <w:spacing w:after="0" w:line="253" w:lineRule="auto"/>
        <w:tabs>
          <w:tab w:leader="none" w:pos="5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relation to any period for which an interest rate is to be determined, two London Business Days before the first day 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 or</w:t>
      </w:r>
    </w:p>
    <w:p>
      <w:pPr>
        <w:spacing w:after="0" w:line="192" w:lineRule="exact"/>
        <w:rPr>
          <w:rFonts w:ascii="Arial" w:cs="Arial" w:eastAsia="Arial" w:hAnsi="Arial"/>
          <w:sz w:val="18"/>
          <w:szCs w:val="18"/>
          <w:color w:val="auto"/>
        </w:rPr>
      </w:pPr>
    </w:p>
    <w:p>
      <w:pPr>
        <w:ind w:left="543" w:right="160" w:hanging="543"/>
        <w:spacing w:after="0" w:line="267" w:lineRule="auto"/>
        <w:tabs>
          <w:tab w:leader="none" w:pos="5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relation to any Interest Period the duration of which is selected by the Agent pursuant to Clause 8.3 (Default interest), such date as may be determined by the Agent (acting reasonably).</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Reference Bank Rate </w:t>
      </w:r>
      <w:r>
        <w:rPr>
          <w:rFonts w:ascii="Arial" w:cs="Arial" w:eastAsia="Arial" w:hAnsi="Arial"/>
          <w:sz w:val="16"/>
          <w:szCs w:val="16"/>
          <w:color w:val="auto"/>
        </w:rPr>
        <w:t>means the arithmetic mean of the rates (rounded upwards to four decimal places) as supplied to the Agent at its request by the</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8"/>
          <w:szCs w:val="18"/>
          <w:color w:val="auto"/>
        </w:rPr>
        <w:t>Reference Banks:</w:t>
      </w:r>
    </w:p>
    <w:p>
      <w:pPr>
        <w:spacing w:after="0" w:line="208" w:lineRule="exact"/>
        <w:rPr>
          <w:sz w:val="20"/>
          <w:szCs w:val="20"/>
          <w:color w:val="auto"/>
        </w:rPr>
      </w:pPr>
    </w:p>
    <w:p>
      <w:pPr>
        <w:ind w:left="543" w:right="180" w:hanging="543"/>
        <w:spacing w:after="0" w:line="257" w:lineRule="auto"/>
        <w:tabs>
          <w:tab w:leader="none" w:pos="5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(other than where paragraph (b) below applies) as the rate at which the relevant Reference Bank could borrow funds in the London interbank market in the relevant currency and for the relevant period, were it to do so by asking for and then accepting interbank offers for deposits in reasonable market size in that currency and for that period; or</w:t>
      </w:r>
    </w:p>
    <w:p>
      <w:pPr>
        <w:spacing w:after="0" w:line="187" w:lineRule="exact"/>
        <w:rPr>
          <w:rFonts w:ascii="Arial" w:cs="Arial" w:eastAsia="Arial" w:hAnsi="Arial"/>
          <w:sz w:val="18"/>
          <w:szCs w:val="18"/>
          <w:color w:val="auto"/>
        </w:rPr>
      </w:pPr>
    </w:p>
    <w:p>
      <w:pPr>
        <w:ind w:left="543" w:right="460" w:hanging="543"/>
        <w:spacing w:after="0" w:line="267" w:lineRule="auto"/>
        <w:tabs>
          <w:tab w:leader="none" w:pos="5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different, as the rate (if any and applied to the relevant Reference Bank and the relevant currency and period) which contributors to the applicable Screen Rate are asked to submit to the relevant administrator.</w:t>
      </w:r>
    </w:p>
    <w:p>
      <w:pPr>
        <w:spacing w:after="0" w:line="173" w:lineRule="exact"/>
        <w:rPr>
          <w:sz w:val="20"/>
          <w:szCs w:val="20"/>
          <w:color w:val="auto"/>
        </w:rPr>
      </w:pPr>
    </w:p>
    <w:p>
      <w:pPr>
        <w:ind w:left="3" w:right="120"/>
        <w:spacing w:after="0" w:line="274" w:lineRule="auto"/>
        <w:rPr>
          <w:sz w:val="20"/>
          <w:szCs w:val="20"/>
          <w:color w:val="auto"/>
        </w:rPr>
      </w:pPr>
      <w:r>
        <w:rPr>
          <w:rFonts w:ascii="Arial" w:cs="Arial" w:eastAsia="Arial" w:hAnsi="Arial"/>
          <w:sz w:val="18"/>
          <w:szCs w:val="18"/>
          <w:b w:val="1"/>
          <w:bCs w:val="1"/>
          <w:color w:val="auto"/>
        </w:rPr>
        <w:t xml:space="preserve">Reference Banks </w:t>
      </w:r>
      <w:r>
        <w:rPr>
          <w:rFonts w:ascii="Arial" w:cs="Arial" w:eastAsia="Arial" w:hAnsi="Arial"/>
          <w:sz w:val="18"/>
          <w:szCs w:val="18"/>
          <w:color w:val="auto"/>
        </w:rPr>
        <w:t>means the principal London offices of Mizuho Bank, Ltd., The Bank of Tokyo-Mitsubishi UFJ Ltd., and Bank of China Limited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bank(s) as may be appointed by the Agent after consultation with the Borrower.</w:t>
      </w:r>
    </w:p>
    <w:p>
      <w:pPr>
        <w:spacing w:after="0" w:line="167" w:lineRule="exact"/>
        <w:rPr>
          <w:sz w:val="20"/>
          <w:szCs w:val="20"/>
          <w:color w:val="auto"/>
        </w:rPr>
      </w:pPr>
    </w:p>
    <w:p>
      <w:pPr>
        <w:ind w:left="3" w:right="540"/>
        <w:spacing w:after="0" w:line="304" w:lineRule="auto"/>
        <w:rPr>
          <w:sz w:val="20"/>
          <w:szCs w:val="20"/>
          <w:color w:val="auto"/>
        </w:rPr>
      </w:pPr>
      <w:r>
        <w:rPr>
          <w:rFonts w:ascii="Arial" w:cs="Arial" w:eastAsia="Arial" w:hAnsi="Arial"/>
          <w:sz w:val="17"/>
          <w:szCs w:val="17"/>
          <w:b w:val="1"/>
          <w:bCs w:val="1"/>
          <w:color w:val="auto"/>
        </w:rPr>
        <w:t>Related Fund</w:t>
      </w:r>
      <w:r>
        <w:rPr>
          <w:rFonts w:ascii="Arial" w:cs="Arial" w:eastAsia="Arial" w:hAnsi="Arial"/>
          <w:sz w:val="17"/>
          <w:szCs w:val="17"/>
          <w:color w:val="auto"/>
        </w:rPr>
        <w:t>, in relation to a fund (the</w:t>
      </w:r>
      <w:r>
        <w:rPr>
          <w:rFonts w:ascii="Arial" w:cs="Arial" w:eastAsia="Arial" w:hAnsi="Arial"/>
          <w:sz w:val="17"/>
          <w:szCs w:val="17"/>
          <w:b w:val="1"/>
          <w:bCs w:val="1"/>
          <w:color w:val="auto"/>
        </w:rPr>
        <w:t xml:space="preserve"> first fund</w:t>
      </w:r>
      <w:r>
        <w:rPr>
          <w:rFonts w:ascii="Arial" w:cs="Arial" w:eastAsia="Arial" w:hAnsi="Arial"/>
          <w:sz w:val="17"/>
          <w:szCs w:val="17"/>
          <w:color w:val="auto"/>
        </w:rPr>
        <w:t>), means a fund which is managed or advised by the same investment manager or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adviser as the first fund or, if it is managed by a different investment manager or investment adviser, a fund whose</w:t>
      </w:r>
    </w:p>
    <w:p>
      <w:pPr>
        <w:spacing w:after="0" w:line="150"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23"/>
          </w:cols>
          <w:pgMar w:left="937" w:top="340" w:right="239" w:bottom="1440" w:gutter="0" w:footer="0" w:header="0"/>
        </w:sectPr>
      </w:pPr>
    </w:p>
    <w:bookmarkStart w:id="184" w:name="page185"/>
    <w:bookmarkEnd w:id="184"/>
    <w:p>
      <w:pPr>
        <w:ind w:left="3"/>
        <w:spacing w:after="0"/>
        <w:rPr>
          <w:sz w:val="20"/>
          <w:szCs w:val="20"/>
          <w:color w:val="auto"/>
        </w:rPr>
      </w:pPr>
      <w:r>
        <w:rPr>
          <w:rFonts w:ascii="Arial" w:cs="Arial" w:eastAsia="Arial" w:hAnsi="Arial"/>
          <w:sz w:val="18"/>
          <w:szCs w:val="18"/>
          <w:color w:val="auto"/>
        </w:rPr>
        <w:t>investment manager or investment adviser is an Affiliate of the investment manager or investment adviser of the first fund.</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Relevant Market </w:t>
      </w:r>
      <w:r>
        <w:rPr>
          <w:rFonts w:ascii="Arial" w:cs="Arial" w:eastAsia="Arial" w:hAnsi="Arial"/>
          <w:sz w:val="18"/>
          <w:szCs w:val="18"/>
          <w:color w:val="auto"/>
        </w:rPr>
        <w:t>means the London interbank market.</w:t>
      </w:r>
    </w:p>
    <w:p>
      <w:pPr>
        <w:spacing w:after="0" w:line="219" w:lineRule="exact"/>
        <w:rPr>
          <w:sz w:val="20"/>
          <w:szCs w:val="20"/>
          <w:color w:val="auto"/>
        </w:rPr>
      </w:pPr>
    </w:p>
    <w:p>
      <w:pPr>
        <w:ind w:left="3" w:right="80"/>
        <w:spacing w:after="0" w:line="274" w:lineRule="auto"/>
        <w:rPr>
          <w:sz w:val="20"/>
          <w:szCs w:val="20"/>
          <w:color w:val="auto"/>
        </w:rPr>
      </w:pPr>
      <w:r>
        <w:rPr>
          <w:rFonts w:ascii="Arial" w:cs="Arial" w:eastAsia="Arial" w:hAnsi="Arial"/>
          <w:sz w:val="18"/>
          <w:szCs w:val="18"/>
          <w:b w:val="1"/>
          <w:bCs w:val="1"/>
          <w:color w:val="auto"/>
        </w:rPr>
        <w:t xml:space="preserve">Relevant Nominating Body </w:t>
      </w:r>
      <w:r>
        <w:rPr>
          <w:rFonts w:ascii="Arial" w:cs="Arial" w:eastAsia="Arial" w:hAnsi="Arial"/>
          <w:sz w:val="18"/>
          <w:szCs w:val="18"/>
          <w:color w:val="auto"/>
        </w:rPr>
        <w:t>means any applicable central bank, regulator or other supervisory authority or a group of them, or any working group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sponsored or chaired by, or constituted at the request of, any of them or the Financial Stability Board.</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Relevant Periods </w:t>
      </w:r>
      <w:r>
        <w:rPr>
          <w:rFonts w:ascii="Arial" w:cs="Arial" w:eastAsia="Arial" w:hAnsi="Arial"/>
          <w:sz w:val="18"/>
          <w:szCs w:val="18"/>
          <w:color w:val="auto"/>
        </w:rPr>
        <w:t>has the meaning given to it in Clause 19.1 (Financial definitions).</w:t>
      </w:r>
    </w:p>
    <w:p>
      <w:pPr>
        <w:spacing w:after="0" w:line="219" w:lineRule="exact"/>
        <w:rPr>
          <w:sz w:val="20"/>
          <w:szCs w:val="20"/>
          <w:color w:val="auto"/>
        </w:rPr>
      </w:pPr>
    </w:p>
    <w:p>
      <w:pPr>
        <w:ind w:left="3" w:right="300"/>
        <w:spacing w:after="0" w:line="256"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and warranties set out in Clauses 17.1 (Status) to 17.6 (Governing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(inclusive), paragraph (b) of 17.9 (No default), paragraphs (a) and (b) of Clause 17.11 (Financial statements), Clause 17.13 (No proceedings pending or threatened), Clause 17.14 (Authorised Signatures) and Clause 17.15 (Sanctions, anti-terrorism, anti-money laundering and anti-corruption).</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Replacement Benchmark </w:t>
      </w:r>
      <w:r>
        <w:rPr>
          <w:rFonts w:ascii="Arial" w:cs="Arial" w:eastAsia="Arial" w:hAnsi="Arial"/>
          <w:sz w:val="18"/>
          <w:szCs w:val="18"/>
          <w:color w:val="auto"/>
        </w:rPr>
        <w:t>means a benchmark rate which is:</w:t>
      </w:r>
    </w:p>
    <w:p>
      <w:pPr>
        <w:spacing w:after="0" w:line="225" w:lineRule="exact"/>
        <w:rPr>
          <w:sz w:val="20"/>
          <w:szCs w:val="20"/>
          <w:color w:val="auto"/>
        </w:rPr>
      </w:pPr>
    </w:p>
    <w:p>
      <w:pPr>
        <w:ind w:left="543" w:hanging="543"/>
        <w:spacing w:after="0"/>
        <w:tabs>
          <w:tab w:leader="none" w:pos="54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219" w:lineRule="exact"/>
        <w:rPr>
          <w:rFonts w:ascii="Arial" w:cs="Arial" w:eastAsia="Arial" w:hAnsi="Arial"/>
          <w:sz w:val="18"/>
          <w:szCs w:val="18"/>
          <w:color w:val="auto"/>
        </w:rPr>
      </w:pPr>
    </w:p>
    <w:p>
      <w:pPr>
        <w:ind w:left="1103" w:right="200" w:hanging="553"/>
        <w:spacing w:after="0" w:line="267"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administrator of the Screen Rate (provided that the market or economic reality that such benchmark rate measures is the same as that measured by the Screen Rate); or</w:t>
      </w:r>
    </w:p>
    <w:p>
      <w:pPr>
        <w:spacing w:after="0" w:line="178" w:lineRule="exact"/>
        <w:rPr>
          <w:rFonts w:ascii="Arial" w:cs="Arial" w:eastAsia="Arial" w:hAnsi="Arial"/>
          <w:sz w:val="18"/>
          <w:szCs w:val="18"/>
          <w:color w:val="auto"/>
        </w:rPr>
      </w:pPr>
    </w:p>
    <w:p>
      <w:pPr>
        <w:ind w:left="1123" w:hanging="573"/>
        <w:spacing w:after="0"/>
        <w:tabs>
          <w:tab w:leader="none" w:pos="112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19" w:lineRule="exact"/>
        <w:rPr>
          <w:sz w:val="20"/>
          <w:szCs w:val="20"/>
          <w:color w:val="auto"/>
        </w:rPr>
      </w:pPr>
    </w:p>
    <w:p>
      <w:pPr>
        <w:ind w:left="3" w:right="520"/>
        <w:spacing w:after="0" w:line="26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79" w:lineRule="exact"/>
        <w:rPr>
          <w:sz w:val="20"/>
          <w:szCs w:val="20"/>
          <w:color w:val="auto"/>
        </w:rPr>
      </w:pPr>
    </w:p>
    <w:p>
      <w:pPr>
        <w:ind w:left="543" w:right="400" w:hanging="543"/>
        <w:spacing w:after="0" w:line="267" w:lineRule="auto"/>
        <w:tabs>
          <w:tab w:leader="none" w:pos="5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the Screen Rate; or</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the Screen Rate.</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means any delegate, agent, manager, administrator, nominee, attorney, trustee or custodian.</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Restricted Party </w:t>
      </w:r>
      <w:r>
        <w:rPr>
          <w:rFonts w:ascii="Arial" w:cs="Arial" w:eastAsia="Arial" w:hAnsi="Arial"/>
          <w:sz w:val="18"/>
          <w:szCs w:val="18"/>
          <w:color w:val="auto"/>
        </w:rPr>
        <w:t>means a person:</w:t>
      </w:r>
    </w:p>
    <w:p>
      <w:pPr>
        <w:spacing w:after="0" w:line="225" w:lineRule="exact"/>
        <w:rPr>
          <w:sz w:val="20"/>
          <w:szCs w:val="20"/>
          <w:color w:val="auto"/>
        </w:rPr>
      </w:pPr>
    </w:p>
    <w:p>
      <w:pPr>
        <w:ind w:left="543" w:hanging="543"/>
        <w:spacing w:after="0"/>
        <w:tabs>
          <w:tab w:leader="none" w:pos="54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is listed on, or owned or controlled by a person listed on, or acting on behalf of a person listed on, any Sanctions List;</w:t>
      </w:r>
    </w:p>
    <w:p>
      <w:pPr>
        <w:spacing w:after="0" w:line="219" w:lineRule="exact"/>
        <w:rPr>
          <w:rFonts w:ascii="Arial" w:cs="Arial" w:eastAsia="Arial" w:hAnsi="Arial"/>
          <w:sz w:val="18"/>
          <w:szCs w:val="18"/>
          <w:color w:val="auto"/>
        </w:rPr>
      </w:pPr>
    </w:p>
    <w:p>
      <w:pPr>
        <w:ind w:left="543" w:hanging="543"/>
        <w:spacing w:after="0" w:line="267" w:lineRule="auto"/>
        <w:tabs>
          <w:tab w:leader="none" w:pos="5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is located in or incorporated under the laws of, or owned or (directly or indirectly) controlled by, or acting on behalf of, a person located in or organised under the laws of any Sanctioned Jurisdiction; or</w:t>
      </w:r>
    </w:p>
    <w:p>
      <w:pPr>
        <w:spacing w:after="0" w:line="178" w:lineRule="exact"/>
        <w:rPr>
          <w:rFonts w:ascii="Arial" w:cs="Arial" w:eastAsia="Arial" w:hAnsi="Arial"/>
          <w:sz w:val="18"/>
          <w:szCs w:val="18"/>
          <w:color w:val="auto"/>
        </w:rPr>
      </w:pPr>
    </w:p>
    <w:p>
      <w:pPr>
        <w:ind w:left="543" w:right="620" w:hanging="543"/>
        <w:spacing w:after="0" w:line="267" w:lineRule="auto"/>
        <w:tabs>
          <w:tab w:leader="none" w:pos="5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that is otherwise a target of Sanctions signifying a person with whom a US person or other national of a Sanctions Authority would be prohibited or restricted by law from engaging in trade, business or other activities.</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Rollover Loan </w:t>
      </w:r>
      <w:r>
        <w:rPr>
          <w:rFonts w:ascii="Arial" w:cs="Arial" w:eastAsia="Arial" w:hAnsi="Arial"/>
          <w:sz w:val="18"/>
          <w:szCs w:val="18"/>
          <w:color w:val="auto"/>
        </w:rPr>
        <w:t>means one or more Loans:</w:t>
      </w:r>
    </w:p>
    <w:p>
      <w:pPr>
        <w:spacing w:after="0" w:line="225"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03"/>
          </w:cols>
          <w:pgMar w:left="937" w:top="340" w:right="259" w:bottom="1440" w:gutter="0" w:footer="0" w:header="0"/>
        </w:sectPr>
      </w:pPr>
    </w:p>
    <w:bookmarkStart w:id="185" w:name="page186"/>
    <w:bookmarkEnd w:id="185"/>
    <w:p>
      <w:pPr>
        <w:ind w:left="543" w:hanging="543"/>
        <w:spacing w:after="0"/>
        <w:tabs>
          <w:tab w:leader="none" w:pos="54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Loan is due to be repaid;</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Loan;</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made or to be made for the purpose of refinancing that maturing Loan.</w:t>
      </w:r>
    </w:p>
    <w:p>
      <w:pPr>
        <w:spacing w:after="0" w:line="213" w:lineRule="exact"/>
        <w:rPr>
          <w:sz w:val="20"/>
          <w:szCs w:val="20"/>
          <w:color w:val="auto"/>
        </w:rPr>
      </w:pPr>
    </w:p>
    <w:p>
      <w:pPr>
        <w:ind w:left="3" w:right="100"/>
        <w:spacing w:after="0" w:line="274" w:lineRule="auto"/>
        <w:rPr>
          <w:sz w:val="20"/>
          <w:szCs w:val="20"/>
          <w:color w:val="auto"/>
        </w:rPr>
      </w:pPr>
      <w:r>
        <w:rPr>
          <w:rFonts w:ascii="Arial" w:cs="Arial" w:eastAsia="Arial" w:hAnsi="Arial"/>
          <w:sz w:val="18"/>
          <w:szCs w:val="18"/>
          <w:b w:val="1"/>
          <w:bCs w:val="1"/>
          <w:color w:val="auto"/>
        </w:rPr>
        <w:t xml:space="preserve">Sanctioned Jurisdiction </w:t>
      </w:r>
      <w:r>
        <w:rPr>
          <w:rFonts w:ascii="Arial" w:cs="Arial" w:eastAsia="Arial" w:hAnsi="Arial"/>
          <w:sz w:val="18"/>
          <w:szCs w:val="18"/>
          <w:color w:val="auto"/>
        </w:rPr>
        <w:t>means, at any time, any country or territory that is the target of countrywide or territory-wide Sanctions at that time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as at the date of this agreement, Cuba, Iran, North Korea, Sudan, Syria and the Crimea region).</w:t>
      </w:r>
    </w:p>
    <w:p>
      <w:pPr>
        <w:spacing w:after="0" w:line="167" w:lineRule="exact"/>
        <w:rPr>
          <w:sz w:val="20"/>
          <w:szCs w:val="20"/>
          <w:color w:val="auto"/>
        </w:rPr>
      </w:pPr>
    </w:p>
    <w:p>
      <w:pPr>
        <w:ind w:left="3" w:right="200"/>
        <w:spacing w:after="0" w:line="274"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trade, economic or financial sanctions laws, regulations, embargoes or restrictive measures administered, enacted or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173" w:lineRule="exact"/>
        <w:rPr>
          <w:sz w:val="20"/>
          <w:szCs w:val="20"/>
          <w:color w:val="auto"/>
        </w:rPr>
      </w:pPr>
    </w:p>
    <w:p>
      <w:pPr>
        <w:ind w:left="543" w:hanging="543"/>
        <w:spacing w:after="0"/>
        <w:tabs>
          <w:tab w:leader="none" w:pos="54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European Union;</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US;</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Hong Kong;</w:t>
      </w:r>
    </w:p>
    <w:p>
      <w:pPr>
        <w:spacing w:after="0" w:line="219" w:lineRule="exact"/>
        <w:rPr>
          <w:rFonts w:ascii="Arial" w:cs="Arial" w:eastAsia="Arial" w:hAnsi="Arial"/>
          <w:sz w:val="18"/>
          <w:szCs w:val="18"/>
          <w:color w:val="auto"/>
        </w:rPr>
      </w:pPr>
    </w:p>
    <w:p>
      <w:pPr>
        <w:ind w:left="543" w:hanging="543"/>
        <w:spacing w:after="0"/>
        <w:tabs>
          <w:tab w:leader="none" w:pos="54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PRC;</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Singapore;</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Canada;</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Commonwealth of Australia;</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French Republic; and/or</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Sanctions Authorities.</w:t>
      </w:r>
    </w:p>
    <w:p>
      <w:pPr>
        <w:spacing w:after="0" w:line="213" w:lineRule="exact"/>
        <w:rPr>
          <w:sz w:val="20"/>
          <w:szCs w:val="20"/>
          <w:color w:val="auto"/>
        </w:rPr>
      </w:pPr>
    </w:p>
    <w:p>
      <w:pPr>
        <w:ind w:left="3" w:right="40"/>
        <w:spacing w:after="0" w:line="256" w:lineRule="auto"/>
        <w:rPr>
          <w:sz w:val="20"/>
          <w:szCs w:val="20"/>
          <w:color w:val="auto"/>
        </w:rPr>
      </w:pPr>
      <w:r>
        <w:rPr>
          <w:rFonts w:ascii="Arial" w:cs="Arial" w:eastAsia="Arial" w:hAnsi="Arial"/>
          <w:sz w:val="18"/>
          <w:szCs w:val="18"/>
          <w:b w:val="1"/>
          <w:bCs w:val="1"/>
          <w:color w:val="auto"/>
        </w:rPr>
        <w:t xml:space="preserve">Sanctions Authorities </w:t>
      </w:r>
      <w:r>
        <w:rPr>
          <w:rFonts w:ascii="Arial" w:cs="Arial" w:eastAsia="Arial" w:hAnsi="Arial"/>
          <w:sz w:val="18"/>
          <w:szCs w:val="18"/>
          <w:color w:val="auto"/>
        </w:rPr>
        <w:t>means the governmental institutions and agencies of any of the countries listed in the definition of “Sanctions”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OFAC, the United Nations Security Council, the United States Department of State, the United States Department of the Treasury, the United States Department of Commerce, the European Union,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the Hong Kong Monetary Authority and any other applicable sanctions authority.</w:t>
      </w:r>
    </w:p>
    <w:p>
      <w:pPr>
        <w:spacing w:after="0" w:line="182" w:lineRule="exact"/>
        <w:rPr>
          <w:sz w:val="20"/>
          <w:szCs w:val="20"/>
          <w:color w:val="auto"/>
        </w:rPr>
      </w:pPr>
    </w:p>
    <w:p>
      <w:pPr>
        <w:ind w:left="3" w:right="280"/>
        <w:spacing w:after="0" w:line="260" w:lineRule="auto"/>
        <w:rPr>
          <w:sz w:val="20"/>
          <w:szCs w:val="20"/>
          <w:color w:val="auto"/>
        </w:rPr>
      </w:pPr>
      <w:r>
        <w:rPr>
          <w:rFonts w:ascii="Arial" w:cs="Arial" w:eastAsia="Arial" w:hAnsi="Arial"/>
          <w:sz w:val="18"/>
          <w:szCs w:val="18"/>
          <w:b w:val="1"/>
          <w:bCs w:val="1"/>
          <w:color w:val="auto"/>
        </w:rPr>
        <w:t xml:space="preserve">Sanctions List </w:t>
      </w:r>
      <w:r>
        <w:rPr>
          <w:rFonts w:ascii="Arial" w:cs="Arial" w:eastAsia="Arial" w:hAnsi="Arial"/>
          <w:sz w:val="18"/>
          <w:szCs w:val="18"/>
          <w:color w:val="auto"/>
        </w:rPr>
        <w:t>means the “Specially Designated Nationals and Blocked Persons” list maintained by OFAC and the Consolidated List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Targets and the Investment Ban List maintained by HMT, or any similar list maintained by, or any public announcement of Sanctions designation made by, any of the Sanctions Authorities.</w:t>
      </w:r>
    </w:p>
    <w:p>
      <w:pPr>
        <w:spacing w:after="0" w:line="180" w:lineRule="exact"/>
        <w:rPr>
          <w:sz w:val="20"/>
          <w:szCs w:val="20"/>
          <w:color w:val="auto"/>
        </w:rPr>
      </w:pPr>
    </w:p>
    <w:p>
      <w:pPr>
        <w:ind w:left="3"/>
        <w:spacing w:after="0" w:line="275" w:lineRule="auto"/>
        <w:rPr>
          <w:sz w:val="20"/>
          <w:szCs w:val="20"/>
          <w:color w:val="auto"/>
        </w:rPr>
      </w:pPr>
      <w:r>
        <w:rPr>
          <w:rFonts w:ascii="Arial" w:cs="Arial" w:eastAsia="Arial" w:hAnsi="Arial"/>
          <w:sz w:val="17"/>
          <w:szCs w:val="17"/>
          <w:b w:val="1"/>
          <w:bCs w:val="1"/>
          <w:color w:val="auto"/>
        </w:rPr>
        <w:t xml:space="preserve">Screen Rate </w:t>
      </w:r>
      <w:r>
        <w:rPr>
          <w:rFonts w:ascii="Arial" w:cs="Arial" w:eastAsia="Arial" w:hAnsi="Arial"/>
          <w:sz w:val="17"/>
          <w:szCs w:val="17"/>
          <w:color w:val="auto"/>
        </w:rPr>
        <w:t>means the London interbank offered rate administered by ICE Benchmark Administration Limited (or any other person which takes over</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administration of that rate) for the relevant currency and period displayed (before any correction, recalculation or republication by the administrator) on page LIBOR01 of the Thomson Reuters screen (or any replacement Thomson Reuters page which displays that rate) or on the appropriate page of such other information service which publishes that rate from time to time in place of Thomson Reuters.</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Screen Rate Replacement Event </w:t>
      </w:r>
      <w:r>
        <w:rPr>
          <w:rFonts w:ascii="Arial" w:cs="Arial" w:eastAsia="Arial" w:hAnsi="Arial"/>
          <w:sz w:val="18"/>
          <w:szCs w:val="18"/>
          <w:color w:val="auto"/>
        </w:rPr>
        <w:t>means, in relation to the Screen Rate:</w:t>
      </w:r>
    </w:p>
    <w:p>
      <w:pPr>
        <w:spacing w:after="0" w:line="225"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63"/>
          </w:cols>
          <w:pgMar w:left="937" w:top="340" w:right="299" w:bottom="1440" w:gutter="0" w:footer="0" w:header="0"/>
        </w:sectPr>
      </w:pPr>
    </w:p>
    <w:bookmarkStart w:id="186" w:name="page187"/>
    <w:bookmarkEnd w:id="186"/>
    <w:p>
      <w:pPr>
        <w:ind w:left="543" w:hanging="543"/>
        <w:spacing w:after="0"/>
        <w:tabs>
          <w:tab w:leader="none" w:pos="54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methodology, formula or other means of determining the Screen Rate has, in the opinion of the Majority Lenders materially changed;</w:t>
      </w:r>
    </w:p>
    <w:p>
      <w:pPr>
        <w:spacing w:after="0" w:line="242" w:lineRule="exact"/>
        <w:rPr>
          <w:rFonts w:ascii="Arial" w:cs="Arial" w:eastAsia="Arial" w:hAnsi="Arial"/>
          <w:sz w:val="16"/>
          <w:szCs w:val="16"/>
          <w:color w:val="auto"/>
        </w:rPr>
      </w:pPr>
    </w:p>
    <w:p>
      <w:pPr>
        <w:spacing w:after="0"/>
        <w:tabs>
          <w:tab w:leader="none" w:pos="0" w:val="left"/>
        </w:tabs>
        <w:numPr>
          <w:ilvl w:val="0"/>
          <w:numId w:val="162"/>
        </w:numPr>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219" w:lineRule="exact"/>
        <w:rPr>
          <w:rFonts w:ascii="Arial" w:cs="Arial" w:eastAsia="Arial" w:hAnsi="Arial"/>
          <w:sz w:val="18"/>
          <w:szCs w:val="18"/>
          <w:color w:val="auto"/>
        </w:rPr>
      </w:pPr>
    </w:p>
    <w:p>
      <w:pPr>
        <w:ind w:left="1703" w:hanging="603"/>
        <w:spacing w:after="0"/>
        <w:tabs>
          <w:tab w:leader="none" w:pos="170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administrator of the Screen Rate or its supervisor publicly announces that such administrator is insolvent; or</w:t>
      </w:r>
    </w:p>
    <w:p>
      <w:pPr>
        <w:spacing w:after="0" w:line="219" w:lineRule="exact"/>
        <w:rPr>
          <w:rFonts w:ascii="Arial" w:cs="Arial" w:eastAsia="Arial" w:hAnsi="Arial"/>
          <w:sz w:val="18"/>
          <w:szCs w:val="18"/>
          <w:color w:val="auto"/>
        </w:rPr>
      </w:pPr>
    </w:p>
    <w:p>
      <w:pPr>
        <w:ind w:left="1643" w:right="220" w:hanging="543"/>
        <w:spacing w:after="0" w:line="257" w:lineRule="auto"/>
        <w:tabs>
          <w:tab w:leader="none" w:pos="168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the Screen Rate is insolvent,</w:t>
      </w:r>
    </w:p>
    <w:p>
      <w:pPr>
        <w:spacing w:after="0" w:line="188" w:lineRule="exact"/>
        <w:rPr>
          <w:sz w:val="20"/>
          <w:szCs w:val="20"/>
          <w:color w:val="auto"/>
        </w:rPr>
      </w:pPr>
    </w:p>
    <w:p>
      <w:pPr>
        <w:ind w:left="1103"/>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the Screen Rate;</w:t>
      </w:r>
    </w:p>
    <w:p>
      <w:pPr>
        <w:spacing w:after="0" w:line="219" w:lineRule="exact"/>
        <w:rPr>
          <w:sz w:val="20"/>
          <w:szCs w:val="20"/>
          <w:color w:val="auto"/>
        </w:rPr>
      </w:pPr>
    </w:p>
    <w:p>
      <w:pPr>
        <w:ind w:left="1103" w:right="260" w:hanging="553"/>
        <w:spacing w:after="0" w:line="296" w:lineRule="auto"/>
        <w:tabs>
          <w:tab w:leader="none" w:pos="1129"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administrator of the Screen Rate publicly announces that it has ceased or will cease, to provide the Screen Rate permanently or indefinitely and, at that time, there is no successor administrator to continue to provide the Screen Rate;</w:t>
      </w:r>
    </w:p>
    <w:p>
      <w:pPr>
        <w:spacing w:after="0" w:line="157" w:lineRule="exact"/>
        <w:rPr>
          <w:rFonts w:ascii="Arial" w:cs="Arial" w:eastAsia="Arial" w:hAnsi="Arial"/>
          <w:sz w:val="17"/>
          <w:szCs w:val="17"/>
          <w:color w:val="auto"/>
        </w:rPr>
      </w:pPr>
    </w:p>
    <w:p>
      <w:pPr>
        <w:ind w:left="1103" w:right="340" w:hanging="553"/>
        <w:spacing w:after="0" w:line="267" w:lineRule="auto"/>
        <w:tabs>
          <w:tab w:leader="none" w:pos="113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supervisor of the administrator of the Screen Rate publicly announces that the Screen Rate has been or will be permanently or indefinitely discontinued; or</w:t>
      </w:r>
    </w:p>
    <w:p>
      <w:pPr>
        <w:spacing w:after="0" w:line="178" w:lineRule="exact"/>
        <w:rPr>
          <w:rFonts w:ascii="Arial" w:cs="Arial" w:eastAsia="Arial" w:hAnsi="Arial"/>
          <w:sz w:val="18"/>
          <w:szCs w:val="18"/>
          <w:color w:val="auto"/>
        </w:rPr>
      </w:pPr>
    </w:p>
    <w:p>
      <w:pPr>
        <w:ind w:left="1103" w:hanging="553"/>
        <w:spacing w:after="0"/>
        <w:tabs>
          <w:tab w:leader="none" w:pos="110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administrator of the Screen Rate or its supervisor announces that the Screen Rate may no longer be used; or</w:t>
      </w:r>
    </w:p>
    <w:p>
      <w:pPr>
        <w:spacing w:after="0" w:line="219" w:lineRule="exact"/>
        <w:rPr>
          <w:rFonts w:ascii="Arial" w:cs="Arial" w:eastAsia="Arial" w:hAnsi="Arial"/>
          <w:sz w:val="18"/>
          <w:szCs w:val="18"/>
          <w:color w:val="auto"/>
        </w:rPr>
      </w:pPr>
    </w:p>
    <w:p>
      <w:pPr>
        <w:ind w:left="543" w:hanging="543"/>
        <w:spacing w:after="0" w:line="267" w:lineRule="auto"/>
        <w:tabs>
          <w:tab w:leader="none" w:pos="5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administrator of that Screen Rate determines that the Screen Rate should be calculated in accordance with its reduced submissions or other contingency or fallback policies or arrangements and either:</w:t>
      </w:r>
    </w:p>
    <w:p>
      <w:pPr>
        <w:spacing w:after="0" w:line="178" w:lineRule="exact"/>
        <w:rPr>
          <w:rFonts w:ascii="Arial" w:cs="Arial" w:eastAsia="Arial" w:hAnsi="Arial"/>
          <w:sz w:val="18"/>
          <w:szCs w:val="18"/>
          <w:color w:val="auto"/>
        </w:rPr>
      </w:pPr>
    </w:p>
    <w:p>
      <w:pPr>
        <w:ind w:left="1103" w:right="500" w:hanging="553"/>
        <w:spacing w:after="0" w:line="267" w:lineRule="auto"/>
        <w:tabs>
          <w:tab w:leader="none" w:pos="11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 temporary; or</w:t>
      </w:r>
    </w:p>
    <w:p>
      <w:pPr>
        <w:spacing w:after="0" w:line="178" w:lineRule="exact"/>
        <w:rPr>
          <w:rFonts w:ascii="Arial" w:cs="Arial" w:eastAsia="Arial" w:hAnsi="Arial"/>
          <w:sz w:val="18"/>
          <w:szCs w:val="18"/>
          <w:color w:val="auto"/>
        </w:rPr>
      </w:pPr>
    </w:p>
    <w:p>
      <w:pPr>
        <w:ind w:left="1123" w:hanging="573"/>
        <w:spacing w:after="0"/>
        <w:tabs>
          <w:tab w:leader="none" w:pos="112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Screen Rate is calculated in accordance with any such policy or arrangement for a period no less than 5 days; or</w:t>
      </w:r>
    </w:p>
    <w:p>
      <w:pPr>
        <w:spacing w:after="0" w:line="219" w:lineRule="exact"/>
        <w:rPr>
          <w:rFonts w:ascii="Arial" w:cs="Arial" w:eastAsia="Arial" w:hAnsi="Arial"/>
          <w:sz w:val="18"/>
          <w:szCs w:val="18"/>
          <w:color w:val="auto"/>
        </w:rPr>
      </w:pPr>
    </w:p>
    <w:p>
      <w:pPr>
        <w:ind w:left="543" w:right="240" w:hanging="543"/>
        <w:spacing w:after="0" w:line="267" w:lineRule="auto"/>
        <w:tabs>
          <w:tab w:leader="none" w:pos="5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the Screen Rate is otherwise no longer appropriate for the purposes of calculating interest under this agreement.</w:t>
      </w:r>
    </w:p>
    <w:p>
      <w:pPr>
        <w:spacing w:after="0" w:line="173" w:lineRule="exact"/>
        <w:rPr>
          <w:sz w:val="20"/>
          <w:szCs w:val="20"/>
          <w:color w:val="auto"/>
        </w:rPr>
      </w:pPr>
    </w:p>
    <w:p>
      <w:pPr>
        <w:ind w:left="3" w:right="840"/>
        <w:spacing w:after="0" w:line="274"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means a mortgage, charge, pledge, lien or other security interest securing any obligation of any person or any other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having a similar effect.</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Separate Loan </w:t>
      </w:r>
      <w:r>
        <w:rPr>
          <w:rFonts w:ascii="Arial" w:cs="Arial" w:eastAsia="Arial" w:hAnsi="Arial"/>
          <w:sz w:val="18"/>
          <w:szCs w:val="18"/>
          <w:color w:val="auto"/>
        </w:rPr>
        <w:t>has the meaning given to that term in Clause 6.1(c) (Repayment of Loans).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Specified Time </w:t>
      </w:r>
      <w:r>
        <w:rPr>
          <w:rFonts w:ascii="Arial" w:cs="Arial" w:eastAsia="Arial" w:hAnsi="Arial"/>
          <w:sz w:val="18"/>
          <w:szCs w:val="18"/>
          <w:color w:val="auto"/>
        </w:rPr>
        <w:t>means a day or time determined in accordance with Schedule 7 (Timetables).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in relation to any company or corporation, association or other entity, a company or corporation, association or other entity:</w:t>
      </w:r>
    </w:p>
    <w:p>
      <w:pPr>
        <w:spacing w:after="0" w:line="248" w:lineRule="exact"/>
        <w:rPr>
          <w:sz w:val="20"/>
          <w:szCs w:val="20"/>
          <w:color w:val="auto"/>
        </w:rPr>
      </w:pPr>
    </w:p>
    <w:p>
      <w:pPr>
        <w:ind w:left="4923" w:right="3280" w:hanging="4923"/>
        <w:spacing w:after="0" w:line="514" w:lineRule="auto"/>
        <w:tabs>
          <w:tab w:leader="none" w:pos="53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corporation or entity;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-83185</wp:posOffset>
            </wp:positionV>
            <wp:extent cx="726948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63"/>
          </w:cols>
          <w:pgMar w:left="937" w:top="340" w:right="299" w:bottom="1440" w:gutter="0" w:footer="0" w:header="0"/>
        </w:sectPr>
      </w:pPr>
    </w:p>
    <w:bookmarkStart w:id="187" w:name="page188"/>
    <w:bookmarkEnd w:id="187"/>
    <w:p>
      <w:pPr>
        <w:ind w:left="543" w:right="80" w:hanging="543"/>
        <w:spacing w:after="0" w:line="267" w:lineRule="auto"/>
        <w:tabs>
          <w:tab w:leader="none" w:pos="5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more than half the issued equity share capital, registered capital or equity interest of which is beneficially owned, directly or indirectly, by the first mentioned company, corporation or entity; or</w:t>
      </w:r>
    </w:p>
    <w:p>
      <w:pPr>
        <w:spacing w:after="0" w:line="178" w:lineRule="exact"/>
        <w:rPr>
          <w:rFonts w:ascii="Arial" w:cs="Arial" w:eastAsia="Arial" w:hAnsi="Arial"/>
          <w:sz w:val="18"/>
          <w:szCs w:val="18"/>
          <w:color w:val="auto"/>
        </w:rPr>
      </w:pPr>
    </w:p>
    <w:p>
      <w:pPr>
        <w:ind w:left="563" w:hanging="563"/>
        <w:spacing w:after="0"/>
        <w:tabs>
          <w:tab w:leader="none" w:pos="56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corporation or entity; or</w:t>
      </w:r>
    </w:p>
    <w:p>
      <w:pPr>
        <w:spacing w:after="0" w:line="219" w:lineRule="exact"/>
        <w:rPr>
          <w:rFonts w:ascii="Arial" w:cs="Arial" w:eastAsia="Arial" w:hAnsi="Arial"/>
          <w:sz w:val="18"/>
          <w:szCs w:val="18"/>
          <w:color w:val="auto"/>
        </w:rPr>
      </w:pPr>
    </w:p>
    <w:p>
      <w:pPr>
        <w:ind w:left="543" w:right="20" w:hanging="543"/>
        <w:spacing w:after="0" w:line="267" w:lineRule="auto"/>
        <w:tabs>
          <w:tab w:leader="none" w:pos="5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financial condition or results of operation of which are or are required under GAAP to be consolidated for the purposes of the consolidated financial statements of the first mentioned company, corporation or entity,</w:t>
      </w:r>
    </w:p>
    <w:p>
      <w:pPr>
        <w:spacing w:after="0" w:line="179" w:lineRule="exact"/>
        <w:rPr>
          <w:sz w:val="20"/>
          <w:szCs w:val="20"/>
          <w:color w:val="auto"/>
        </w:rPr>
      </w:pPr>
    </w:p>
    <w:p>
      <w:pPr>
        <w:ind w:left="3" w:right="260"/>
        <w:spacing w:after="0" w:line="296" w:lineRule="auto"/>
        <w:rPr>
          <w:sz w:val="20"/>
          <w:szCs w:val="20"/>
          <w:color w:val="auto"/>
        </w:rPr>
      </w:pPr>
      <w:r>
        <w:rPr>
          <w:rFonts w:ascii="Arial" w:cs="Arial" w:eastAsia="Arial" w:hAnsi="Arial"/>
          <w:sz w:val="17"/>
          <w:szCs w:val="17"/>
          <w:color w:val="auto"/>
        </w:rPr>
        <w:t>and, for this purpose, a company, corporation or entity shall be treated as being controlled by another if that other company, corporation or entity is able to direct its affairs and/or to control the majority of the composition of its board of directors or equivalent body.</w:t>
      </w:r>
    </w:p>
    <w:p>
      <w:pPr>
        <w:spacing w:after="0" w:line="151" w:lineRule="exact"/>
        <w:rPr>
          <w:sz w:val="20"/>
          <w:szCs w:val="20"/>
          <w:color w:val="auto"/>
        </w:rPr>
      </w:pPr>
    </w:p>
    <w:p>
      <w:pPr>
        <w:ind w:left="3" w:right="100"/>
        <w:spacing w:after="0" w:line="260" w:lineRule="auto"/>
        <w:rPr>
          <w:sz w:val="20"/>
          <w:szCs w:val="20"/>
          <w:color w:val="auto"/>
        </w:rPr>
      </w:pPr>
      <w:r>
        <w:rPr>
          <w:rFonts w:ascii="Arial" w:cs="Arial" w:eastAsia="Arial" w:hAnsi="Arial"/>
          <w:sz w:val="18"/>
          <w:szCs w:val="18"/>
          <w:b w:val="1"/>
          <w:bCs w:val="1"/>
          <w:color w:val="auto"/>
        </w:rPr>
        <w:t xml:space="preserve">Super Majority Lenders </w:t>
      </w:r>
      <w:r>
        <w:rPr>
          <w:rFonts w:ascii="Arial" w:cs="Arial" w:eastAsia="Arial" w:hAnsi="Arial"/>
          <w:sz w:val="18"/>
          <w:szCs w:val="18"/>
          <w:color w:val="auto"/>
        </w:rPr>
        <w:t>means a Lender or Lenders whose Commitments aggregate 80 per cent. or more of the Total Commitments (or, if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have been reduced to zero, aggregate 80 per cent. or more of the Total Commitments immediately prior to the reduction of the Total Commitments to zero).</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Syndication Agreement </w:t>
      </w:r>
      <w:r>
        <w:rPr>
          <w:rFonts w:ascii="Arial" w:cs="Arial" w:eastAsia="Arial" w:hAnsi="Arial"/>
          <w:sz w:val="18"/>
          <w:szCs w:val="18"/>
          <w:color w:val="auto"/>
        </w:rPr>
        <w:t>has the meaning given to it in Clause 22.5 (Procedure for transfer).</w:t>
      </w:r>
    </w:p>
    <w:p>
      <w:pPr>
        <w:spacing w:after="0" w:line="219" w:lineRule="exact"/>
        <w:rPr>
          <w:sz w:val="20"/>
          <w:szCs w:val="20"/>
          <w:color w:val="auto"/>
        </w:rPr>
      </w:pPr>
    </w:p>
    <w:p>
      <w:pPr>
        <w:ind w:left="3" w:right="80"/>
        <w:spacing w:after="0" w:line="274"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failure to pay or any delay in paying any of the same).</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has the meaning given to such term in paragraph (a) of Clause 12.1 (Tax definitions).</w:t>
      </w:r>
    </w:p>
    <w:p>
      <w:pPr>
        <w:spacing w:after="0" w:line="21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at any time the aggregate of the Commitments (being US$500,000,000 at the date of this agreement).</w:t>
      </w:r>
    </w:p>
    <w:p>
      <w:pPr>
        <w:spacing w:after="0" w:line="219" w:lineRule="exact"/>
        <w:rPr>
          <w:sz w:val="20"/>
          <w:szCs w:val="20"/>
          <w:color w:val="auto"/>
        </w:rPr>
      </w:pPr>
    </w:p>
    <w:p>
      <w:pPr>
        <w:ind w:left="3" w:right="540"/>
        <w:spacing w:after="0" w:line="274"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4 (Form of Transfer Certificate) or any other form agreed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Agent and the Borrower.</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w:t>
      </w:r>
    </w:p>
    <w:p>
      <w:pPr>
        <w:spacing w:after="0" w:line="225" w:lineRule="exact"/>
        <w:rPr>
          <w:sz w:val="20"/>
          <w:szCs w:val="20"/>
          <w:color w:val="auto"/>
        </w:rPr>
      </w:pPr>
    </w:p>
    <w:p>
      <w:pPr>
        <w:ind w:left="543" w:hanging="543"/>
        <w:spacing w:after="0"/>
        <w:tabs>
          <w:tab w:leader="none" w:pos="5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respect of an assignment or a transfer pursuant to an Assignment Agreement or Transfer Certificate, the later of:</w:t>
      </w:r>
    </w:p>
    <w:p>
      <w:pPr>
        <w:spacing w:after="0" w:line="219" w:lineRule="exact"/>
        <w:rPr>
          <w:rFonts w:ascii="Arial" w:cs="Arial" w:eastAsia="Arial" w:hAnsi="Arial"/>
          <w:sz w:val="18"/>
          <w:szCs w:val="18"/>
          <w:color w:val="auto"/>
        </w:rPr>
      </w:pPr>
    </w:p>
    <w:p>
      <w:pPr>
        <w:ind w:left="1123" w:hanging="573"/>
        <w:spacing w:after="0"/>
        <w:tabs>
          <w:tab w:leader="none" w:pos="112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219" w:lineRule="exact"/>
        <w:rPr>
          <w:rFonts w:ascii="Arial" w:cs="Arial" w:eastAsia="Arial" w:hAnsi="Arial"/>
          <w:sz w:val="18"/>
          <w:szCs w:val="18"/>
          <w:color w:val="auto"/>
        </w:rPr>
      </w:pPr>
    </w:p>
    <w:p>
      <w:pPr>
        <w:ind w:left="1123" w:hanging="573"/>
        <w:spacing w:after="0"/>
        <w:tabs>
          <w:tab w:leader="none" w:pos="112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 and</w:t>
      </w:r>
    </w:p>
    <w:p>
      <w:pPr>
        <w:spacing w:after="0" w:line="219" w:lineRule="exact"/>
        <w:rPr>
          <w:rFonts w:ascii="Arial" w:cs="Arial" w:eastAsia="Arial" w:hAnsi="Arial"/>
          <w:sz w:val="18"/>
          <w:szCs w:val="18"/>
          <w:color w:val="auto"/>
        </w:rPr>
      </w:pPr>
    </w:p>
    <w:p>
      <w:pPr>
        <w:ind w:left="563" w:hanging="563"/>
        <w:spacing w:after="0"/>
        <w:tabs>
          <w:tab w:leader="none" w:pos="56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respect of an assignment or transfer pursuant to a Syndication Agreement, the date specified as such in the Syndication Agreement.</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the Borrower under any or all of the Finance Documents.</w:t>
      </w:r>
    </w:p>
    <w:p>
      <w:pPr>
        <w:spacing w:after="0" w:line="219" w:lineRule="exact"/>
        <w:rPr>
          <w:sz w:val="20"/>
          <w:szCs w:val="20"/>
          <w:color w:val="auto"/>
        </w:rPr>
      </w:pPr>
    </w:p>
    <w:p>
      <w:pPr>
        <w:ind w:left="3"/>
        <w:spacing w:after="0" w:line="274" w:lineRule="auto"/>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and</w:t>
      </w:r>
      <w:r>
        <w:rPr>
          <w:rFonts w:ascii="Arial" w:cs="Arial" w:eastAsia="Arial" w:hAnsi="Arial"/>
          <w:sz w:val="18"/>
          <w:szCs w:val="18"/>
          <w:b w:val="1"/>
          <w:bCs w:val="1"/>
          <w:color w:val="auto"/>
        </w:rPr>
        <w:t xml:space="preserve"> United States </w:t>
      </w:r>
      <w:r>
        <w:rPr>
          <w:rFonts w:ascii="Arial" w:cs="Arial" w:eastAsia="Arial" w:hAnsi="Arial"/>
          <w:sz w:val="18"/>
          <w:szCs w:val="18"/>
          <w:color w:val="auto"/>
        </w:rPr>
        <w:t>means the United States of America, its territories, possessions and other areas subject to the jurisdiction of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w:t>
      </w:r>
    </w:p>
    <w:p>
      <w:pPr>
        <w:spacing w:after="0" w:line="173"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77470</wp:posOffset>
            </wp:positionV>
            <wp:extent cx="726948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03"/>
          </w:cols>
          <w:pgMar w:left="937" w:top="340" w:right="259" w:bottom="1440" w:gutter="0" w:footer="0" w:header="0"/>
        </w:sectPr>
      </w:pPr>
    </w:p>
    <w:bookmarkStart w:id="188" w:name="page189"/>
    <w:bookmarkEnd w:id="188"/>
    <w:p>
      <w:pPr>
        <w:ind w:left="700"/>
        <w:spacing w:after="0"/>
        <w:rPr>
          <w:sz w:val="20"/>
          <w:szCs w:val="20"/>
          <w:color w:val="auto"/>
        </w:rPr>
      </w:pPr>
      <w:r>
        <w:rPr>
          <w:rFonts w:ascii="Arial" w:cs="Arial" w:eastAsia="Arial" w:hAnsi="Arial"/>
          <w:sz w:val="18"/>
          <w:szCs w:val="18"/>
          <w:b w:val="1"/>
          <w:bCs w:val="1"/>
          <w:color w:val="auto"/>
        </w:rPr>
        <w:t xml:space="preserve">US Bankruptcy Code </w:t>
      </w:r>
      <w:r>
        <w:rPr>
          <w:rFonts w:ascii="Arial" w:cs="Arial" w:eastAsia="Arial" w:hAnsi="Arial"/>
          <w:sz w:val="18"/>
          <w:szCs w:val="18"/>
          <w:color w:val="auto"/>
        </w:rPr>
        <w:t>means Title 11 of the United States Code, 11 USC. 101 et seq., entitled “Bankruptcy”.</w:t>
      </w:r>
    </w:p>
    <w:p>
      <w:pPr>
        <w:spacing w:after="0" w:line="219" w:lineRule="exact"/>
        <w:rPr>
          <w:sz w:val="20"/>
          <w:szCs w:val="20"/>
          <w:color w:val="auto"/>
        </w:rPr>
      </w:pPr>
    </w:p>
    <w:p>
      <w:pPr>
        <w:ind w:left="700" w:right="60"/>
        <w:spacing w:after="0" w:line="274" w:lineRule="auto"/>
        <w:rPr>
          <w:sz w:val="20"/>
          <w:szCs w:val="20"/>
          <w:color w:val="auto"/>
        </w:rPr>
      </w:pPr>
      <w:r>
        <w:rPr>
          <w:rFonts w:ascii="Arial" w:cs="Arial" w:eastAsia="Arial" w:hAnsi="Arial"/>
          <w:sz w:val="18"/>
          <w:szCs w:val="18"/>
          <w:b w:val="1"/>
          <w:bCs w:val="1"/>
          <w:color w:val="auto"/>
        </w:rPr>
        <w:t xml:space="preserve">U.S.A. Patriot Act </w:t>
      </w:r>
      <w:r>
        <w:rPr>
          <w:rFonts w:ascii="Arial" w:cs="Arial" w:eastAsia="Arial" w:hAnsi="Arial"/>
          <w:sz w:val="18"/>
          <w:szCs w:val="18"/>
          <w:color w:val="auto"/>
        </w:rPr>
        <w:t>means the Uniting and Strengthening America by Providing Appropriate Tools Required to Intercept and Obstruct Terrorism Act</w:t>
      </w:r>
      <w:r>
        <w:rPr>
          <w:rFonts w:ascii="Arial" w:cs="Arial" w:eastAsia="Arial" w:hAnsi="Arial"/>
          <w:sz w:val="18"/>
          <w:szCs w:val="18"/>
          <w:b w:val="1"/>
          <w:bCs w:val="1"/>
          <w:color w:val="auto"/>
        </w:rPr>
        <w:t xml:space="preserve"> </w:t>
      </w:r>
      <w:r>
        <w:rPr>
          <w:rFonts w:ascii="Arial" w:cs="Arial" w:eastAsia="Arial" w:hAnsi="Arial"/>
          <w:sz w:val="18"/>
          <w:szCs w:val="18"/>
          <w:color w:val="auto"/>
        </w:rPr>
        <w:t>of 2001, Public Law 107-56.</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 the Borrower if:</w:t>
      </w:r>
    </w:p>
    <w:p>
      <w:pPr>
        <w:spacing w:after="0" w:line="225" w:lineRule="exact"/>
        <w:rPr>
          <w:sz w:val="20"/>
          <w:szCs w:val="20"/>
          <w:color w:val="auto"/>
        </w:rPr>
      </w:pPr>
    </w:p>
    <w:p>
      <w:pPr>
        <w:ind w:left="1240" w:hanging="543"/>
        <w:spacing w:after="0"/>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it is resident for tax purposes in the US; or</w:t>
      </w:r>
    </w:p>
    <w:p>
      <w:pPr>
        <w:spacing w:after="0" w:line="219" w:lineRule="exact"/>
        <w:rPr>
          <w:rFonts w:ascii="Arial" w:cs="Arial" w:eastAsia="Arial" w:hAnsi="Arial"/>
          <w:sz w:val="18"/>
          <w:szCs w:val="18"/>
          <w:color w:val="auto"/>
        </w:rPr>
      </w:pPr>
    </w:p>
    <w:p>
      <w:pPr>
        <w:ind w:left="1260" w:hanging="563"/>
        <w:spacing w:after="0"/>
        <w:tabs>
          <w:tab w:leader="none" w:pos="1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its payments under the Finance Documents are from sources within the US for US federal income tax purposes.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a utilisation of the Facility.</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of a Utilisation, being the date on which the relevant Loan is made or to be made.</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3.</w:t>
      </w:r>
    </w:p>
    <w:p>
      <w:pPr>
        <w:spacing w:after="0" w:line="219"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b w:val="1"/>
          <w:bCs w:val="1"/>
          <w:color w:val="auto"/>
        </w:rPr>
        <w:t xml:space="preserve">Voting Participation </w:t>
      </w:r>
      <w:r>
        <w:rPr>
          <w:rFonts w:ascii="Arial" w:cs="Arial" w:eastAsia="Arial" w:hAnsi="Arial"/>
          <w:sz w:val="18"/>
          <w:szCs w:val="18"/>
          <w:color w:val="auto"/>
        </w:rPr>
        <w:t>means a participation or sub-participation in relation to, or any other transaction under which payments are to be made or may</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by reference to, one or more Finance Documents, the Facility and/or the Borrower which includes a transfer of any voting rights under, or in relation to, the Finance Documents (including, for the avoidance of doubt, arising as a result of being able to direct the way that another person exercises its voting rights).</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225" w:lineRule="exact"/>
        <w:rPr>
          <w:sz w:val="20"/>
          <w:szCs w:val="20"/>
          <w:color w:val="auto"/>
        </w:rPr>
      </w:pPr>
    </w:p>
    <w:p>
      <w:pPr>
        <w:ind w:left="1260" w:hanging="559"/>
        <w:spacing w:after="0"/>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213" w:lineRule="exact"/>
        <w:rPr>
          <w:rFonts w:ascii="Arial" w:cs="Arial" w:eastAsia="Arial" w:hAnsi="Arial"/>
          <w:sz w:val="18"/>
          <w:szCs w:val="18"/>
          <w:color w:val="auto"/>
        </w:rPr>
      </w:pPr>
    </w:p>
    <w:p>
      <w:pPr>
        <w:jc w:val="both"/>
        <w:ind w:left="1800" w:hanging="545"/>
        <w:spacing w:after="0" w:line="338" w:lineRule="auto"/>
        <w:tabs>
          <w:tab w:leader="none" w:pos="182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any </w:t>
      </w:r>
      <w:r>
        <w:rPr>
          <w:rFonts w:ascii="Arial" w:cs="Arial" w:eastAsia="Arial" w:hAnsi="Arial"/>
          <w:sz w:val="16"/>
          <w:szCs w:val="16"/>
          <w:b w:val="1"/>
          <w:bCs w:val="1"/>
          <w:color w:val="auto"/>
        </w:rPr>
        <w:t>Administrative Party</w:t>
      </w:r>
      <w:r>
        <w:rPr>
          <w:rFonts w:ascii="Arial" w:cs="Arial" w:eastAsia="Arial" w:hAnsi="Arial"/>
          <w:sz w:val="16"/>
          <w:szCs w:val="16"/>
          <w:color w:val="auto"/>
        </w:rPr>
        <w:t xml:space="preserve">,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any </w:t>
      </w:r>
      <w:r>
        <w:rPr>
          <w:rFonts w:ascii="Arial" w:cs="Arial" w:eastAsia="Arial" w:hAnsi="Arial"/>
          <w:sz w:val="16"/>
          <w:szCs w:val="16"/>
          <w:b w:val="1"/>
          <w:bCs w:val="1"/>
          <w:color w:val="auto"/>
        </w:rPr>
        <w:t>MLAB</w:t>
      </w:r>
      <w:r>
        <w:rPr>
          <w:rFonts w:ascii="Arial" w:cs="Arial" w:eastAsia="Arial" w:hAnsi="Arial"/>
          <w:sz w:val="16"/>
          <w:szCs w:val="16"/>
          <w:color w:val="auto"/>
        </w:rPr>
        <w:t xml:space="preserve">, any </w:t>
      </w:r>
      <w:r>
        <w:rPr>
          <w:rFonts w:ascii="Arial" w:cs="Arial" w:eastAsia="Arial" w:hAnsi="Arial"/>
          <w:sz w:val="16"/>
          <w:szCs w:val="16"/>
          <w:b w:val="1"/>
          <w:bCs w:val="1"/>
          <w:color w:val="auto"/>
        </w:rPr>
        <w:t>Finance Party</w:t>
      </w:r>
      <w:r>
        <w:rPr>
          <w:rFonts w:ascii="Arial" w:cs="Arial" w:eastAsia="Arial" w:hAnsi="Arial"/>
          <w:sz w:val="16"/>
          <w:szCs w:val="16"/>
          <w:color w:val="auto"/>
        </w:rPr>
        <w:t xml:space="preserve">, any </w:t>
      </w:r>
      <w:r>
        <w:rPr>
          <w:rFonts w:ascii="Arial" w:cs="Arial" w:eastAsia="Arial" w:hAnsi="Arial"/>
          <w:sz w:val="16"/>
          <w:szCs w:val="16"/>
          <w:b w:val="1"/>
          <w:bCs w:val="1"/>
          <w:color w:val="auto"/>
        </w:rPr>
        <w:t>Lender</w:t>
      </w:r>
      <w:r>
        <w:rPr>
          <w:rFonts w:ascii="Arial" w:cs="Arial" w:eastAsia="Arial" w:hAnsi="Arial"/>
          <w:sz w:val="16"/>
          <w:szCs w:val="16"/>
          <w:color w:val="auto"/>
        </w:rPr>
        <w:t xml:space="preserve">, or any </w:t>
      </w:r>
      <w:r>
        <w:rPr>
          <w:rFonts w:ascii="Arial" w:cs="Arial" w:eastAsia="Arial" w:hAnsi="Arial"/>
          <w:sz w:val="16"/>
          <w:szCs w:val="16"/>
          <w:b w:val="1"/>
          <w:bCs w:val="1"/>
          <w:color w:val="auto"/>
        </w:rPr>
        <w:t>Party</w:t>
      </w:r>
      <w:r>
        <w:rPr>
          <w:rFonts w:ascii="Arial" w:cs="Arial" w:eastAsia="Arial" w:hAnsi="Arial"/>
          <w:sz w:val="16"/>
          <w:szCs w:val="16"/>
          <w:color w:val="auto"/>
        </w:rPr>
        <w:t xml:space="preserve"> shall be construed so as to include its successors in title, permitted assigns and permitted transferees to, or of, its rights and/or obligations under the Finance Documents;</w:t>
      </w:r>
    </w:p>
    <w:p>
      <w:pPr>
        <w:spacing w:after="0" w:line="121" w:lineRule="exact"/>
        <w:rPr>
          <w:rFonts w:ascii="Arial" w:cs="Arial" w:eastAsia="Arial" w:hAnsi="Arial"/>
          <w:sz w:val="16"/>
          <w:szCs w:val="16"/>
          <w:color w:val="auto"/>
        </w:rPr>
      </w:pPr>
    </w:p>
    <w:p>
      <w:pPr>
        <w:ind w:left="1840" w:hanging="585"/>
        <w:spacing w:after="0"/>
        <w:tabs>
          <w:tab w:leader="none" w:pos="1840"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19" w:lineRule="exact"/>
        <w:rPr>
          <w:rFonts w:ascii="Arial" w:cs="Arial" w:eastAsia="Arial" w:hAnsi="Arial"/>
          <w:sz w:val="18"/>
          <w:szCs w:val="18"/>
          <w:color w:val="auto"/>
        </w:rPr>
      </w:pPr>
    </w:p>
    <w:p>
      <w:pPr>
        <w:jc w:val="both"/>
        <w:ind w:left="1800" w:right="140" w:hanging="545"/>
        <w:spacing w:after="0" w:line="260" w:lineRule="auto"/>
        <w:tabs>
          <w:tab w:leader="none" w:pos="1845"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disposal </w:t>
      </w:r>
      <w:r>
        <w:rPr>
          <w:rFonts w:ascii="Arial" w:cs="Arial" w:eastAsia="Arial" w:hAnsi="Arial"/>
          <w:sz w:val="18"/>
          <w:szCs w:val="18"/>
          <w:color w:val="auto"/>
        </w:rPr>
        <w:t>includes any sale, lease, transfer, conveyance, assignment and other disposal of any asset or any interest therein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other transaction or arrangement pursuant to which the economic benefit of or beneficial interest in such asset is lost or diluted) and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shall be construed accordingly;</w:t>
      </w:r>
    </w:p>
    <w:p>
      <w:pPr>
        <w:spacing w:after="0" w:line="179" w:lineRule="exact"/>
        <w:rPr>
          <w:rFonts w:ascii="Arial" w:cs="Arial" w:eastAsia="Arial" w:hAnsi="Arial"/>
          <w:sz w:val="18"/>
          <w:szCs w:val="18"/>
          <w:color w:val="auto"/>
        </w:rPr>
      </w:pPr>
    </w:p>
    <w:p>
      <w:pPr>
        <w:ind w:left="1800" w:right="20" w:hanging="545"/>
        <w:spacing w:after="0" w:line="274" w:lineRule="auto"/>
        <w:tabs>
          <w:tab w:leader="none" w:pos="182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amended, novated, supplemented, extended or restated;</w:t>
      </w:r>
    </w:p>
    <w:p>
      <w:pPr>
        <w:spacing w:after="0" w:line="166" w:lineRule="exact"/>
        <w:rPr>
          <w:rFonts w:ascii="Arial" w:cs="Arial" w:eastAsia="Arial" w:hAnsi="Arial"/>
          <w:sz w:val="18"/>
          <w:szCs w:val="18"/>
          <w:color w:val="auto"/>
        </w:rPr>
      </w:pPr>
    </w:p>
    <w:p>
      <w:pPr>
        <w:ind w:left="1800" w:hanging="545"/>
        <w:spacing w:after="0" w:line="256" w:lineRule="auto"/>
        <w:tabs>
          <w:tab w:leader="none" w:pos="1813"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includes any guarantee, letter of credit, bond, indemnity or similar assurance against loss, or any obligation,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82" w:lineRule="exact"/>
        <w:rPr>
          <w:rFonts w:ascii="Arial" w:cs="Arial" w:eastAsia="Arial" w:hAnsi="Arial"/>
          <w:sz w:val="18"/>
          <w:szCs w:val="18"/>
          <w:color w:val="auto"/>
        </w:rPr>
      </w:pPr>
    </w:p>
    <w:p>
      <w:pPr>
        <w:ind w:left="1840" w:hanging="585"/>
        <w:spacing w:after="0"/>
        <w:tabs>
          <w:tab w:leader="none" w:pos="1840" w:val="left"/>
        </w:tabs>
        <w:numPr>
          <w:ilvl w:val="1"/>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shall be construed as “including without limitation” (and cognate expressions shall be construed similarly);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89" w:name="page190"/>
    <w:bookmarkEnd w:id="189"/>
    <w:p>
      <w:pPr>
        <w:ind w:left="1139" w:hanging="585"/>
        <w:spacing w:after="0"/>
        <w:tabs>
          <w:tab w:leader="none" w:pos="113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19" w:lineRule="exact"/>
        <w:rPr>
          <w:rFonts w:ascii="Arial" w:cs="Arial" w:eastAsia="Arial" w:hAnsi="Arial"/>
          <w:sz w:val="18"/>
          <w:szCs w:val="18"/>
          <w:color w:val="auto"/>
        </w:rPr>
      </w:pPr>
    </w:p>
    <w:p>
      <w:pPr>
        <w:ind w:left="1099" w:right="240" w:hanging="545"/>
        <w:spacing w:after="0" w:line="274"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actual or contingent;</w:t>
      </w:r>
    </w:p>
    <w:p>
      <w:pPr>
        <w:spacing w:after="0" w:line="166" w:lineRule="exact"/>
        <w:rPr>
          <w:rFonts w:ascii="Arial" w:cs="Arial" w:eastAsia="Arial" w:hAnsi="Arial"/>
          <w:sz w:val="18"/>
          <w:szCs w:val="18"/>
          <w:color w:val="auto"/>
        </w:rPr>
      </w:pPr>
    </w:p>
    <w:p>
      <w:pPr>
        <w:ind w:left="1099" w:hanging="545"/>
        <w:spacing w:after="0" w:line="260" w:lineRule="auto"/>
        <w:tabs>
          <w:tab w:leader="none" w:pos="112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a Lender’s </w:t>
      </w:r>
      <w:r>
        <w:rPr>
          <w:rFonts w:ascii="Arial" w:cs="Arial" w:eastAsia="Arial" w:hAnsi="Arial"/>
          <w:sz w:val="18"/>
          <w:szCs w:val="18"/>
          <w:b w:val="1"/>
          <w:bCs w:val="1"/>
          <w:color w:val="auto"/>
        </w:rPr>
        <w:t>participation</w:t>
      </w:r>
      <w:r>
        <w:rPr>
          <w:rFonts w:ascii="Arial" w:cs="Arial" w:eastAsia="Arial" w:hAnsi="Arial"/>
          <w:sz w:val="18"/>
          <w:szCs w:val="18"/>
          <w:color w:val="auto"/>
        </w:rPr>
        <w:t xml:space="preserve"> in a Loan or Unpaid Sum includes an amount (in the currency of such Loan or Unpaid Sum) representing the fraction or portion (attributable to such Lender by virtue of the provisions of this agreement) of the total amount of such Loan or Unpaid Sum and the Lender’s rights under the Finance Documents in respect thereof;</w:t>
      </w:r>
    </w:p>
    <w:p>
      <w:pPr>
        <w:spacing w:after="0" w:line="179" w:lineRule="exact"/>
        <w:rPr>
          <w:rFonts w:ascii="Arial" w:cs="Arial" w:eastAsia="Arial" w:hAnsi="Arial"/>
          <w:sz w:val="18"/>
          <w:szCs w:val="18"/>
          <w:color w:val="auto"/>
        </w:rPr>
      </w:pPr>
    </w:p>
    <w:p>
      <w:pPr>
        <w:ind w:left="1099" w:right="300" w:hanging="545"/>
        <w:spacing w:after="0" w:line="304" w:lineRule="auto"/>
        <w:tabs>
          <w:tab w:leader="none" w:pos="1112"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includes any individual, firm, company, corporation, government, state or agency of a state or any association, trust, joint venture, consortium, partnership or other entity (whether or not having separate legal personality);</w:t>
      </w:r>
    </w:p>
    <w:p>
      <w:pPr>
        <w:spacing w:after="0" w:line="144" w:lineRule="exact"/>
        <w:rPr>
          <w:rFonts w:ascii="Arial" w:cs="Arial" w:eastAsia="Arial" w:hAnsi="Arial"/>
          <w:sz w:val="17"/>
          <w:szCs w:val="17"/>
          <w:color w:val="auto"/>
        </w:rPr>
      </w:pPr>
    </w:p>
    <w:p>
      <w:pPr>
        <w:ind w:left="1099" w:right="220" w:hanging="545"/>
        <w:spacing w:after="0" w:line="308" w:lineRule="auto"/>
        <w:tabs>
          <w:tab w:leader="none" w:pos="112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regulation</w:t>
      </w:r>
      <w:r>
        <w:rPr>
          <w:rFonts w:ascii="Arial" w:cs="Arial" w:eastAsia="Arial" w:hAnsi="Arial"/>
          <w:sz w:val="16"/>
          <w:szCs w:val="16"/>
          <w:color w:val="auto"/>
        </w:rPr>
        <w:t xml:space="preserve"> includes any regulation, rule, official directive, request or guideline (whether or not having the force of law but if not having the force of law, being of a type with which any person to whom it applies is accustomed to comply) of any governmental, intergovernmental or supranational body, agency, department or of any regulatory, self-regulatory or other authority or organisation;</w:t>
      </w:r>
    </w:p>
    <w:p>
      <w:pPr>
        <w:spacing w:after="0" w:line="150" w:lineRule="exact"/>
        <w:rPr>
          <w:rFonts w:ascii="Arial" w:cs="Arial" w:eastAsia="Arial" w:hAnsi="Arial"/>
          <w:sz w:val="16"/>
          <w:szCs w:val="16"/>
          <w:color w:val="auto"/>
        </w:rPr>
      </w:pPr>
    </w:p>
    <w:p>
      <w:pPr>
        <w:ind w:left="1139" w:hanging="585"/>
        <w:spacing w:after="0"/>
        <w:tabs>
          <w:tab w:leader="none" w:pos="113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19" w:lineRule="exact"/>
        <w:rPr>
          <w:rFonts w:ascii="Arial" w:cs="Arial" w:eastAsia="Arial" w:hAnsi="Arial"/>
          <w:sz w:val="18"/>
          <w:szCs w:val="18"/>
          <w:color w:val="auto"/>
        </w:rPr>
      </w:pPr>
    </w:p>
    <w:p>
      <w:pPr>
        <w:ind w:left="1139" w:hanging="585"/>
        <w:spacing w:after="0"/>
        <w:tabs>
          <w:tab w:leader="none" w:pos="113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time of day is a reference to Hong Kong time.</w:t>
      </w:r>
    </w:p>
    <w:p>
      <w:pPr>
        <w:spacing w:after="0" w:line="213" w:lineRule="exact"/>
        <w:rPr>
          <w:rFonts w:ascii="Arial" w:cs="Arial" w:eastAsia="Arial" w:hAnsi="Arial"/>
          <w:sz w:val="18"/>
          <w:szCs w:val="18"/>
          <w:color w:val="auto"/>
        </w:rPr>
      </w:pPr>
    </w:p>
    <w:p>
      <w:pPr>
        <w:ind w:left="559" w:right="120" w:hanging="559"/>
        <w:spacing w:after="0" w:line="274" w:lineRule="auto"/>
        <w:tabs>
          <w:tab w:leader="none" w:pos="57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72" w:lineRule="exact"/>
        <w:rPr>
          <w:rFonts w:ascii="Arial" w:cs="Arial" w:eastAsia="Arial" w:hAnsi="Arial"/>
          <w:sz w:val="18"/>
          <w:szCs w:val="18"/>
          <w:color w:val="auto"/>
        </w:rPr>
      </w:pPr>
    </w:p>
    <w:p>
      <w:pPr>
        <w:ind w:left="579" w:hanging="579"/>
        <w:spacing w:after="0"/>
        <w:tabs>
          <w:tab w:leader="none" w:pos="57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Clause and Schedule headings are for ease of reference only.</w:t>
      </w:r>
    </w:p>
    <w:p>
      <w:pPr>
        <w:spacing w:after="0" w:line="219" w:lineRule="exact"/>
        <w:rPr>
          <w:rFonts w:ascii="Arial" w:cs="Arial" w:eastAsia="Arial" w:hAnsi="Arial"/>
          <w:sz w:val="18"/>
          <w:szCs w:val="18"/>
          <w:color w:val="auto"/>
        </w:rPr>
      </w:pPr>
    </w:p>
    <w:p>
      <w:pPr>
        <w:ind w:left="559" w:right="460" w:hanging="559"/>
        <w:spacing w:after="0" w:line="267" w:lineRule="auto"/>
        <w:tabs>
          <w:tab w:leader="none" w:pos="57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72" w:lineRule="exact"/>
        <w:rPr>
          <w:rFonts w:ascii="Arial" w:cs="Arial" w:eastAsia="Arial" w:hAnsi="Arial"/>
          <w:sz w:val="18"/>
          <w:szCs w:val="18"/>
          <w:color w:val="auto"/>
        </w:rPr>
      </w:pPr>
    </w:p>
    <w:p>
      <w:pPr>
        <w:ind w:left="579" w:hanging="579"/>
        <w:spacing w:after="0"/>
        <w:tabs>
          <w:tab w:leader="none" w:pos="57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w:t>
      </w:r>
    </w:p>
    <w:p>
      <w:pPr>
        <w:spacing w:after="0" w:line="225" w:lineRule="exact"/>
        <w:rPr>
          <w:rFonts w:ascii="Arial" w:cs="Arial" w:eastAsia="Arial" w:hAnsi="Arial"/>
          <w:sz w:val="18"/>
          <w:szCs w:val="18"/>
          <w:color w:val="auto"/>
        </w:rPr>
      </w:pPr>
    </w:p>
    <w:p>
      <w:pPr>
        <w:ind w:left="559" w:hanging="559"/>
        <w:spacing w:after="0" w:line="251" w:lineRule="auto"/>
        <w:tabs>
          <w:tab w:leader="none" w:pos="56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purposes of Clause 17 (</w:t>
      </w:r>
      <w:r>
        <w:rPr>
          <w:rFonts w:ascii="Arial" w:cs="Arial" w:eastAsia="Arial" w:hAnsi="Arial"/>
          <w:sz w:val="18"/>
          <w:szCs w:val="18"/>
          <w:i w:val="1"/>
          <w:iCs w:val="1"/>
          <w:color w:val="auto"/>
        </w:rPr>
        <w:t>Representations</w:t>
      </w:r>
      <w:r>
        <w:rPr>
          <w:rFonts w:ascii="Arial" w:cs="Arial" w:eastAsia="Arial" w:hAnsi="Arial"/>
          <w:sz w:val="18"/>
          <w:szCs w:val="18"/>
          <w:color w:val="auto"/>
        </w:rPr>
        <w:t>), 20 (</w:t>
      </w:r>
      <w:r>
        <w:rPr>
          <w:rFonts w:ascii="Arial" w:cs="Arial" w:eastAsia="Arial" w:hAnsi="Arial"/>
          <w:sz w:val="18"/>
          <w:szCs w:val="18"/>
          <w:i w:val="1"/>
          <w:iCs w:val="1"/>
          <w:color w:val="auto"/>
        </w:rPr>
        <w:t>General Undertakings</w:t>
      </w:r>
      <w:r>
        <w:rPr>
          <w:rFonts w:ascii="Arial" w:cs="Arial" w:eastAsia="Arial" w:hAnsi="Arial"/>
          <w:sz w:val="18"/>
          <w:szCs w:val="18"/>
          <w:color w:val="auto"/>
        </w:rPr>
        <w:t>), 21 (</w:t>
      </w:r>
      <w:r>
        <w:rPr>
          <w:rFonts w:ascii="Arial" w:cs="Arial" w:eastAsia="Arial" w:hAnsi="Arial"/>
          <w:sz w:val="18"/>
          <w:szCs w:val="18"/>
          <w:i w:val="1"/>
          <w:iCs w:val="1"/>
          <w:color w:val="auto"/>
        </w:rPr>
        <w:t>Events of Default</w:t>
      </w:r>
      <w:r>
        <w:rPr>
          <w:rFonts w:ascii="Arial" w:cs="Arial" w:eastAsia="Arial" w:hAnsi="Arial"/>
          <w:sz w:val="18"/>
          <w:szCs w:val="18"/>
          <w:color w:val="auto"/>
        </w:rPr>
        <w:t>), (but not, for the avoidance of doubt, Clause 21.2 (</w:t>
      </w:r>
      <w:r>
        <w:rPr>
          <w:rFonts w:ascii="Arial" w:cs="Arial" w:eastAsia="Arial" w:hAnsi="Arial"/>
          <w:sz w:val="18"/>
          <w:szCs w:val="18"/>
          <w:i w:val="1"/>
          <w:iCs w:val="1"/>
          <w:color w:val="auto"/>
        </w:rPr>
        <w:t>Non-payment</w:t>
      </w:r>
      <w:r>
        <w:rPr>
          <w:rFonts w:ascii="Arial" w:cs="Arial" w:eastAsia="Arial" w:hAnsi="Arial"/>
          <w:sz w:val="18"/>
          <w:szCs w:val="18"/>
          <w:color w:val="auto"/>
        </w:rPr>
        <w:t>) or Clause 21.2 (</w:t>
      </w:r>
      <w:r>
        <w:rPr>
          <w:rFonts w:ascii="Arial" w:cs="Arial" w:eastAsia="Arial" w:hAnsi="Arial"/>
          <w:sz w:val="18"/>
          <w:szCs w:val="18"/>
          <w:i w:val="1"/>
          <w:iCs w:val="1"/>
          <w:color w:val="auto"/>
        </w:rPr>
        <w:t>Financial Covenants</w:t>
      </w:r>
      <w:r>
        <w:rPr>
          <w:rFonts w:ascii="Arial" w:cs="Arial" w:eastAsia="Arial" w:hAnsi="Arial"/>
          <w:sz w:val="18"/>
          <w:szCs w:val="18"/>
          <w:color w:val="auto"/>
        </w:rPr>
        <w:t>) or any breach thereof), a reference to an amount (or its equivalent in another currency or currencies) shall be determined by reference to the rate of exchange as at the date of the relevant member of the Group incurring, committing to or making the relevant disposal, acquisition, investment, lease, loan, debt or guarantee or other relevant action. No breach, Default or Event of Default shall arise merely as a result of a subsequent change in the base currency equivalent of any relevant amount due to fluctuations in exchange rates.</w:t>
      </w:r>
    </w:p>
    <w:p>
      <w:pPr>
        <w:spacing w:after="0" w:line="186" w:lineRule="exact"/>
        <w:rPr>
          <w:rFonts w:ascii="Arial" w:cs="Arial" w:eastAsia="Arial" w:hAnsi="Arial"/>
          <w:sz w:val="18"/>
          <w:szCs w:val="18"/>
          <w:color w:val="auto"/>
        </w:rPr>
      </w:pPr>
    </w:p>
    <w:p>
      <w:pPr>
        <w:ind w:left="559" w:right="60" w:hanging="559"/>
        <w:spacing w:after="0" w:line="256" w:lineRule="auto"/>
        <w:tabs>
          <w:tab w:leader="none" w:pos="5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Where this agreement specifies an amount in a given currency (the </w:t>
      </w:r>
      <w:r>
        <w:rPr>
          <w:rFonts w:ascii="Arial" w:cs="Arial" w:eastAsia="Arial" w:hAnsi="Arial"/>
          <w:sz w:val="18"/>
          <w:szCs w:val="18"/>
          <w:b w:val="1"/>
          <w:bCs w:val="1"/>
          <w:color w:val="auto"/>
        </w:rPr>
        <w:t>specified currency</w:t>
      </w:r>
      <w:r>
        <w:rPr>
          <w:rFonts w:ascii="Arial" w:cs="Arial" w:eastAsia="Arial" w:hAnsi="Arial"/>
          <w:sz w:val="18"/>
          <w:szCs w:val="18"/>
          <w:color w:val="auto"/>
        </w:rPr>
        <w:t xml:space="preserve">) </w:t>
      </w:r>
      <w:r>
        <w:rPr>
          <w:rFonts w:ascii="Arial" w:cs="Arial" w:eastAsia="Arial" w:hAnsi="Arial"/>
          <w:sz w:val="18"/>
          <w:szCs w:val="18"/>
          <w:b w:val="1"/>
          <w:bCs w:val="1"/>
          <w:color w:val="auto"/>
        </w:rPr>
        <w:t>or its equivalent</w:t>
      </w:r>
      <w:r>
        <w:rPr>
          <w:rFonts w:ascii="Arial" w:cs="Arial" w:eastAsia="Arial" w:hAnsi="Arial"/>
          <w:sz w:val="18"/>
          <w:szCs w:val="18"/>
          <w:color w:val="auto"/>
        </w:rPr>
        <w:t xml:space="preserve">, the </w:t>
      </w:r>
      <w:r>
        <w:rPr>
          <w:rFonts w:ascii="Arial" w:cs="Arial" w:eastAsia="Arial" w:hAnsi="Arial"/>
          <w:sz w:val="18"/>
          <w:szCs w:val="18"/>
          <w:b w:val="1"/>
          <w:bCs w:val="1"/>
          <w:color w:val="auto"/>
        </w:rPr>
        <w:t>equivalent</w:t>
      </w:r>
      <w:r>
        <w:rPr>
          <w:rFonts w:ascii="Arial" w:cs="Arial" w:eastAsia="Arial" w:hAnsi="Arial"/>
          <w:sz w:val="18"/>
          <w:szCs w:val="18"/>
          <w:color w:val="auto"/>
        </w:rPr>
        <w:t xml:space="preserve"> is a reference to the amount of any other currency which, when converted into the specified currency utilising the Agent’s Spot Rate of Exchange for the purchase of the specified currency with that other currency at or about 11 a.m. on the relevant date, is equal to the relevant amount in the specified currency.</w:t>
      </w:r>
    </w:p>
    <w:p>
      <w:pPr>
        <w:spacing w:after="0" w:line="188"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26948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99"/>
          </w:cols>
          <w:pgMar w:left="941" w:top="334" w:right="259" w:bottom="1440" w:gutter="0" w:footer="0" w:header="0"/>
        </w:sectPr>
      </w:pPr>
    </w:p>
    <w:bookmarkStart w:id="190" w:name="page191"/>
    <w:bookmarkEnd w:id="190"/>
    <w:p>
      <w:pPr>
        <w:spacing w:after="0"/>
        <w:tabs>
          <w:tab w:leader="none" w:pos="6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4"/>
          <w:szCs w:val="14"/>
          <w:b w:val="1"/>
          <w:bCs w:val="1"/>
          <w:color w:val="auto"/>
        </w:rPr>
        <w:t>Currency symbols and definitions</w:t>
      </w:r>
    </w:p>
    <w:p>
      <w:pPr>
        <w:spacing w:after="0" w:line="219" w:lineRule="exact"/>
        <w:rPr>
          <w:sz w:val="20"/>
          <w:szCs w:val="20"/>
          <w:color w:val="auto"/>
        </w:rPr>
      </w:pPr>
    </w:p>
    <w:p>
      <w:pPr>
        <w:ind w:left="1260" w:hanging="559"/>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and</w:t>
      </w:r>
      <w:r>
        <w:rPr>
          <w:rFonts w:ascii="Arial" w:cs="Arial" w:eastAsia="Arial" w:hAnsi="Arial"/>
          <w:sz w:val="18"/>
          <w:szCs w:val="18"/>
          <w:b w:val="1"/>
          <w:bCs w:val="1"/>
          <w:color w:val="auto"/>
        </w:rPr>
        <w:t xml:space="preserve"> US dollars </w:t>
      </w:r>
      <w:r>
        <w:rPr>
          <w:rFonts w:ascii="Arial" w:cs="Arial" w:eastAsia="Arial" w:hAnsi="Arial"/>
          <w:sz w:val="18"/>
          <w:szCs w:val="18"/>
          <w:color w:val="auto"/>
        </w:rPr>
        <w:t>denote the lawful currency of the United States of America.</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Renminbi </w:t>
      </w:r>
      <w:r>
        <w:rPr>
          <w:rFonts w:ascii="Arial" w:cs="Arial" w:eastAsia="Arial" w:hAnsi="Arial"/>
          <w:sz w:val="18"/>
          <w:szCs w:val="18"/>
          <w:color w:val="auto"/>
        </w:rPr>
        <w:t>and</w:t>
      </w:r>
      <w:r>
        <w:rPr>
          <w:rFonts w:ascii="Arial" w:cs="Arial" w:eastAsia="Arial" w:hAnsi="Arial"/>
          <w:sz w:val="18"/>
          <w:szCs w:val="18"/>
          <w:b w:val="1"/>
          <w:bCs w:val="1"/>
          <w:color w:val="auto"/>
        </w:rPr>
        <w:t xml:space="preserve"> RMB </w:t>
      </w:r>
      <w:r>
        <w:rPr>
          <w:rFonts w:ascii="Arial" w:cs="Arial" w:eastAsia="Arial" w:hAnsi="Arial"/>
          <w:sz w:val="18"/>
          <w:szCs w:val="18"/>
          <w:color w:val="auto"/>
        </w:rPr>
        <w:t>denote lawful currency of the PRC.</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Personal Liability</w:t>
      </w:r>
    </w:p>
    <w:p>
      <w:pPr>
        <w:spacing w:after="0" w:line="225" w:lineRule="exact"/>
        <w:rPr>
          <w:sz w:val="20"/>
          <w:szCs w:val="20"/>
          <w:color w:val="auto"/>
        </w:rPr>
      </w:pPr>
    </w:p>
    <w:p>
      <w:pPr>
        <w:jc w:val="both"/>
        <w:ind w:left="700"/>
        <w:spacing w:after="0" w:line="304" w:lineRule="auto"/>
        <w:rPr>
          <w:sz w:val="20"/>
          <w:szCs w:val="20"/>
          <w:color w:val="auto"/>
        </w:rPr>
      </w:pPr>
      <w:r>
        <w:rPr>
          <w:rFonts w:ascii="Arial" w:cs="Arial" w:eastAsia="Arial" w:hAnsi="Arial"/>
          <w:sz w:val="16"/>
          <w:szCs w:val="16"/>
          <w:color w:val="auto"/>
        </w:rPr>
        <w:t>No personal liability shall attach to any director, officer, employee or other individual signing a certificate or other document on behalf of a member of the Group which proves to the incorrect in any way, unless that individual acted fraudulently in giving that certificate or other document in which case any liability will be determined in accordance with applicable law and each such certificate shall contain a statement to this effect.</w:t>
      </w:r>
    </w:p>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219" w:lineRule="exact"/>
        <w:rPr>
          <w:sz w:val="20"/>
          <w:szCs w:val="20"/>
          <w:color w:val="auto"/>
        </w:rPr>
      </w:pPr>
    </w:p>
    <w:p>
      <w:pPr>
        <w:ind w:left="1260" w:right="20" w:hanging="559"/>
        <w:spacing w:after="0" w:line="274" w:lineRule="auto"/>
        <w:tabs>
          <w:tab w:leader="none" w:pos="126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A person who is not a Party has no right under the Contracts (Rights of Third Parties) Ordinance (Cap. 623) (the </w:t>
      </w:r>
      <w:r>
        <w:rPr>
          <w:rFonts w:ascii="Arial" w:cs="Arial" w:eastAsia="Arial" w:hAnsi="Arial"/>
          <w:sz w:val="18"/>
          <w:szCs w:val="18"/>
          <w:b w:val="1"/>
          <w:bCs w:val="1"/>
          <w:color w:val="auto"/>
        </w:rPr>
        <w:t>Third Parties Ordinance</w:t>
      </w:r>
      <w:r>
        <w:rPr>
          <w:rFonts w:ascii="Arial" w:cs="Arial" w:eastAsia="Arial" w:hAnsi="Arial"/>
          <w:sz w:val="18"/>
          <w:szCs w:val="18"/>
          <w:color w:val="auto"/>
        </w:rPr>
        <w:t>) to enforce or to enjoy the benefit of any term of this agreement.</w:t>
      </w:r>
    </w:p>
    <w:p>
      <w:pPr>
        <w:spacing w:after="0" w:line="172" w:lineRule="exact"/>
        <w:rPr>
          <w:rFonts w:ascii="Arial" w:cs="Arial" w:eastAsia="Arial" w:hAnsi="Arial"/>
          <w:sz w:val="18"/>
          <w:szCs w:val="18"/>
          <w:color w:val="auto"/>
        </w:rPr>
      </w:pPr>
    </w:p>
    <w:p>
      <w:pPr>
        <w:ind w:left="1260" w:right="460" w:hanging="559"/>
        <w:spacing w:after="0" w:line="267" w:lineRule="auto"/>
        <w:tabs>
          <w:tab w:leader="none" w:pos="127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Notwithstanding any term of any Finance Document (including paragraph (a) above), the consent of any person who is not a Party is not required to rescind, vary or waive any provision of this agreement at any time.</w:t>
      </w:r>
    </w:p>
    <w:p>
      <w:pPr>
        <w:spacing w:after="0" w:line="172" w:lineRule="exact"/>
        <w:rPr>
          <w:rFonts w:ascii="Arial" w:cs="Arial" w:eastAsia="Arial" w:hAnsi="Arial"/>
          <w:sz w:val="18"/>
          <w:szCs w:val="18"/>
          <w:color w:val="auto"/>
        </w:rPr>
      </w:pPr>
    </w:p>
    <w:p>
      <w:pPr>
        <w:ind w:left="700" w:hanging="693"/>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Facility</w:t>
      </w:r>
    </w:p>
    <w:p>
      <w:pPr>
        <w:spacing w:after="0" w:line="225" w:lineRule="exact"/>
        <w:rPr>
          <w:sz w:val="20"/>
          <w:szCs w:val="20"/>
          <w:color w:val="auto"/>
        </w:rPr>
      </w:pPr>
    </w:p>
    <w:p>
      <w:pPr>
        <w:ind w:left="700" w:right="40"/>
        <w:spacing w:after="0" w:line="267" w:lineRule="auto"/>
        <w:rPr>
          <w:sz w:val="20"/>
          <w:szCs w:val="20"/>
          <w:color w:val="auto"/>
        </w:rPr>
      </w:pPr>
      <w:r>
        <w:rPr>
          <w:rFonts w:ascii="Arial" w:cs="Arial" w:eastAsia="Arial" w:hAnsi="Arial"/>
          <w:sz w:val="18"/>
          <w:szCs w:val="18"/>
          <w:color w:val="auto"/>
        </w:rPr>
        <w:t>Subject to the terms of this agreement, the Lenders make available to the Borrower a US dollar revolving loan facility in an aggregate amount equal to the Total Commitments.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4"/>
          <w:szCs w:val="14"/>
          <w:b w:val="1"/>
          <w:bCs w:val="1"/>
          <w:color w:val="auto"/>
        </w:rPr>
        <w:t>Increase</w:t>
      </w:r>
    </w:p>
    <w:p>
      <w:pPr>
        <w:spacing w:after="0" w:line="225" w:lineRule="exact"/>
        <w:rPr>
          <w:sz w:val="20"/>
          <w:szCs w:val="20"/>
          <w:color w:val="auto"/>
        </w:rPr>
      </w:pPr>
    </w:p>
    <w:p>
      <w:pPr>
        <w:ind w:left="1280" w:right="80" w:hanging="613"/>
        <w:spacing w:after="0" w:line="295" w:lineRule="auto"/>
        <w:tabs>
          <w:tab w:leader="none" w:pos="124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Borrower may by giving prior notice to the Agent by no later than the date falling 20 Business Days after the effective date of a cancellation of the Commitments of a Lender (“</w:t>
      </w:r>
      <w:r>
        <w:rPr>
          <w:rFonts w:ascii="Arial" w:cs="Arial" w:eastAsia="Arial" w:hAnsi="Arial"/>
          <w:sz w:val="16"/>
          <w:szCs w:val="16"/>
          <w:b w:val="1"/>
          <w:bCs w:val="1"/>
          <w:color w:val="auto"/>
        </w:rPr>
        <w:t>Cancelled Lender</w:t>
      </w:r>
      <w:r>
        <w:rPr>
          <w:rFonts w:ascii="Arial" w:cs="Arial" w:eastAsia="Arial" w:hAnsi="Arial"/>
          <w:sz w:val="16"/>
          <w:szCs w:val="16"/>
          <w:color w:val="auto"/>
        </w:rPr>
        <w:t>”) in accordance with Clause 7.1 (</w:t>
      </w:r>
      <w:r>
        <w:rPr>
          <w:rFonts w:ascii="Arial" w:cs="Arial" w:eastAsia="Arial" w:hAnsi="Arial"/>
          <w:sz w:val="16"/>
          <w:szCs w:val="16"/>
          <w:i w:val="1"/>
          <w:iCs w:val="1"/>
          <w:color w:val="auto"/>
        </w:rPr>
        <w:t>Illegality</w:t>
      </w:r>
      <w:r>
        <w:rPr>
          <w:rFonts w:ascii="Arial" w:cs="Arial" w:eastAsia="Arial" w:hAnsi="Arial"/>
          <w:sz w:val="16"/>
          <w:szCs w:val="16"/>
          <w:color w:val="auto"/>
        </w:rPr>
        <w:t>) or paragraph (a) of Clause 7.5 (</w:t>
      </w:r>
      <w:r>
        <w:rPr>
          <w:rFonts w:ascii="Arial" w:cs="Arial" w:eastAsia="Arial" w:hAnsi="Arial"/>
          <w:sz w:val="16"/>
          <w:szCs w:val="16"/>
          <w:i w:val="1"/>
          <w:iCs w:val="1"/>
          <w:color w:val="auto"/>
        </w:rPr>
        <w:t>Right of Repayment and Cancellation in relation to a Single Lender</w:t>
      </w:r>
      <w:r>
        <w:rPr>
          <w:rFonts w:ascii="Arial" w:cs="Arial" w:eastAsia="Arial" w:hAnsi="Arial"/>
          <w:sz w:val="16"/>
          <w:szCs w:val="16"/>
          <w:color w:val="auto"/>
        </w:rPr>
        <w:t>) request that the Total Commitments be increased (and the Total Commitments shall be so increased) in an aggregate amount of up to the amount of the Commitments so cancelled as follows:</w:t>
      </w:r>
    </w:p>
    <w:p>
      <w:pPr>
        <w:spacing w:after="0" w:line="160" w:lineRule="exact"/>
        <w:rPr>
          <w:rFonts w:ascii="Arial" w:cs="Arial" w:eastAsia="Arial" w:hAnsi="Arial"/>
          <w:sz w:val="16"/>
          <w:szCs w:val="16"/>
          <w:color w:val="auto"/>
        </w:rPr>
      </w:pPr>
    </w:p>
    <w:p>
      <w:pPr>
        <w:ind w:left="1920" w:right="120" w:hanging="635"/>
        <w:spacing w:after="0" w:line="291" w:lineRule="auto"/>
        <w:tabs>
          <w:tab w:leader="none" w:pos="194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increased Commitments will be assumed by one or more Lenders or other banks, or financial institutions, trusts, funds or other entities (each an “</w:t>
      </w:r>
      <w:r>
        <w:rPr>
          <w:rFonts w:ascii="Arial" w:cs="Arial" w:eastAsia="Arial" w:hAnsi="Arial"/>
          <w:sz w:val="16"/>
          <w:szCs w:val="16"/>
          <w:b w:val="1"/>
          <w:bCs w:val="1"/>
          <w:color w:val="auto"/>
        </w:rPr>
        <w:t>Increase Lender</w:t>
      </w:r>
      <w:r>
        <w:rPr>
          <w:rFonts w:ascii="Arial" w:cs="Arial" w:eastAsia="Arial" w:hAnsi="Arial"/>
          <w:sz w:val="16"/>
          <w:szCs w:val="16"/>
          <w:color w:val="auto"/>
        </w:rPr>
        <w:t>”) selected by the Borrower (each of which complies with the requirements of Clause 22.1 (</w:t>
      </w:r>
      <w:r>
        <w:rPr>
          <w:rFonts w:ascii="Arial" w:cs="Arial" w:eastAsia="Arial" w:hAnsi="Arial"/>
          <w:sz w:val="16"/>
          <w:szCs w:val="16"/>
          <w:i w:val="1"/>
          <w:iCs w:val="1"/>
          <w:color w:val="auto"/>
        </w:rPr>
        <w:t>Assignments and transfers by the Lenders</w:t>
      </w:r>
      <w:r>
        <w:rPr>
          <w:rFonts w:ascii="Arial" w:cs="Arial" w:eastAsia="Arial" w:hAnsi="Arial"/>
          <w:sz w:val="16"/>
          <w:szCs w:val="16"/>
          <w:color w:val="auto"/>
        </w:rPr>
        <w:t>) and each of which confirms its willingness to assume (the “</w:t>
      </w:r>
      <w:r>
        <w:rPr>
          <w:rFonts w:ascii="Arial" w:cs="Arial" w:eastAsia="Arial" w:hAnsi="Arial"/>
          <w:sz w:val="16"/>
          <w:szCs w:val="16"/>
          <w:b w:val="1"/>
          <w:bCs w:val="1"/>
          <w:color w:val="auto"/>
        </w:rPr>
        <w:t>Assumed Commitment</w:t>
      </w:r>
      <w:r>
        <w:rPr>
          <w:rFonts w:ascii="Arial" w:cs="Arial" w:eastAsia="Arial" w:hAnsi="Arial"/>
          <w:sz w:val="16"/>
          <w:szCs w:val="16"/>
          <w:color w:val="auto"/>
        </w:rPr>
        <w:t>” of such Increase Lender) and does assume all the obligations of a Lender corresponding to that part of the increased Commitments which it is to assume, as if it had been an Original Lender with such Assumed Commitment;</w:t>
      </w:r>
    </w:p>
    <w:p>
      <w:pPr>
        <w:spacing w:after="0" w:line="163" w:lineRule="exact"/>
        <w:rPr>
          <w:rFonts w:ascii="Arial" w:cs="Arial" w:eastAsia="Arial" w:hAnsi="Arial"/>
          <w:sz w:val="16"/>
          <w:szCs w:val="16"/>
          <w:color w:val="auto"/>
        </w:rPr>
      </w:pPr>
    </w:p>
    <w:p>
      <w:pPr>
        <w:ind w:left="1920" w:right="400" w:hanging="635"/>
        <w:spacing w:after="0" w:line="257" w:lineRule="auto"/>
        <w:tabs>
          <w:tab w:leader="none" w:pos="195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each of the Borrower and any Increase Lender shall assume obligations towards one another and/or acquire rights against one another as the Borrower and the Increase Lender would have assumed and/or acquired had the Increase Lender been an Original Lender;</w:t>
      </w:r>
    </w:p>
    <w:p>
      <w:pPr>
        <w:spacing w:after="0" w:line="181" w:lineRule="exact"/>
        <w:rPr>
          <w:rFonts w:ascii="Arial" w:cs="Arial" w:eastAsia="Arial" w:hAnsi="Arial"/>
          <w:sz w:val="18"/>
          <w:szCs w:val="18"/>
          <w:color w:val="auto"/>
        </w:rPr>
      </w:pPr>
    </w:p>
    <w:p>
      <w:pPr>
        <w:ind w:left="1920" w:hanging="635"/>
        <w:spacing w:after="0" w:line="260" w:lineRule="auto"/>
        <w:tabs>
          <w:tab w:leader="none" w:pos="19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each Increase Lender which is not already a Lender shall become a Party as a “</w:t>
      </w:r>
      <w:r>
        <w:rPr>
          <w:rFonts w:ascii="Arial" w:cs="Arial" w:eastAsia="Arial" w:hAnsi="Arial"/>
          <w:sz w:val="18"/>
          <w:szCs w:val="18"/>
          <w:b w:val="1"/>
          <w:bCs w:val="1"/>
          <w:color w:val="auto"/>
        </w:rPr>
        <w:t>Lender</w:t>
      </w:r>
      <w:r>
        <w:rPr>
          <w:rFonts w:ascii="Arial" w:cs="Arial" w:eastAsia="Arial" w:hAnsi="Arial"/>
          <w:sz w:val="18"/>
          <w:szCs w:val="18"/>
          <w:color w:val="auto"/>
        </w:rPr>
        <w:t>” and any Increase Lender and each of the other Finance Parties shall assume obligations towards one another and acquire rights against one another as that Increase Lender and those Finance Parties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1" w:name="page192"/>
    <w:bookmarkEnd w:id="191"/>
    <w:p>
      <w:pPr>
        <w:ind w:left="1360"/>
        <w:spacing w:after="0"/>
        <w:rPr>
          <w:sz w:val="20"/>
          <w:szCs w:val="20"/>
          <w:color w:val="auto"/>
        </w:rPr>
      </w:pPr>
      <w:r>
        <w:rPr>
          <w:rFonts w:ascii="Arial" w:cs="Arial" w:eastAsia="Arial" w:hAnsi="Arial"/>
          <w:sz w:val="18"/>
          <w:szCs w:val="18"/>
          <w:color w:val="auto"/>
        </w:rPr>
        <w:t>would have assumed and/or acquired had the Increase Lender been an Original Lender;</w:t>
      </w:r>
    </w:p>
    <w:p>
      <w:pPr>
        <w:spacing w:after="0" w:line="219" w:lineRule="exact"/>
        <w:rPr>
          <w:sz w:val="20"/>
          <w:szCs w:val="20"/>
          <w:color w:val="auto"/>
        </w:rPr>
      </w:pPr>
    </w:p>
    <w:p>
      <w:pPr>
        <w:ind w:left="1380" w:hanging="655"/>
        <w:spacing w:after="0"/>
        <w:tabs>
          <w:tab w:leader="none" w:pos="13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Commitments of the other Lenders shall continue in full force and effect; and</w:t>
      </w:r>
    </w:p>
    <w:p>
      <w:pPr>
        <w:spacing w:after="0" w:line="219" w:lineRule="exact"/>
        <w:rPr>
          <w:rFonts w:ascii="Arial" w:cs="Arial" w:eastAsia="Arial" w:hAnsi="Arial"/>
          <w:sz w:val="18"/>
          <w:szCs w:val="18"/>
          <w:color w:val="auto"/>
        </w:rPr>
      </w:pPr>
    </w:p>
    <w:p>
      <w:pPr>
        <w:ind w:left="1360" w:right="140" w:hanging="635"/>
        <w:spacing w:after="0" w:line="267" w:lineRule="auto"/>
        <w:tabs>
          <w:tab w:leader="none" w:pos="136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increase in the Total Commitments shall take effect on the date specified by the Borrower in the notice referred to above or any later date on which the conditions set out in paragraph (b) below are satisfied.</w:t>
      </w:r>
    </w:p>
    <w:p>
      <w:pPr>
        <w:spacing w:after="0" w:line="178" w:lineRule="exact"/>
        <w:rPr>
          <w:rFonts w:ascii="Arial" w:cs="Arial" w:eastAsia="Arial" w:hAnsi="Arial"/>
          <w:sz w:val="18"/>
          <w:szCs w:val="18"/>
          <w:color w:val="auto"/>
        </w:rPr>
      </w:pPr>
    </w:p>
    <w:p>
      <w:pPr>
        <w:ind w:left="740" w:hanging="654"/>
        <w:spacing w:after="0"/>
        <w:tabs>
          <w:tab w:leader="none" w:pos="7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 increase in the Total Commitments pursuant to paragraph (a) will only be effective on:</w:t>
      </w:r>
    </w:p>
    <w:p>
      <w:pPr>
        <w:spacing w:after="0" w:line="219" w:lineRule="exact"/>
        <w:rPr>
          <w:rFonts w:ascii="Arial" w:cs="Arial" w:eastAsia="Arial" w:hAnsi="Arial"/>
          <w:sz w:val="18"/>
          <w:szCs w:val="18"/>
          <w:color w:val="auto"/>
        </w:rPr>
      </w:pPr>
    </w:p>
    <w:p>
      <w:pPr>
        <w:ind w:left="1380" w:hanging="655"/>
        <w:spacing w:after="0"/>
        <w:tabs>
          <w:tab w:leader="none" w:pos="13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execution by the Agent of an Increase Confirmation from the relevant Increase Lender; and</w:t>
      </w:r>
    </w:p>
    <w:p>
      <w:pPr>
        <w:spacing w:after="0" w:line="219" w:lineRule="exact"/>
        <w:rPr>
          <w:rFonts w:ascii="Arial" w:cs="Arial" w:eastAsia="Arial" w:hAnsi="Arial"/>
          <w:sz w:val="18"/>
          <w:szCs w:val="18"/>
          <w:color w:val="auto"/>
        </w:rPr>
      </w:pPr>
    </w:p>
    <w:p>
      <w:pPr>
        <w:ind w:left="1360" w:right="100" w:hanging="635"/>
        <w:spacing w:after="0" w:line="253" w:lineRule="auto"/>
        <w:tabs>
          <w:tab w:leader="none" w:pos="139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 relation to an Increase Lender which is not a Lender immediately prior to the relevant increase in Commitments, the Agent being satisfied that it has completed all necessary “know your customer” or other similar checks under all applicable laws and regulations in relation to the assumption of the increased Commitments by that Increase Lender, the completion of which the Agent shall promptly notify to the Borrower and the Increase Lender.</w:t>
      </w:r>
    </w:p>
    <w:p>
      <w:pPr>
        <w:spacing w:after="0" w:line="193" w:lineRule="exact"/>
        <w:rPr>
          <w:sz w:val="20"/>
          <w:szCs w:val="20"/>
          <w:color w:val="auto"/>
        </w:rPr>
      </w:pPr>
    </w:p>
    <w:p>
      <w:pPr>
        <w:ind w:left="720" w:right="140" w:hanging="634"/>
        <w:spacing w:after="0" w:line="257" w:lineRule="auto"/>
        <w:tabs>
          <w:tab w:leader="none" w:pos="72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in Commitments becomes effective.</w:t>
      </w:r>
    </w:p>
    <w:p>
      <w:pPr>
        <w:spacing w:after="0" w:line="187" w:lineRule="exact"/>
        <w:rPr>
          <w:rFonts w:ascii="Arial" w:cs="Arial" w:eastAsia="Arial" w:hAnsi="Arial"/>
          <w:sz w:val="18"/>
          <w:szCs w:val="18"/>
          <w:color w:val="auto"/>
        </w:rPr>
      </w:pPr>
    </w:p>
    <w:p>
      <w:pPr>
        <w:ind w:left="700" w:hanging="699"/>
        <w:spacing w:after="0" w:line="267" w:lineRule="auto"/>
        <w:tabs>
          <w:tab w:leader="none" w:pos="7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shall promptly on demand pay the Agent the amount of all costs and expenses (including legal fees) reasonably incurred by it in connection with any increase in Commitments under this Clause 2.2.</w:t>
      </w:r>
    </w:p>
    <w:p>
      <w:pPr>
        <w:spacing w:after="0" w:line="178" w:lineRule="exact"/>
        <w:rPr>
          <w:rFonts w:ascii="Arial" w:cs="Arial" w:eastAsia="Arial" w:hAnsi="Arial"/>
          <w:sz w:val="18"/>
          <w:szCs w:val="18"/>
          <w:color w:val="auto"/>
        </w:rPr>
      </w:pPr>
    </w:p>
    <w:p>
      <w:pPr>
        <w:ind w:left="700" w:right="180" w:hanging="699"/>
        <w:spacing w:after="0" w:line="253" w:lineRule="auto"/>
        <w:tabs>
          <w:tab w:leader="none" w:pos="70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Increase Lender shall, on the date upon which the assumption of any Assumed Commitment takes effect, pay to the Agent (for its own account) a fee in an amount equal to the fee which would be payable under Clause 22.3 (</w:t>
      </w:r>
      <w:r>
        <w:rPr>
          <w:rFonts w:ascii="Arial" w:cs="Arial" w:eastAsia="Arial" w:hAnsi="Arial"/>
          <w:sz w:val="18"/>
          <w:szCs w:val="18"/>
          <w:i w:val="1"/>
          <w:iCs w:val="1"/>
          <w:color w:val="auto"/>
        </w:rPr>
        <w:t>Assignment or transfer fee</w:t>
      </w:r>
      <w:r>
        <w:rPr>
          <w:rFonts w:ascii="Arial" w:cs="Arial" w:eastAsia="Arial" w:hAnsi="Arial"/>
          <w:sz w:val="18"/>
          <w:szCs w:val="18"/>
          <w:color w:val="auto"/>
        </w:rPr>
        <w:t>) if such increase in Commitment were a transfer of such Assumed Commitment to such Increase Lender pursuant to Clause 22.5 (</w:t>
      </w:r>
      <w:r>
        <w:rPr>
          <w:rFonts w:ascii="Arial" w:cs="Arial" w:eastAsia="Arial" w:hAnsi="Arial"/>
          <w:sz w:val="18"/>
          <w:szCs w:val="18"/>
          <w:i w:val="1"/>
          <w:iCs w:val="1"/>
          <w:color w:val="auto"/>
        </w:rPr>
        <w:t>Procedure for transfer</w:t>
      </w:r>
      <w:r>
        <w:rPr>
          <w:rFonts w:ascii="Arial" w:cs="Arial" w:eastAsia="Arial" w:hAnsi="Arial"/>
          <w:sz w:val="18"/>
          <w:szCs w:val="18"/>
          <w:color w:val="auto"/>
        </w:rPr>
        <w:t>) and if such Increase Lender were a New Lender.</w:t>
      </w:r>
    </w:p>
    <w:p>
      <w:pPr>
        <w:spacing w:after="0" w:line="192" w:lineRule="exact"/>
        <w:rPr>
          <w:rFonts w:ascii="Arial" w:cs="Arial" w:eastAsia="Arial" w:hAnsi="Arial"/>
          <w:sz w:val="18"/>
          <w:szCs w:val="18"/>
          <w:color w:val="auto"/>
        </w:rPr>
      </w:pPr>
    </w:p>
    <w:p>
      <w:pPr>
        <w:ind w:left="700" w:right="80" w:hanging="699"/>
        <w:spacing w:after="0" w:line="267" w:lineRule="auto"/>
        <w:tabs>
          <w:tab w:leader="none" w:pos="7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may pay to the Increase Lender a fee in the amount and at the times agreed between the Borrower and the Increase Lender in a Fee Letter.</w:t>
      </w:r>
    </w:p>
    <w:p>
      <w:pPr>
        <w:spacing w:after="0" w:line="178" w:lineRule="exact"/>
        <w:rPr>
          <w:rFonts w:ascii="Arial" w:cs="Arial" w:eastAsia="Arial" w:hAnsi="Arial"/>
          <w:sz w:val="18"/>
          <w:szCs w:val="18"/>
          <w:color w:val="auto"/>
        </w:rPr>
      </w:pPr>
    </w:p>
    <w:p>
      <w:pPr>
        <w:ind w:left="700" w:hanging="699"/>
        <w:spacing w:after="0" w:line="257" w:lineRule="auto"/>
        <w:tabs>
          <w:tab w:leader="none" w:pos="70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an Increase Lender and in no event shall any Lender whose Commitment is assumed or replaced by an Increase Lender be required to pay or surrender any of the fees received by such Lender pursuant to the Finance Documents.</w:t>
      </w:r>
    </w:p>
    <w:p>
      <w:pPr>
        <w:spacing w:after="0" w:line="187" w:lineRule="exact"/>
        <w:rPr>
          <w:rFonts w:ascii="Arial" w:cs="Arial" w:eastAsia="Arial" w:hAnsi="Arial"/>
          <w:sz w:val="18"/>
          <w:szCs w:val="18"/>
          <w:color w:val="auto"/>
        </w:rPr>
      </w:pPr>
    </w:p>
    <w:p>
      <w:pPr>
        <w:ind w:left="700" w:right="420" w:hanging="699"/>
        <w:spacing w:after="0" w:line="267" w:lineRule="auto"/>
        <w:tabs>
          <w:tab w:leader="none" w:pos="72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Clause 22.4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this Clause 2.2 (</w:t>
      </w:r>
      <w:r>
        <w:rPr>
          <w:rFonts w:ascii="Arial" w:cs="Arial" w:eastAsia="Arial" w:hAnsi="Arial"/>
          <w:sz w:val="18"/>
          <w:szCs w:val="18"/>
          <w:i w:val="1"/>
          <w:iCs w:val="1"/>
          <w:color w:val="auto"/>
        </w:rPr>
        <w:t>Increase</w:t>
      </w:r>
      <w:r>
        <w:rPr>
          <w:rFonts w:ascii="Arial" w:cs="Arial" w:eastAsia="Arial" w:hAnsi="Arial"/>
          <w:sz w:val="18"/>
          <w:szCs w:val="18"/>
          <w:color w:val="auto"/>
        </w:rPr>
        <w:t>) in relation to an Increase Lender as if references in that Clause 22.4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to:</w:t>
      </w:r>
    </w:p>
    <w:p>
      <w:pPr>
        <w:spacing w:after="0" w:line="172" w:lineRule="exact"/>
        <w:rPr>
          <w:rFonts w:ascii="Arial" w:cs="Arial" w:eastAsia="Arial" w:hAnsi="Arial"/>
          <w:sz w:val="18"/>
          <w:szCs w:val="18"/>
          <w:color w:val="auto"/>
        </w:rPr>
      </w:pPr>
    </w:p>
    <w:p>
      <w:pPr>
        <w:ind w:left="1360" w:right="720" w:hanging="635"/>
        <w:spacing w:after="0" w:line="274" w:lineRule="auto"/>
        <w:tabs>
          <w:tab w:leader="none" w:pos="1381"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Existing Lender</w:t>
      </w:r>
      <w:r>
        <w:rPr>
          <w:rFonts w:ascii="Arial" w:cs="Arial" w:eastAsia="Arial" w:hAnsi="Arial"/>
          <w:sz w:val="18"/>
          <w:szCs w:val="18"/>
          <w:color w:val="auto"/>
        </w:rPr>
        <w:t>” were references to all the Lenders immediately prior to the relevant increase in Commitments or the assumption of any Assumed Commitment by such Increase Lender;</w:t>
      </w:r>
    </w:p>
    <w:p>
      <w:pPr>
        <w:spacing w:after="0" w:line="166" w:lineRule="exact"/>
        <w:rPr>
          <w:rFonts w:ascii="Arial" w:cs="Arial" w:eastAsia="Arial" w:hAnsi="Arial"/>
          <w:sz w:val="18"/>
          <w:szCs w:val="18"/>
          <w:color w:val="auto"/>
        </w:rPr>
      </w:pPr>
    </w:p>
    <w:p>
      <w:pPr>
        <w:ind w:left="1400" w:hanging="675"/>
        <w:spacing w:after="0"/>
        <w:tabs>
          <w:tab w:leader="none" w:pos="14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New Lender</w:t>
      </w:r>
      <w:r>
        <w:rPr>
          <w:rFonts w:ascii="Arial" w:cs="Arial" w:eastAsia="Arial" w:hAnsi="Arial"/>
          <w:sz w:val="18"/>
          <w:szCs w:val="18"/>
          <w:color w:val="auto"/>
        </w:rPr>
        <w:t>” were references to that “</w:t>
      </w:r>
      <w:r>
        <w:rPr>
          <w:rFonts w:ascii="Arial" w:cs="Arial" w:eastAsia="Arial" w:hAnsi="Arial"/>
          <w:sz w:val="18"/>
          <w:szCs w:val="18"/>
          <w:b w:val="1"/>
          <w:bCs w:val="1"/>
          <w:color w:val="auto"/>
        </w:rPr>
        <w:t>Increase Lender</w:t>
      </w:r>
      <w:r>
        <w:rPr>
          <w:rFonts w:ascii="Arial" w:cs="Arial" w:eastAsia="Arial" w:hAnsi="Arial"/>
          <w:sz w:val="18"/>
          <w:szCs w:val="18"/>
          <w:color w:val="auto"/>
        </w:rPr>
        <w:t>”; and</w:t>
      </w:r>
    </w:p>
    <w:p>
      <w:pPr>
        <w:spacing w:after="0" w:line="219" w:lineRule="exact"/>
        <w:rPr>
          <w:rFonts w:ascii="Arial" w:cs="Arial" w:eastAsia="Arial" w:hAnsi="Arial"/>
          <w:sz w:val="18"/>
          <w:szCs w:val="18"/>
          <w:color w:val="auto"/>
        </w:rPr>
      </w:pPr>
    </w:p>
    <w:p>
      <w:pPr>
        <w:ind w:left="1400" w:hanging="675"/>
        <w:spacing w:after="0"/>
        <w:tabs>
          <w:tab w:leader="none" w:pos="14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re-transfer</w:t>
      </w:r>
      <w:r>
        <w:rPr>
          <w:rFonts w:ascii="Arial" w:cs="Arial" w:eastAsia="Arial" w:hAnsi="Arial"/>
          <w:sz w:val="18"/>
          <w:szCs w:val="18"/>
          <w:color w:val="auto"/>
        </w:rPr>
        <w:t>” and “</w:t>
      </w:r>
      <w:r>
        <w:rPr>
          <w:rFonts w:ascii="Arial" w:cs="Arial" w:eastAsia="Arial" w:hAnsi="Arial"/>
          <w:sz w:val="18"/>
          <w:szCs w:val="18"/>
          <w:b w:val="1"/>
          <w:bCs w:val="1"/>
          <w:color w:val="auto"/>
        </w:rPr>
        <w:t>re-assignment</w:t>
      </w:r>
      <w:r>
        <w:rPr>
          <w:rFonts w:ascii="Arial" w:cs="Arial" w:eastAsia="Arial" w:hAnsi="Arial"/>
          <w:sz w:val="18"/>
          <w:szCs w:val="18"/>
          <w:color w:val="auto"/>
        </w:rPr>
        <w:t>” were references to respectively a “</w:t>
      </w:r>
      <w:r>
        <w:rPr>
          <w:rFonts w:ascii="Arial" w:cs="Arial" w:eastAsia="Arial" w:hAnsi="Arial"/>
          <w:sz w:val="18"/>
          <w:szCs w:val="18"/>
          <w:b w:val="1"/>
          <w:bCs w:val="1"/>
          <w:color w:val="auto"/>
        </w:rPr>
        <w:t>transfer</w:t>
      </w:r>
      <w:r>
        <w:rPr>
          <w:rFonts w:ascii="Arial" w:cs="Arial" w:eastAsia="Arial" w:hAnsi="Arial"/>
          <w:sz w:val="18"/>
          <w:szCs w:val="18"/>
          <w:color w:val="auto"/>
        </w:rPr>
        <w:t>” and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77470</wp:posOffset>
            </wp:positionV>
            <wp:extent cx="726948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840"/>
          </w:cols>
          <w:pgMar w:left="800" w:top="340" w:right="259" w:bottom="1440" w:gutter="0" w:footer="0" w:header="0"/>
        </w:sectPr>
      </w:pPr>
    </w:p>
    <w:bookmarkStart w:id="192" w:name="page193"/>
    <w:bookmarkEnd w:id="192"/>
    <w:p>
      <w:pPr>
        <w:spacing w:after="0"/>
        <w:tabs>
          <w:tab w:leader="none" w:pos="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4"/>
          <w:szCs w:val="14"/>
          <w:b w:val="1"/>
          <w:bCs w:val="1"/>
          <w:color w:val="auto"/>
        </w:rPr>
        <w:t>Finance Parties’ rights and obligations</w:t>
      </w:r>
    </w:p>
    <w:p>
      <w:pPr>
        <w:spacing w:after="0" w:line="225" w:lineRule="exact"/>
        <w:rPr>
          <w:sz w:val="20"/>
          <w:szCs w:val="20"/>
          <w:color w:val="auto"/>
        </w:rPr>
      </w:pPr>
    </w:p>
    <w:p>
      <w:pPr>
        <w:jc w:val="both"/>
        <w:ind w:left="1260" w:right="180" w:hanging="559"/>
        <w:spacing w:after="0" w:line="257" w:lineRule="auto"/>
        <w:tabs>
          <w:tab w:leader="none" w:pos="126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7" w:lineRule="exact"/>
        <w:rPr>
          <w:rFonts w:ascii="Arial" w:cs="Arial" w:eastAsia="Arial" w:hAnsi="Arial"/>
          <w:sz w:val="18"/>
          <w:szCs w:val="18"/>
          <w:color w:val="auto"/>
        </w:rPr>
      </w:pPr>
    </w:p>
    <w:p>
      <w:pPr>
        <w:ind w:left="1260" w:right="60" w:hanging="559"/>
        <w:spacing w:after="0" w:line="268" w:lineRule="auto"/>
        <w:tabs>
          <w:tab w:leader="none" w:pos="1273"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the Borrower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the Borrower which relates to a Finance Party’s participation in the Facility or its role under a Finance Document (including any such amount payable to the Agent on its behalf) is a debt owing to that Finance Party by the Borrower.</w:t>
      </w:r>
    </w:p>
    <w:p>
      <w:pPr>
        <w:spacing w:after="0" w:line="182" w:lineRule="exact"/>
        <w:rPr>
          <w:rFonts w:ascii="Arial" w:cs="Arial" w:eastAsia="Arial" w:hAnsi="Arial"/>
          <w:sz w:val="17"/>
          <w:szCs w:val="17"/>
          <w:color w:val="auto"/>
        </w:rPr>
      </w:pPr>
    </w:p>
    <w:p>
      <w:pPr>
        <w:ind w:left="1260" w:hanging="559"/>
        <w:spacing w:after="0" w:line="251" w:lineRule="auto"/>
        <w:tabs>
          <w:tab w:leader="none" w:pos="127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separately enforce its rights under or in connection with the Finance Documents. Each Finance Party shall be entitled to separately enforce its rights under the Finance Documents against the Borrower to recover any amount that is due and payable to it under any Finance Document (or to recover its share of any amount that is due and payable under any Finance Document) without the consent of any other Party; and nothing shall prejudice the rights of a Finance Party from separately enforcing its rights in relation to any debt arising under any Finance Document owing to it (or its share of any debt arising under a Finance Document), which debt is due and payable.</w:t>
      </w:r>
    </w:p>
    <w:p>
      <w:pPr>
        <w:spacing w:after="0" w:line="186" w:lineRule="exact"/>
        <w:rPr>
          <w:rFonts w:ascii="Arial" w:cs="Arial" w:eastAsia="Arial" w:hAnsi="Arial"/>
          <w:sz w:val="18"/>
          <w:szCs w:val="18"/>
          <w:color w:val="auto"/>
        </w:rPr>
      </w:pPr>
    </w:p>
    <w:p>
      <w:pPr>
        <w:ind w:left="700" w:hanging="693"/>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4"/>
          <w:szCs w:val="14"/>
          <w:b w:val="1"/>
          <w:bCs w:val="1"/>
          <w:color w:val="auto"/>
        </w:rPr>
        <w:t>Purpose</w:t>
      </w:r>
    </w:p>
    <w:p>
      <w:pPr>
        <w:spacing w:after="0" w:line="225" w:lineRule="exact"/>
        <w:rPr>
          <w:sz w:val="20"/>
          <w:szCs w:val="20"/>
          <w:color w:val="auto"/>
        </w:rPr>
      </w:pPr>
    </w:p>
    <w:p>
      <w:pPr>
        <w:ind w:left="700" w:right="660"/>
        <w:spacing w:after="0" w:line="267" w:lineRule="auto"/>
        <w:rPr>
          <w:sz w:val="20"/>
          <w:szCs w:val="20"/>
          <w:color w:val="auto"/>
        </w:rPr>
      </w:pPr>
      <w:r>
        <w:rPr>
          <w:rFonts w:ascii="Arial" w:cs="Arial" w:eastAsia="Arial" w:hAnsi="Arial"/>
          <w:sz w:val="18"/>
          <w:szCs w:val="18"/>
          <w:color w:val="auto"/>
        </w:rPr>
        <w:t>The Borrower shall apply all amounts borrowed by it under the Facility towards financing the general working capital of the Borrower and its Subsidiaries.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Monitoring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13" w:lineRule="exact"/>
        <w:rPr>
          <w:sz w:val="20"/>
          <w:szCs w:val="20"/>
          <w:color w:val="auto"/>
        </w:rPr>
      </w:pPr>
    </w:p>
    <w:p>
      <w:pPr>
        <w:ind w:left="700" w:hanging="693"/>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b w:val="1"/>
          <w:bCs w:val="1"/>
          <w:color w:val="auto"/>
        </w:rPr>
        <w:t>Initial conditions precedent</w:t>
      </w:r>
    </w:p>
    <w:p>
      <w:pPr>
        <w:spacing w:after="0" w:line="225" w:lineRule="exact"/>
        <w:rPr>
          <w:sz w:val="20"/>
          <w:szCs w:val="20"/>
          <w:color w:val="auto"/>
        </w:rPr>
      </w:pPr>
    </w:p>
    <w:p>
      <w:pPr>
        <w:ind w:left="1260" w:hanging="559"/>
        <w:spacing w:after="0" w:line="257" w:lineRule="auto"/>
        <w:tabs>
          <w:tab w:leader="none" w:pos="126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Borrower may not deliver a Utilisation Request unless the Agent has received all of the documents and other evidence listed in Schedule 2 (Conditions Precedent) in form and substance satisfactory to the Agent (acting on the instructions of the Majority Lenders acting reasonably). The Agent shall notify the Borrower and the Lenders promptly upon being so satisfied.</w:t>
      </w:r>
    </w:p>
    <w:p>
      <w:pPr>
        <w:spacing w:after="0" w:line="187" w:lineRule="exact"/>
        <w:rPr>
          <w:rFonts w:ascii="Arial" w:cs="Arial" w:eastAsia="Arial" w:hAnsi="Arial"/>
          <w:sz w:val="18"/>
          <w:szCs w:val="18"/>
          <w:color w:val="auto"/>
        </w:rPr>
      </w:pPr>
    </w:p>
    <w:p>
      <w:pPr>
        <w:ind w:left="1260" w:right="100" w:hanging="559"/>
        <w:spacing w:after="0" w:line="257" w:lineRule="auto"/>
        <w:tabs>
          <w:tab w:leader="none" w:pos="127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3" w:name="page194"/>
    <w:bookmarkEnd w:id="193"/>
    <w:p>
      <w:pPr>
        <w:spacing w:after="0"/>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4"/>
          <w:szCs w:val="14"/>
          <w:b w:val="1"/>
          <w:bCs w:val="1"/>
          <w:color w:val="auto"/>
        </w:rPr>
        <w:t>Further conditions precedent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Lenders will only be obliged to comply with Clause 5.4 (Lenders’ participation) if on the date of the Utilisation Request and on the proposed</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Utilisation Date:</w:t>
      </w:r>
    </w:p>
    <w:p>
      <w:pPr>
        <w:spacing w:after="0" w:line="208" w:lineRule="exact"/>
        <w:rPr>
          <w:sz w:val="20"/>
          <w:szCs w:val="20"/>
          <w:color w:val="auto"/>
        </w:rPr>
      </w:pPr>
    </w:p>
    <w:p>
      <w:pPr>
        <w:ind w:left="1260" w:hanging="559"/>
        <w:spacing w:after="0" w:line="267" w:lineRule="auto"/>
        <w:tabs>
          <w:tab w:leader="none" w:pos="126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a Rollover Loan only, no Acceleration Event is continuing or would result from the proposed Loan and, in the case of any other Loan, no Default is continuing or would result from the proposed Loan; and</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Repeating Representations to be made by the Borrower are true in all material respects.</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Maximum number of Loans</w:t>
      </w:r>
    </w:p>
    <w:p>
      <w:pPr>
        <w:spacing w:after="0" w:line="225" w:lineRule="exact"/>
        <w:rPr>
          <w:sz w:val="20"/>
          <w:szCs w:val="20"/>
          <w:color w:val="auto"/>
        </w:rPr>
      </w:pPr>
    </w:p>
    <w:p>
      <w:pPr>
        <w:ind w:left="1260" w:hanging="559"/>
        <w:spacing w:after="0"/>
        <w:tabs>
          <w:tab w:leader="none" w:pos="126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Borrower may not deliver a Utilisation Request if as a result of the proposed Utilisation, 10 or more Loans would be outstanding.</w:t>
      </w:r>
    </w:p>
    <w:p>
      <w:pPr>
        <w:spacing w:after="0" w:line="230" w:lineRule="exact"/>
        <w:rPr>
          <w:rFonts w:ascii="Arial" w:cs="Arial" w:eastAsia="Arial" w:hAnsi="Arial"/>
          <w:sz w:val="17"/>
          <w:szCs w:val="17"/>
          <w:color w:val="auto"/>
        </w:rPr>
      </w:pPr>
    </w:p>
    <w:p>
      <w:pPr>
        <w:ind w:left="1260" w:hanging="559"/>
        <w:spacing w:after="0"/>
        <w:tabs>
          <w:tab w:leader="none" w:pos="12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Borrower may not request that a Loan be divided.</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UTILISATION</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Borrower may utilise the Facility by delivery to the Agent of a duly completed Utilisation Request not later than the Specified Time.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4"/>
          <w:szCs w:val="14"/>
          <w:b w:val="1"/>
          <w:bCs w:val="1"/>
          <w:color w:val="auto"/>
        </w:rPr>
        <w:t>Completion of a Utilisation Request</w:t>
      </w:r>
    </w:p>
    <w:p>
      <w:pPr>
        <w:spacing w:after="0" w:line="225" w:lineRule="exact"/>
        <w:rPr>
          <w:sz w:val="20"/>
          <w:szCs w:val="20"/>
          <w:color w:val="auto"/>
        </w:rPr>
      </w:pPr>
    </w:p>
    <w:p>
      <w:pPr>
        <w:ind w:left="1260" w:hanging="559"/>
        <w:spacing w:after="0"/>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(Currency and amount); and</w:t>
      </w:r>
    </w:p>
    <w:p>
      <w:pPr>
        <w:spacing w:after="0" w:line="219" w:lineRule="exact"/>
        <w:rPr>
          <w:rFonts w:ascii="Arial" w:cs="Arial" w:eastAsia="Arial" w:hAnsi="Arial"/>
          <w:sz w:val="18"/>
          <w:szCs w:val="18"/>
          <w:color w:val="auto"/>
        </w:rPr>
      </w:pPr>
    </w:p>
    <w:p>
      <w:pPr>
        <w:ind w:left="1860" w:hanging="605"/>
        <w:spacing w:after="0"/>
        <w:tabs>
          <w:tab w:leader="none" w:pos="18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proposed first Interest Period complies with Clause 9 (Interest Periods).</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25" w:lineRule="exact"/>
        <w:rPr>
          <w:sz w:val="20"/>
          <w:szCs w:val="20"/>
          <w:color w:val="auto"/>
        </w:rPr>
      </w:pPr>
    </w:p>
    <w:p>
      <w:pPr>
        <w:ind w:left="1260" w:hanging="559"/>
        <w:spacing w:after="0"/>
        <w:tabs>
          <w:tab w:leader="none" w:pos="12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in US dollars.</w:t>
      </w:r>
    </w:p>
    <w:p>
      <w:pPr>
        <w:spacing w:after="0" w:line="219" w:lineRule="exact"/>
        <w:rPr>
          <w:rFonts w:ascii="Arial" w:cs="Arial" w:eastAsia="Arial" w:hAnsi="Arial"/>
          <w:sz w:val="18"/>
          <w:szCs w:val="18"/>
          <w:color w:val="auto"/>
        </w:rPr>
      </w:pPr>
    </w:p>
    <w:p>
      <w:pPr>
        <w:ind w:left="1260" w:right="40" w:hanging="559"/>
        <w:spacing w:after="0" w:line="267" w:lineRule="auto"/>
        <w:tabs>
          <w:tab w:leader="none" w:pos="127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(i) a minimum of US$50,000,000 and an integral multiple of US$10,000,000, or (ii) if less, the Available Facility.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225" w:lineRule="exact"/>
        <w:rPr>
          <w:sz w:val="20"/>
          <w:szCs w:val="20"/>
          <w:color w:val="auto"/>
        </w:rPr>
      </w:pPr>
    </w:p>
    <w:p>
      <w:pPr>
        <w:ind w:left="1260" w:right="540" w:hanging="559"/>
        <w:spacing w:after="0" w:line="267" w:lineRule="auto"/>
        <w:tabs>
          <w:tab w:leader="none" w:pos="126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and subject to Clause 6.1 (Repayment of Loans), each Lender shall make its participation in each Loan available by the Utilisation Date through its Facility Office.</w:t>
      </w:r>
    </w:p>
    <w:p>
      <w:pPr>
        <w:spacing w:after="0" w:line="178" w:lineRule="exact"/>
        <w:rPr>
          <w:rFonts w:ascii="Arial" w:cs="Arial" w:eastAsia="Arial" w:hAnsi="Arial"/>
          <w:sz w:val="18"/>
          <w:szCs w:val="18"/>
          <w:color w:val="auto"/>
        </w:rPr>
      </w:pPr>
    </w:p>
    <w:p>
      <w:pPr>
        <w:ind w:left="1260" w:right="100" w:hanging="559"/>
        <w:spacing w:after="0" w:line="267" w:lineRule="auto"/>
        <w:tabs>
          <w:tab w:leader="none" w:pos="127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amount of each Lender’s participation in each Loan will be equal to the proportion borne by its Available Commitment to the Available Facility immediately prior to making the Loan.</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194" w:name="page195"/>
    <w:bookmarkEnd w:id="194"/>
    <w:p>
      <w:pPr>
        <w:ind w:left="1260" w:right="260" w:hanging="559"/>
        <w:spacing w:after="0" w:line="330" w:lineRule="auto"/>
        <w:tabs>
          <w:tab w:leader="none" w:pos="127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Agent shall notify each Lender of the amount of each Loan, the amount of its participation in that Loan and, if different, the amount of that participation to be made available in accordance with Clause 25.1 (Payments to the Agent), in each case by the Specified Time.</w:t>
      </w:r>
    </w:p>
    <w:p>
      <w:pPr>
        <w:spacing w:after="0" w:line="12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Cancellation of Available Facility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Commitments which, at that time, are unutilised shall be immediately cancelled at 5.00 pm on the last day of the Availability Period.</w:t>
      </w:r>
    </w:p>
    <w:p>
      <w:pPr>
        <w:spacing w:after="0" w:line="225" w:lineRule="exact"/>
        <w:rPr>
          <w:sz w:val="20"/>
          <w:szCs w:val="20"/>
          <w:color w:val="auto"/>
        </w:rPr>
      </w:pPr>
    </w:p>
    <w:p>
      <w:pPr>
        <w:ind w:left="700" w:hanging="693"/>
        <w:spacing w:after="0"/>
        <w:tabs>
          <w:tab w:leader="none" w:pos="7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4"/>
          <w:szCs w:val="14"/>
          <w:b w:val="1"/>
          <w:bCs w:val="1"/>
          <w:color w:val="auto"/>
        </w:rPr>
        <w:t>Repayment of Loans</w:t>
      </w:r>
    </w:p>
    <w:p>
      <w:pPr>
        <w:spacing w:after="0" w:line="225" w:lineRule="exact"/>
        <w:rPr>
          <w:sz w:val="20"/>
          <w:szCs w:val="20"/>
          <w:color w:val="auto"/>
        </w:rPr>
      </w:pPr>
    </w:p>
    <w:p>
      <w:pPr>
        <w:ind w:left="1260" w:hanging="559"/>
        <w:spacing w:after="0"/>
        <w:tabs>
          <w:tab w:leader="none" w:pos="1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to paragraph (c), the Borrower shall repay each Loan on the last day of its Interest Period.</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Without prejudice to the Borrower’s obligation under paragraph (a) above, if:</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one or more Loans are to be made available to the Borrower:</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on the same day that a maturing Loan is due to be repaid by the Borrower; and</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Loan; and</w:t>
      </w:r>
    </w:p>
    <w:p>
      <w:pPr>
        <w:spacing w:after="0" w:line="219" w:lineRule="exact"/>
        <w:rPr>
          <w:rFonts w:ascii="Arial" w:cs="Arial" w:eastAsia="Arial" w:hAnsi="Arial"/>
          <w:sz w:val="18"/>
          <w:szCs w:val="18"/>
          <w:color w:val="auto"/>
        </w:rPr>
      </w:pPr>
    </w:p>
    <w:p>
      <w:pPr>
        <w:ind w:left="1800" w:right="440" w:hanging="545"/>
        <w:spacing w:after="0" w:line="296" w:lineRule="auto"/>
        <w:tabs>
          <w:tab w:leader="none" w:pos="1836"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proportion borne by each Lender’s participation in the maturing Loan to the amount of that maturing Loan is the same as the proportion borne by that Lender’s participation in the new Loans to the aggregate amount of those new Loans,</w:t>
      </w:r>
    </w:p>
    <w:p>
      <w:pPr>
        <w:spacing w:after="0" w:line="157" w:lineRule="exact"/>
        <w:rPr>
          <w:sz w:val="20"/>
          <w:szCs w:val="20"/>
          <w:color w:val="auto"/>
        </w:rPr>
      </w:pPr>
    </w:p>
    <w:p>
      <w:pPr>
        <w:ind w:left="1260" w:right="320"/>
        <w:spacing w:after="0" w:line="267" w:lineRule="auto"/>
        <w:rPr>
          <w:sz w:val="20"/>
          <w:szCs w:val="20"/>
          <w:color w:val="auto"/>
        </w:rPr>
      </w:pPr>
      <w:r>
        <w:rPr>
          <w:rFonts w:ascii="Arial" w:cs="Arial" w:eastAsia="Arial" w:hAnsi="Arial"/>
          <w:sz w:val="18"/>
          <w:szCs w:val="18"/>
          <w:color w:val="auto"/>
        </w:rPr>
        <w:t>the aggregate amount of the new Loans shall, unless the Borrower notifies the Agent to the contrary in the relevant Utilisation Request, be treated as if applied in or towards repayment of the maturing Loan so that:</w:t>
      </w:r>
    </w:p>
    <w:p>
      <w:pPr>
        <w:spacing w:after="0" w:line="179" w:lineRule="exact"/>
        <w:rPr>
          <w:sz w:val="20"/>
          <w:szCs w:val="20"/>
          <w:color w:val="auto"/>
        </w:rPr>
      </w:pPr>
    </w:p>
    <w:p>
      <w:pPr>
        <w:ind w:left="2380" w:hanging="571"/>
        <w:spacing w:after="0"/>
        <w:tabs>
          <w:tab w:leader="none" w:pos="23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amount of the maturing Loan exceeds the aggregate amount of the new Loans:</w:t>
      </w:r>
    </w:p>
    <w:p>
      <w:pPr>
        <w:spacing w:after="0" w:line="219" w:lineRule="exact"/>
        <w:rPr>
          <w:rFonts w:ascii="Arial" w:cs="Arial" w:eastAsia="Arial" w:hAnsi="Arial"/>
          <w:sz w:val="18"/>
          <w:szCs w:val="18"/>
          <w:color w:val="auto"/>
        </w:rPr>
      </w:pPr>
    </w:p>
    <w:p>
      <w:pPr>
        <w:ind w:left="2920" w:right="120" w:hanging="558"/>
        <w:spacing w:after="0" w:line="267" w:lineRule="auto"/>
        <w:tabs>
          <w:tab w:leader="none" w:pos="290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Borrower will only be required to make a payment under Clause 25.1 (Payments to the Agent) in an amount in the relevant currency equal to that excess; and</w:t>
      </w:r>
    </w:p>
    <w:p>
      <w:pPr>
        <w:spacing w:after="0" w:line="178" w:lineRule="exact"/>
        <w:rPr>
          <w:rFonts w:ascii="Arial" w:cs="Arial" w:eastAsia="Arial" w:hAnsi="Arial"/>
          <w:sz w:val="18"/>
          <w:szCs w:val="18"/>
          <w:color w:val="auto"/>
        </w:rPr>
      </w:pPr>
    </w:p>
    <w:p>
      <w:pPr>
        <w:ind w:left="2920" w:hanging="558"/>
        <w:spacing w:after="0" w:line="253" w:lineRule="auto"/>
        <w:tabs>
          <w:tab w:leader="none" w:pos="292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Lender’s participation in the new Loans shall be treated as having been made available and applied by the Borrower in or towards repayment of that Lender’s participation in the maturing Loan and that Lender will not be required to make a payment under Clause 25.1 (Payments to the Agent) in respect of its participation in the new Loans; and</w:t>
      </w:r>
    </w:p>
    <w:p>
      <w:pPr>
        <w:spacing w:after="0" w:line="192" w:lineRule="exact"/>
        <w:rPr>
          <w:rFonts w:ascii="Arial" w:cs="Arial" w:eastAsia="Arial" w:hAnsi="Arial"/>
          <w:sz w:val="18"/>
          <w:szCs w:val="18"/>
          <w:color w:val="auto"/>
        </w:rPr>
      </w:pPr>
    </w:p>
    <w:p>
      <w:pPr>
        <w:ind w:left="2380" w:hanging="571"/>
        <w:spacing w:after="0"/>
        <w:tabs>
          <w:tab w:leader="none" w:pos="23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the amount of the maturing Loan is equal to or less than the aggregate amount of the new Loans:</w:t>
      </w:r>
    </w:p>
    <w:p>
      <w:pPr>
        <w:spacing w:after="0" w:line="219" w:lineRule="exact"/>
        <w:rPr>
          <w:rFonts w:ascii="Arial" w:cs="Arial" w:eastAsia="Arial" w:hAnsi="Arial"/>
          <w:sz w:val="18"/>
          <w:szCs w:val="18"/>
          <w:color w:val="auto"/>
        </w:rPr>
      </w:pPr>
    </w:p>
    <w:p>
      <w:pPr>
        <w:ind w:left="2900" w:hanging="538"/>
        <w:spacing w:after="0"/>
        <w:tabs>
          <w:tab w:leader="none" w:pos="29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Borrower will not be required to make a payment under Clause 25.1 (Payments to the Agent); and</w:t>
      </w:r>
    </w:p>
    <w:p>
      <w:pPr>
        <w:spacing w:after="0" w:line="219" w:lineRule="exact"/>
        <w:rPr>
          <w:rFonts w:ascii="Arial" w:cs="Arial" w:eastAsia="Arial" w:hAnsi="Arial"/>
          <w:sz w:val="18"/>
          <w:szCs w:val="18"/>
          <w:color w:val="auto"/>
        </w:rPr>
      </w:pPr>
    </w:p>
    <w:p>
      <w:pPr>
        <w:ind w:left="2920" w:right="800" w:hanging="558"/>
        <w:spacing w:after="0" w:line="267" w:lineRule="auto"/>
        <w:tabs>
          <w:tab w:leader="none" w:pos="292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25.1 (Payments to the Agent) in respect of its participation in the new Loans only to the extent that its participation in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195" w:name="page196"/>
    <w:bookmarkEnd w:id="195"/>
    <w:p>
      <w:pPr>
        <w:jc w:val="both"/>
        <w:ind w:left="2900" w:right="40"/>
        <w:spacing w:after="0" w:line="257" w:lineRule="auto"/>
        <w:rPr>
          <w:sz w:val="20"/>
          <w:szCs w:val="20"/>
          <w:color w:val="auto"/>
        </w:rPr>
      </w:pPr>
      <w:r>
        <w:rPr>
          <w:rFonts w:ascii="Arial" w:cs="Arial" w:eastAsia="Arial" w:hAnsi="Arial"/>
          <w:sz w:val="18"/>
          <w:szCs w:val="18"/>
          <w:color w:val="auto"/>
        </w:rPr>
        <w:t>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88" w:lineRule="exact"/>
        <w:rPr>
          <w:sz w:val="20"/>
          <w:szCs w:val="20"/>
          <w:color w:val="auto"/>
        </w:rPr>
      </w:pPr>
    </w:p>
    <w:p>
      <w:pPr>
        <w:ind w:left="1260" w:right="440" w:hanging="559"/>
        <w:spacing w:after="0" w:line="330" w:lineRule="auto"/>
        <w:tabs>
          <w:tab w:leader="none" w:pos="127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At any time when a Lender becomes a Defaulting Lender, the maturity date of each of the participations of that Lender in the Loans then outstanding will be automatically extended to the Final Repayment Date and will be treated as separate Loans (the “</w:t>
      </w:r>
      <w:r>
        <w:rPr>
          <w:rFonts w:ascii="Arial" w:cs="Arial" w:eastAsia="Arial" w:hAnsi="Arial"/>
          <w:sz w:val="16"/>
          <w:szCs w:val="16"/>
          <w:b w:val="1"/>
          <w:bCs w:val="1"/>
          <w:color w:val="auto"/>
        </w:rPr>
        <w:t>Separate Loans</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ind w:left="1260" w:right="240" w:hanging="559"/>
        <w:spacing w:after="0" w:line="330" w:lineRule="auto"/>
        <w:tabs>
          <w:tab w:leader="none" w:pos="127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Borrower may prepay that Separate Loan by giving three Business Days’ prior notice to the Agent. The Agent will forward a copy of a prepayment notice received in accordance with this paragraph (d) to the Defaulting Lender concerned as soon as practicable on receipt.</w:t>
      </w:r>
    </w:p>
    <w:p>
      <w:pPr>
        <w:spacing w:after="0" w:line="133" w:lineRule="exact"/>
        <w:rPr>
          <w:rFonts w:ascii="Arial" w:cs="Arial" w:eastAsia="Arial" w:hAnsi="Arial"/>
          <w:sz w:val="16"/>
          <w:szCs w:val="16"/>
          <w:color w:val="auto"/>
        </w:rPr>
      </w:pPr>
    </w:p>
    <w:p>
      <w:pPr>
        <w:ind w:left="1260" w:hanging="559"/>
        <w:spacing w:after="0" w:line="330" w:lineRule="auto"/>
        <w:tabs>
          <w:tab w:leader="none" w:pos="127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Interest in respect of a Separate Loan will accrue for successive Interest Periods selected by the Borrower by the time and date specified by the Agent (acting reasonably) and will be payable by the Borrower to the Defaulting Lender on the last day of each Interest Period of that Loan.</w:t>
      </w:r>
    </w:p>
    <w:p>
      <w:pPr>
        <w:spacing w:after="0" w:line="133" w:lineRule="exact"/>
        <w:rPr>
          <w:rFonts w:ascii="Arial" w:cs="Arial" w:eastAsia="Arial" w:hAnsi="Arial"/>
          <w:sz w:val="16"/>
          <w:szCs w:val="16"/>
          <w:color w:val="auto"/>
        </w:rPr>
      </w:pPr>
    </w:p>
    <w:p>
      <w:pPr>
        <w:ind w:left="1260" w:right="300" w:hanging="559"/>
        <w:spacing w:after="0" w:line="267" w:lineRule="auto"/>
        <w:tabs>
          <w:tab w:leader="none" w:pos="127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terms of this agreement relating to Loans generally shall continue to apply to Separate Loans other than to the extent inconsistent with paragraphs (c) to (e) above, in which case those paragraphs shall prevail in respect of any Separate Loan.</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 Loans must be repaid in full on the Final Repayment Date.</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225" w:lineRule="exact"/>
        <w:rPr>
          <w:sz w:val="20"/>
          <w:szCs w:val="20"/>
          <w:color w:val="auto"/>
        </w:rPr>
      </w:pPr>
    </w:p>
    <w:p>
      <w:pPr>
        <w:ind w:left="700" w:right="500"/>
        <w:spacing w:after="0" w:line="267" w:lineRule="auto"/>
        <w:rPr>
          <w:sz w:val="20"/>
          <w:szCs w:val="20"/>
          <w:color w:val="auto"/>
        </w:rPr>
      </w:pPr>
      <w:r>
        <w:rPr>
          <w:rFonts w:ascii="Arial" w:cs="Arial" w:eastAsia="Arial" w:hAnsi="Arial"/>
          <w:sz w:val="18"/>
          <w:szCs w:val="18"/>
          <w:color w:val="auto"/>
        </w:rPr>
        <w:t>If, at any time, it is or will become unlawful in any applicable jurisdiction for a Lender to perform any of its obligations as contemplated by this agreement or to fund or maintain its participation in any Loan or any part thereof:</w:t>
      </w:r>
    </w:p>
    <w:p>
      <w:pPr>
        <w:spacing w:after="0" w:line="179" w:lineRule="exact"/>
        <w:rPr>
          <w:sz w:val="20"/>
          <w:szCs w:val="20"/>
          <w:color w:val="auto"/>
        </w:rPr>
      </w:pPr>
    </w:p>
    <w:p>
      <w:pPr>
        <w:ind w:left="1260" w:right="20" w:hanging="559"/>
        <w:spacing w:after="0" w:line="267" w:lineRule="auto"/>
        <w:tabs>
          <w:tab w:leader="none" w:pos="126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 and the Agent shall promptly notify the Borrower upon receipt of such notification from that Lender;</w:t>
      </w:r>
    </w:p>
    <w:p>
      <w:pPr>
        <w:spacing w:after="0" w:line="178" w:lineRule="exact"/>
        <w:rPr>
          <w:rFonts w:ascii="Arial" w:cs="Arial" w:eastAsia="Arial" w:hAnsi="Arial"/>
          <w:sz w:val="18"/>
          <w:szCs w:val="18"/>
          <w:color w:val="auto"/>
        </w:rPr>
      </w:pPr>
    </w:p>
    <w:p>
      <w:pPr>
        <w:ind w:left="1260" w:right="300" w:hanging="559"/>
        <w:spacing w:after="0" w:line="267" w:lineRule="auto"/>
        <w:tabs>
          <w:tab w:leader="none" w:pos="127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the Agent notifying the Borrower, the Available Commitment of that Lender will be immediately cancelled to the extent necessary to comply with applicable law; and</w:t>
      </w:r>
    </w:p>
    <w:p>
      <w:pPr>
        <w:spacing w:after="0" w:line="178" w:lineRule="exact"/>
        <w:rPr>
          <w:rFonts w:ascii="Arial" w:cs="Arial" w:eastAsia="Arial" w:hAnsi="Arial"/>
          <w:sz w:val="18"/>
          <w:szCs w:val="18"/>
          <w:color w:val="auto"/>
        </w:rPr>
      </w:pPr>
    </w:p>
    <w:p>
      <w:pPr>
        <w:ind w:left="1260" w:right="100" w:hanging="559"/>
        <w:spacing w:after="0" w:line="270" w:lineRule="auto"/>
        <w:tabs>
          <w:tab w:leader="none" w:pos="127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the extent that the Lender’s participation has not been transferred pursuant to paragraph (d) of Clause 7.5 (Right of prepayment and cancellation in relation to a single Lender), the Borrower shall repay that Lender’s 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Commitment(s) shall be cancelled in the amount of the participations repaid.</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Change of Control</w:t>
      </w:r>
    </w:p>
    <w:p>
      <w:pPr>
        <w:spacing w:after="0" w:line="225" w:lineRule="exact"/>
        <w:rPr>
          <w:sz w:val="20"/>
          <w:szCs w:val="20"/>
          <w:color w:val="auto"/>
        </w:rPr>
      </w:pPr>
    </w:p>
    <w:p>
      <w:pPr>
        <w:ind w:left="1260" w:hanging="559"/>
        <w:spacing w:after="0"/>
        <w:tabs>
          <w:tab w:leader="none" w:pos="1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 Change of Control occurs:</w:t>
      </w:r>
    </w:p>
    <w:p>
      <w:pPr>
        <w:spacing w:after="0" w:line="219" w:lineRule="exact"/>
        <w:rPr>
          <w:rFonts w:ascii="Arial" w:cs="Arial" w:eastAsia="Arial" w:hAnsi="Arial"/>
          <w:sz w:val="18"/>
          <w:szCs w:val="18"/>
          <w:color w:val="auto"/>
        </w:rPr>
      </w:pPr>
    </w:p>
    <w:p>
      <w:pPr>
        <w:ind w:left="5620" w:right="3760" w:hanging="4365"/>
        <w:spacing w:after="0" w:line="514" w:lineRule="auto"/>
        <w:tabs>
          <w:tab w:leader="none" w:pos="183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26948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6" w:name="page197"/>
    <w:bookmarkEnd w:id="196"/>
    <w:p>
      <w:pPr>
        <w:ind w:left="1840" w:hanging="585"/>
        <w:spacing w:after="0"/>
        <w:tabs>
          <w:tab w:leader="none" w:pos="18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(irrespective of whether the Borrower has complied with paragraph (i) above):</w:t>
      </w:r>
    </w:p>
    <w:p>
      <w:pPr>
        <w:spacing w:after="0" w:line="219" w:lineRule="exact"/>
        <w:rPr>
          <w:rFonts w:ascii="Arial" w:cs="Arial" w:eastAsia="Arial" w:hAnsi="Arial"/>
          <w:sz w:val="18"/>
          <w:szCs w:val="18"/>
          <w:color w:val="auto"/>
        </w:rPr>
      </w:pPr>
    </w:p>
    <w:p>
      <w:pPr>
        <w:ind w:left="2360" w:right="400" w:hanging="551"/>
        <w:spacing w:after="0" w:line="257" w:lineRule="auto"/>
        <w:tabs>
          <w:tab w:leader="none" w:pos="2386"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if the Majority Lenders so require, the Agent shall, by no later than the date which is 90 days after the later of (i) the occurrence of a change of control or (ii) the Agent becoming aware of the change of control and by not less than 30 days’ notice to the Borrower:</w:t>
      </w:r>
    </w:p>
    <w:p>
      <w:pPr>
        <w:spacing w:after="0" w:line="187" w:lineRule="exact"/>
        <w:rPr>
          <w:rFonts w:ascii="Arial" w:cs="Arial" w:eastAsia="Arial" w:hAnsi="Arial"/>
          <w:sz w:val="18"/>
          <w:szCs w:val="18"/>
          <w:color w:val="auto"/>
        </w:rPr>
      </w:pPr>
    </w:p>
    <w:p>
      <w:pPr>
        <w:ind w:left="2900" w:hanging="538"/>
        <w:spacing w:after="0"/>
        <w:tabs>
          <w:tab w:leader="none" w:pos="2900" w:val="left"/>
        </w:tabs>
        <w:numPr>
          <w:ilvl w:val="3"/>
          <w:numId w:val="198"/>
        </w:numPr>
        <w:rPr>
          <w:rFonts w:ascii="Arial" w:cs="Arial" w:eastAsia="Arial" w:hAnsi="Arial"/>
          <w:sz w:val="18"/>
          <w:szCs w:val="18"/>
          <w:color w:val="auto"/>
        </w:rPr>
      </w:pPr>
      <w:r>
        <w:rPr>
          <w:rFonts w:ascii="Arial" w:cs="Arial" w:eastAsia="Arial" w:hAnsi="Arial"/>
          <w:sz w:val="18"/>
          <w:szCs w:val="18"/>
          <w:color w:val="auto"/>
        </w:rPr>
        <w:t>cancel the Total Commitments, whereupon they shall be cancelled in full; and/or</w:t>
      </w:r>
    </w:p>
    <w:p>
      <w:pPr>
        <w:spacing w:after="0" w:line="219" w:lineRule="exact"/>
        <w:rPr>
          <w:rFonts w:ascii="Arial" w:cs="Arial" w:eastAsia="Arial" w:hAnsi="Arial"/>
          <w:sz w:val="18"/>
          <w:szCs w:val="18"/>
          <w:color w:val="auto"/>
        </w:rPr>
      </w:pPr>
    </w:p>
    <w:p>
      <w:pPr>
        <w:ind w:left="2920" w:right="20" w:hanging="558"/>
        <w:spacing w:after="0" w:line="257" w:lineRule="auto"/>
        <w:tabs>
          <w:tab w:leader="none" w:pos="2928" w:val="left"/>
        </w:tabs>
        <w:numPr>
          <w:ilvl w:val="3"/>
          <w:numId w:val="198"/>
        </w:numPr>
        <w:rPr>
          <w:rFonts w:ascii="Arial" w:cs="Arial" w:eastAsia="Arial" w:hAnsi="Arial"/>
          <w:sz w:val="18"/>
          <w:szCs w:val="18"/>
          <w:color w:val="auto"/>
        </w:rPr>
      </w:pPr>
      <w:r>
        <w:rPr>
          <w:rFonts w:ascii="Arial" w:cs="Arial" w:eastAsia="Arial" w:hAnsi="Arial"/>
          <w:sz w:val="18"/>
          <w:szCs w:val="18"/>
          <w:color w:val="auto"/>
        </w:rPr>
        <w:t>declare all outstanding Loans, together with accrued interest and any Break Costs, and all other amounts accrued under the Finance Documents immediately due and payable, whereupon the Total Commitments will be cancelled and all such outstanding Loans and amounts will become immediately due and payable.</w:t>
      </w:r>
    </w:p>
    <w:p>
      <w:pPr>
        <w:spacing w:after="0" w:line="181" w:lineRule="exact"/>
        <w:rPr>
          <w:rFonts w:ascii="Arial" w:cs="Arial" w:eastAsia="Arial" w:hAnsi="Arial"/>
          <w:sz w:val="18"/>
          <w:szCs w:val="18"/>
          <w:color w:val="auto"/>
        </w:rPr>
      </w:pPr>
    </w:p>
    <w:p>
      <w:pPr>
        <w:ind w:left="1260" w:hanging="559"/>
        <w:spacing w:after="0" w:line="260" w:lineRule="auto"/>
        <w:tabs>
          <w:tab w:leader="none" w:pos="12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For the purposes of paragraph (a) above,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any person or group of persons acting in concert (other than any person or group of persons acting in concert who control the Borrower as at the date of this agreement) gains direct or indirect control of the Borrower. For the purposes of this definition:</w:t>
      </w:r>
    </w:p>
    <w:p>
      <w:pPr>
        <w:spacing w:after="0" w:line="179" w:lineRule="exact"/>
        <w:rPr>
          <w:rFonts w:ascii="Arial" w:cs="Arial" w:eastAsia="Arial" w:hAnsi="Arial"/>
          <w:sz w:val="18"/>
          <w:szCs w:val="18"/>
          <w:color w:val="auto"/>
        </w:rPr>
      </w:pPr>
    </w:p>
    <w:p>
      <w:pPr>
        <w:ind w:left="1800" w:right="180" w:hanging="545"/>
        <w:spacing w:after="0" w:line="260" w:lineRule="auto"/>
        <w:tabs>
          <w:tab w:leader="none" w:pos="1827"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acting in concert </w:t>
      </w:r>
      <w:r>
        <w:rPr>
          <w:rFonts w:ascii="Arial" w:cs="Arial" w:eastAsia="Arial" w:hAnsi="Arial"/>
          <w:sz w:val="18"/>
          <w:szCs w:val="18"/>
          <w:color w:val="auto"/>
        </w:rPr>
        <w:t>means, a group of persons who, pursuant to an agreement or understanding (whether formal or informal), 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co-operate, through the acquisition directly or indirectly of shares in the Borrower by any of them, either directly or indirectly, to obtain or consolidate control of the Borrower; and</w:t>
      </w:r>
    </w:p>
    <w:p>
      <w:pPr>
        <w:spacing w:after="0" w:line="180" w:lineRule="exact"/>
        <w:rPr>
          <w:sz w:val="20"/>
          <w:szCs w:val="20"/>
          <w:color w:val="auto"/>
        </w:rPr>
      </w:pPr>
    </w:p>
    <w:p>
      <w:pPr>
        <w:ind w:left="1840" w:hanging="585"/>
        <w:spacing w:after="0"/>
        <w:tabs>
          <w:tab w:leader="none" w:pos="184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 person means the power (whether by way of ownership of shares, proxy, contract, agency or otherwise) to:</w:t>
      </w:r>
    </w:p>
    <w:p>
      <w:pPr>
        <w:spacing w:after="0" w:line="225" w:lineRule="exact"/>
        <w:rPr>
          <w:rFonts w:ascii="Arial" w:cs="Arial" w:eastAsia="Arial" w:hAnsi="Arial"/>
          <w:sz w:val="18"/>
          <w:szCs w:val="18"/>
          <w:color w:val="auto"/>
        </w:rPr>
      </w:pPr>
    </w:p>
    <w:p>
      <w:pPr>
        <w:ind w:left="2360" w:right="120" w:hanging="551"/>
        <w:spacing w:after="0" w:line="267" w:lineRule="auto"/>
        <w:tabs>
          <w:tab w:leader="none" w:pos="238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cast, or control the casting of, more than one-half of the maximum number of votes that might be cast at a general meeting of that person;</w:t>
      </w:r>
    </w:p>
    <w:p>
      <w:pPr>
        <w:spacing w:after="0" w:line="178" w:lineRule="exact"/>
        <w:rPr>
          <w:rFonts w:ascii="Arial" w:cs="Arial" w:eastAsia="Arial" w:hAnsi="Arial"/>
          <w:sz w:val="18"/>
          <w:szCs w:val="18"/>
          <w:color w:val="auto"/>
        </w:rPr>
      </w:pPr>
    </w:p>
    <w:p>
      <w:pPr>
        <w:ind w:left="2380" w:hanging="571"/>
        <w:spacing w:after="0"/>
        <w:tabs>
          <w:tab w:leader="none" w:pos="23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person; or</w:t>
      </w:r>
    </w:p>
    <w:p>
      <w:pPr>
        <w:spacing w:after="0" w:line="219" w:lineRule="exact"/>
        <w:rPr>
          <w:rFonts w:ascii="Arial" w:cs="Arial" w:eastAsia="Arial" w:hAnsi="Arial"/>
          <w:sz w:val="18"/>
          <w:szCs w:val="18"/>
          <w:color w:val="auto"/>
        </w:rPr>
      </w:pPr>
    </w:p>
    <w:p>
      <w:pPr>
        <w:ind w:left="2360" w:right="180" w:hanging="551"/>
        <w:spacing w:after="0" w:line="267" w:lineRule="auto"/>
        <w:tabs>
          <w:tab w:leader="none" w:pos="237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person with which the directors or other equivalent officers of that person are obliged to comply.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4"/>
          <w:szCs w:val="14"/>
          <w:b w:val="1"/>
          <w:bCs w:val="1"/>
          <w:color w:val="auto"/>
        </w:rPr>
        <w:t>Voluntary cancellation</w:t>
      </w:r>
    </w:p>
    <w:p>
      <w:pPr>
        <w:spacing w:after="0" w:line="225"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Borrower may, if it gives the Agent not less than three (3) Business Days’ (or such shorter period as the Majority Lenders may agree) prior notice, cancel the whole or any part (being a minimum amount of US$50,000,000 and an integral multiple of US$10,000,000) of the Available Facility. Any cancellation under this Clause 7.3 shall reduce the Commitments of the Lenders rateably under the Facility.</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Voluntary prepayment of Loans</w:t>
      </w:r>
    </w:p>
    <w:p>
      <w:pPr>
        <w:spacing w:after="0" w:line="225" w:lineRule="exact"/>
        <w:rPr>
          <w:sz w:val="20"/>
          <w:szCs w:val="20"/>
          <w:color w:val="auto"/>
        </w:rPr>
      </w:pPr>
    </w:p>
    <w:p>
      <w:pPr>
        <w:ind w:left="700" w:right="80"/>
        <w:spacing w:after="0" w:line="304" w:lineRule="auto"/>
        <w:rPr>
          <w:sz w:val="20"/>
          <w:szCs w:val="20"/>
          <w:color w:val="auto"/>
        </w:rPr>
      </w:pPr>
      <w:r>
        <w:rPr>
          <w:rFonts w:ascii="Arial" w:cs="Arial" w:eastAsia="Arial" w:hAnsi="Arial"/>
          <w:sz w:val="16"/>
          <w:szCs w:val="16"/>
          <w:color w:val="auto"/>
        </w:rPr>
        <w:t>The Borrower to which a Loan has been made may, if it gives the Agent not less than three (3) Business Days’ (or such shorter period as the Majority Lenders may agree) prior notice, prepay the whole or any part of a Loan (but if in part, being an amount that reduces the amount of such Loan by a minimum amount of US$50,000,000 and in an integral multiple of US$10,000,000 or, if less, the balance of the outstanding Loan).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197" w:name="page198"/>
    <w:bookmarkEnd w:id="197"/>
    <w:p>
      <w:pPr>
        <w:spacing w:after="0"/>
        <w:tabs>
          <w:tab w:leader="none" w:pos="6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Right of prepayment and cancellation in relation to a single Lender</w:t>
      </w:r>
    </w:p>
    <w:p>
      <w:pPr>
        <w:spacing w:after="0" w:line="225" w:lineRule="exact"/>
        <w:rPr>
          <w:sz w:val="20"/>
          <w:szCs w:val="20"/>
          <w:color w:val="auto"/>
        </w:rPr>
      </w:pPr>
    </w:p>
    <w:p>
      <w:pPr>
        <w:ind w:left="1260" w:hanging="559"/>
        <w:spacing w:after="0"/>
        <w:tabs>
          <w:tab w:leader="none" w:pos="1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any sum payable to any Lender by the Borrower is required to be increased under paragraph (a) of Clause 12.2 (Tax gross-up);</w:t>
      </w:r>
    </w:p>
    <w:p>
      <w:pPr>
        <w:spacing w:after="0" w:line="242" w:lineRule="exact"/>
        <w:rPr>
          <w:rFonts w:ascii="Arial" w:cs="Arial" w:eastAsia="Arial" w:hAnsi="Arial"/>
          <w:sz w:val="16"/>
          <w:szCs w:val="16"/>
          <w:color w:val="auto"/>
        </w:rPr>
      </w:pPr>
    </w:p>
    <w:p>
      <w:pPr>
        <w:ind w:left="1840" w:hanging="585"/>
        <w:spacing w:after="0"/>
        <w:tabs>
          <w:tab w:leader="none" w:pos="184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12.3 (Tax indemnity) or Clause 13.1 (Increased costs); or</w:t>
      </w:r>
    </w:p>
    <w:p>
      <w:pPr>
        <w:spacing w:after="0" w:line="230" w:lineRule="exact"/>
        <w:rPr>
          <w:rFonts w:ascii="Arial" w:cs="Arial" w:eastAsia="Arial" w:hAnsi="Arial"/>
          <w:sz w:val="17"/>
          <w:szCs w:val="17"/>
          <w:color w:val="auto"/>
        </w:rPr>
      </w:pPr>
    </w:p>
    <w:p>
      <w:pPr>
        <w:ind w:left="1860" w:hanging="605"/>
        <w:spacing w:after="0"/>
        <w:tabs>
          <w:tab w:leader="none" w:pos="18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Lender becomes a Defaulting Lender,</w:t>
      </w:r>
    </w:p>
    <w:p>
      <w:pPr>
        <w:spacing w:after="0" w:line="219" w:lineRule="exact"/>
        <w:rPr>
          <w:sz w:val="20"/>
          <w:szCs w:val="20"/>
          <w:color w:val="auto"/>
        </w:rPr>
      </w:pPr>
    </w:p>
    <w:p>
      <w:pPr>
        <w:jc w:val="both"/>
        <w:ind w:left="1260" w:right="60"/>
        <w:spacing w:after="0" w:line="279" w:lineRule="auto"/>
        <w:rPr>
          <w:sz w:val="20"/>
          <w:szCs w:val="20"/>
          <w:color w:val="auto"/>
        </w:rPr>
      </w:pPr>
      <w:r>
        <w:rPr>
          <w:rFonts w:ascii="Arial" w:cs="Arial" w:eastAsia="Arial" w:hAnsi="Arial"/>
          <w:sz w:val="17"/>
          <w:szCs w:val="17"/>
          <w:color w:val="auto"/>
        </w:rPr>
        <w:t>the Borrower may, whilst the circumstance giving rise to the requirement for that increase or indemnification continues, give the Agent notice of cancellation of the Commitment(s) of that Lender and its intention to procure the prepayment of that Lender’s participation in the Loans or give the Agent notice of its intention to replace that Lender in accordance with paragraph (d) below.</w:t>
      </w:r>
    </w:p>
    <w:p>
      <w:pPr>
        <w:spacing w:after="0" w:line="171" w:lineRule="exact"/>
        <w:rPr>
          <w:sz w:val="20"/>
          <w:szCs w:val="20"/>
          <w:color w:val="auto"/>
        </w:rPr>
      </w:pPr>
    </w:p>
    <w:p>
      <w:pPr>
        <w:ind w:left="1260" w:right="200" w:hanging="559"/>
        <w:spacing w:after="0" w:line="267" w:lineRule="auto"/>
        <w:tabs>
          <w:tab w:leader="none" w:pos="127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Commitment(s) of that Lender shall immediately be reduced to zero.</w:t>
      </w:r>
    </w:p>
    <w:p>
      <w:pPr>
        <w:spacing w:after="0" w:line="178" w:lineRule="exact"/>
        <w:rPr>
          <w:rFonts w:ascii="Arial" w:cs="Arial" w:eastAsia="Arial" w:hAnsi="Arial"/>
          <w:sz w:val="18"/>
          <w:szCs w:val="18"/>
          <w:color w:val="auto"/>
        </w:rPr>
      </w:pPr>
    </w:p>
    <w:p>
      <w:pPr>
        <w:ind w:left="1260" w:hanging="559"/>
        <w:spacing w:after="0" w:line="296" w:lineRule="auto"/>
        <w:tabs>
          <w:tab w:leader="none" w:pos="127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has given notice of cancellation under paragraph (a) above (or, if earlier, the date specified by the Borrower in that notice), the Borrower shall prepay that Lender’s participation in that Loan.</w:t>
      </w:r>
    </w:p>
    <w:p>
      <w:pPr>
        <w:spacing w:after="0" w:line="157" w:lineRule="exact"/>
        <w:rPr>
          <w:rFonts w:ascii="Arial" w:cs="Arial" w:eastAsia="Arial" w:hAnsi="Arial"/>
          <w:sz w:val="17"/>
          <w:szCs w:val="17"/>
          <w:color w:val="auto"/>
        </w:rPr>
      </w:pPr>
    </w:p>
    <w:p>
      <w:pPr>
        <w:ind w:left="1260" w:hanging="559"/>
        <w:spacing w:after="0"/>
        <w:tabs>
          <w:tab w:leader="none" w:pos="12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of the circumstances set out in paragraph (a) above apply to a Lender;</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Borrower becomes obliged to pay any amount in accordance with Clause 7.1 (Illegality) to any Lender; or</w:t>
      </w:r>
    </w:p>
    <w:p>
      <w:pPr>
        <w:spacing w:after="0" w:line="219" w:lineRule="exact"/>
        <w:rPr>
          <w:rFonts w:ascii="Arial" w:cs="Arial" w:eastAsia="Arial" w:hAnsi="Arial"/>
          <w:sz w:val="18"/>
          <w:szCs w:val="18"/>
          <w:color w:val="auto"/>
        </w:rPr>
      </w:pPr>
    </w:p>
    <w:p>
      <w:pPr>
        <w:ind w:left="1860" w:hanging="605"/>
        <w:spacing w:after="0"/>
        <w:tabs>
          <w:tab w:leader="none" w:pos="18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Lender becomes a Non-Consenting Lender (as defined in paragraph (g) below),</w:t>
      </w:r>
    </w:p>
    <w:p>
      <w:pPr>
        <w:spacing w:after="0" w:line="219" w:lineRule="exact"/>
        <w:rPr>
          <w:sz w:val="20"/>
          <w:szCs w:val="20"/>
          <w:color w:val="auto"/>
        </w:rPr>
      </w:pPr>
    </w:p>
    <w:p>
      <w:pPr>
        <w:ind w:left="1260"/>
        <w:spacing w:after="0" w:line="288" w:lineRule="auto"/>
        <w:rPr>
          <w:sz w:val="20"/>
          <w:szCs w:val="20"/>
          <w:color w:val="auto"/>
        </w:rPr>
      </w:pPr>
      <w:r>
        <w:rPr>
          <w:rFonts w:ascii="Arial" w:cs="Arial" w:eastAsia="Arial" w:hAnsi="Arial"/>
          <w:sz w:val="16"/>
          <w:szCs w:val="16"/>
          <w:color w:val="auto"/>
        </w:rPr>
        <w:t>the Borrower may, on not less than five Business Days’ prior written notice to the Agent and that Lender, replace that Lender by requiring that Lender to (and, to the extent permitted by law, that Lender shall) transfer pursuant to Clause 22 (Changes to the Parties) all (and not part only) of its rights and obligations under the Finance Documents to another Lender which confirms its willingness to assume and does assume all the obligations of the transferring Lender in accordance with Clause 22 (Change to the Parties) for a purchase price in cash payable at the time of the transfer in an amount equal to the outstanding principal amount of such Lender’s participation in the outstanding Loans and all accrued interest, Break Costs and other amounts payable in relation thereto under the Finance Documents.</w:t>
      </w:r>
    </w:p>
    <w:p>
      <w:pPr>
        <w:spacing w:after="0" w:line="167" w:lineRule="exact"/>
        <w:rPr>
          <w:sz w:val="20"/>
          <w:szCs w:val="20"/>
          <w:color w:val="auto"/>
        </w:rPr>
      </w:pPr>
    </w:p>
    <w:p>
      <w:pPr>
        <w:ind w:left="1280" w:hanging="579"/>
        <w:spacing w:after="0"/>
        <w:tabs>
          <w:tab w:leader="none" w:pos="12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replacement of a Lender pursuant to paragraph (d) above shall be subject to the following conditions:</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19" w:lineRule="exact"/>
        <w:rPr>
          <w:rFonts w:ascii="Arial" w:cs="Arial" w:eastAsia="Arial" w:hAnsi="Arial"/>
          <w:sz w:val="18"/>
          <w:szCs w:val="18"/>
          <w:color w:val="auto"/>
        </w:rPr>
      </w:pPr>
    </w:p>
    <w:p>
      <w:pPr>
        <w:ind w:left="1800" w:right="420" w:hanging="545"/>
        <w:spacing w:after="0" w:line="267" w:lineRule="auto"/>
        <w:tabs>
          <w:tab w:leader="none" w:pos="1845"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(d) above be required to pay or surrender any of the fees received by such Lender pursuant to the Finance Documents;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98" w:name="page199"/>
    <w:bookmarkEnd w:id="198"/>
    <w:p>
      <w:pPr>
        <w:ind w:left="1800" w:right="240" w:hanging="545"/>
        <w:spacing w:after="0" w:line="330" w:lineRule="auto"/>
        <w:tabs>
          <w:tab w:leader="none" w:pos="182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no Lender shall be obliged to execute a Transfer Certificate unless it is satisfied that it has completed all “know your customer” and other similar procedures that it is required (or deems desirable) to conduct in relation to the transfer to such replacement Lender;</w:t>
      </w:r>
    </w:p>
    <w:p>
      <w:pPr>
        <w:spacing w:after="0" w:line="133" w:lineRule="exact"/>
        <w:rPr>
          <w:rFonts w:ascii="Arial" w:cs="Arial" w:eastAsia="Arial" w:hAnsi="Arial"/>
          <w:sz w:val="16"/>
          <w:szCs w:val="16"/>
          <w:color w:val="auto"/>
        </w:rPr>
      </w:pPr>
    </w:p>
    <w:p>
      <w:pPr>
        <w:ind w:left="1820" w:hanging="565"/>
        <w:spacing w:after="0"/>
        <w:tabs>
          <w:tab w:leader="none" w:pos="18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Lender replaced under paragraph (d) above shall:</w:t>
      </w:r>
    </w:p>
    <w:p>
      <w:pPr>
        <w:spacing w:after="0" w:line="219" w:lineRule="exact"/>
        <w:rPr>
          <w:rFonts w:ascii="Arial" w:cs="Arial" w:eastAsia="Arial" w:hAnsi="Arial"/>
          <w:sz w:val="18"/>
          <w:szCs w:val="18"/>
          <w:color w:val="auto"/>
        </w:rPr>
      </w:pPr>
    </w:p>
    <w:p>
      <w:pPr>
        <w:ind w:left="2360" w:right="220" w:hanging="551"/>
        <w:spacing w:after="0" w:line="257" w:lineRule="auto"/>
        <w:tabs>
          <w:tab w:leader="none" w:pos="2386" w:val="left"/>
        </w:tabs>
        <w:numPr>
          <w:ilvl w:val="2"/>
          <w:numId w:val="204"/>
        </w:numPr>
        <w:rPr>
          <w:rFonts w:ascii="Arial" w:cs="Arial" w:eastAsia="Arial" w:hAnsi="Arial"/>
          <w:sz w:val="18"/>
          <w:szCs w:val="18"/>
          <w:color w:val="auto"/>
        </w:rPr>
      </w:pPr>
      <w:r>
        <w:rPr>
          <w:rFonts w:ascii="Arial" w:cs="Arial" w:eastAsia="Arial" w:hAnsi="Arial"/>
          <w:sz w:val="18"/>
          <w:szCs w:val="18"/>
          <w:color w:val="auto"/>
        </w:rPr>
        <w:t>not be required to make any transfer under that paragraph to the extent that such transfer is, or would be reasonably likely to result, in breach of or non-compliance with any applicable law or regulation, or any rules or regulations of any applicable securities exchange applicable to such Lender; and</w:t>
      </w:r>
    </w:p>
    <w:p>
      <w:pPr>
        <w:spacing w:after="0" w:line="187" w:lineRule="exact"/>
        <w:rPr>
          <w:rFonts w:ascii="Arial" w:cs="Arial" w:eastAsia="Arial" w:hAnsi="Arial"/>
          <w:sz w:val="18"/>
          <w:szCs w:val="18"/>
          <w:color w:val="auto"/>
        </w:rPr>
      </w:pPr>
    </w:p>
    <w:p>
      <w:pPr>
        <w:ind w:left="2380" w:hanging="571"/>
        <w:spacing w:after="0"/>
        <w:tabs>
          <w:tab w:leader="none" w:pos="238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only be obliged to make such transfer if:</w:t>
      </w:r>
    </w:p>
    <w:p>
      <w:pPr>
        <w:spacing w:after="0" w:line="219" w:lineRule="exact"/>
        <w:rPr>
          <w:rFonts w:ascii="Arial" w:cs="Arial" w:eastAsia="Arial" w:hAnsi="Arial"/>
          <w:sz w:val="18"/>
          <w:szCs w:val="18"/>
          <w:color w:val="auto"/>
        </w:rPr>
      </w:pPr>
    </w:p>
    <w:p>
      <w:pPr>
        <w:jc w:val="both"/>
        <w:ind w:left="2920" w:hanging="558"/>
        <w:spacing w:after="0" w:line="257" w:lineRule="auto"/>
        <w:tabs>
          <w:tab w:leader="none" w:pos="2908" w:val="left"/>
        </w:tabs>
        <w:numPr>
          <w:ilvl w:val="3"/>
          <w:numId w:val="204"/>
        </w:numPr>
        <w:rPr>
          <w:rFonts w:ascii="Arial" w:cs="Arial" w:eastAsia="Arial" w:hAnsi="Arial"/>
          <w:sz w:val="18"/>
          <w:szCs w:val="18"/>
          <w:color w:val="auto"/>
        </w:rPr>
      </w:pPr>
      <w:r>
        <w:rPr>
          <w:rFonts w:ascii="Arial" w:cs="Arial" w:eastAsia="Arial" w:hAnsi="Arial"/>
          <w:sz w:val="18"/>
          <w:szCs w:val="18"/>
          <w:color w:val="auto"/>
        </w:rPr>
        <w:t>in the case of sub-paragraph (d)(i) or (d)(ii), at the time of such transfer the circumstance giving rise to the requirement for the increase or indemnification (if sub-paragraph (d)(i) applies), or the Borrower’s obligation to prepay any Loan (if sub-paragraph (d)(ii) applies), is continuing; or</w:t>
      </w:r>
    </w:p>
    <w:p>
      <w:pPr>
        <w:spacing w:after="0" w:line="187" w:lineRule="exact"/>
        <w:rPr>
          <w:rFonts w:ascii="Arial" w:cs="Arial" w:eastAsia="Arial" w:hAnsi="Arial"/>
          <w:sz w:val="18"/>
          <w:szCs w:val="18"/>
          <w:color w:val="auto"/>
        </w:rPr>
      </w:pPr>
    </w:p>
    <w:p>
      <w:pPr>
        <w:jc w:val="both"/>
        <w:ind w:left="2920" w:hanging="558"/>
        <w:spacing w:after="0" w:line="257" w:lineRule="auto"/>
        <w:tabs>
          <w:tab w:leader="none" w:pos="2928" w:val="left"/>
        </w:tabs>
        <w:numPr>
          <w:ilvl w:val="3"/>
          <w:numId w:val="204"/>
        </w:numPr>
        <w:rPr>
          <w:rFonts w:ascii="Arial" w:cs="Arial" w:eastAsia="Arial" w:hAnsi="Arial"/>
          <w:sz w:val="18"/>
          <w:szCs w:val="18"/>
          <w:color w:val="auto"/>
        </w:rPr>
      </w:pPr>
      <w:r>
        <w:rPr>
          <w:rFonts w:ascii="Arial" w:cs="Arial" w:eastAsia="Arial" w:hAnsi="Arial"/>
          <w:sz w:val="18"/>
          <w:szCs w:val="18"/>
          <w:color w:val="auto"/>
        </w:rPr>
        <w:t>in the case of sub-paragraph (d)(iii), the transfer is to be made no later than 30 days after the date on which the relevant Non-Consenting Event first arose in respect of that Lender, and such Non-Consenting Event is continuing at the time of such transfer.</w:t>
      </w:r>
    </w:p>
    <w:p>
      <w:pPr>
        <w:spacing w:after="0" w:line="187" w:lineRule="exact"/>
        <w:rPr>
          <w:rFonts w:ascii="Arial" w:cs="Arial" w:eastAsia="Arial" w:hAnsi="Arial"/>
          <w:sz w:val="18"/>
          <w:szCs w:val="18"/>
          <w:color w:val="auto"/>
        </w:rPr>
      </w:pPr>
    </w:p>
    <w:p>
      <w:pPr>
        <w:ind w:left="1260" w:right="220" w:hanging="559"/>
        <w:spacing w:after="0" w:line="330" w:lineRule="auto"/>
        <w:tabs>
          <w:tab w:leader="none" w:pos="127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 Lender shall perform the procedures described in paragraph (e)(iv) above as soon as reasonably practicable following delivery of a notice referred to in paragraph (d) above and shall notify the Agent and the Borrower when it is satisfied that it has completed those checks.</w:t>
      </w:r>
    </w:p>
    <w:p>
      <w:pPr>
        <w:spacing w:after="0" w:line="133" w:lineRule="exact"/>
        <w:rPr>
          <w:rFonts w:ascii="Arial" w:cs="Arial" w:eastAsia="Arial" w:hAnsi="Arial"/>
          <w:sz w:val="16"/>
          <w:szCs w:val="16"/>
          <w:color w:val="auto"/>
        </w:rPr>
      </w:pPr>
    </w:p>
    <w:p>
      <w:pPr>
        <w:ind w:left="1280" w:hanging="579"/>
        <w:spacing w:after="0"/>
        <w:tabs>
          <w:tab w:leader="none" w:pos="12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19" w:lineRule="exact"/>
        <w:rPr>
          <w:rFonts w:ascii="Arial" w:cs="Arial" w:eastAsia="Arial" w:hAnsi="Arial"/>
          <w:sz w:val="18"/>
          <w:szCs w:val="18"/>
          <w:color w:val="auto"/>
        </w:rPr>
      </w:pPr>
    </w:p>
    <w:p>
      <w:pPr>
        <w:ind w:left="1800" w:right="380" w:hanging="545"/>
        <w:spacing w:after="0" w:line="267" w:lineRule="auto"/>
        <w:tabs>
          <w:tab w:leader="none" w:pos="182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Borrower or the Agent (at the request of the Borrower) has requested the Lenders to consent to a waiver or amendment of any provisions of the Finance Documents;</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waiver or amendment in question requires the consent of all the Lenders; and</w:t>
      </w:r>
    </w:p>
    <w:p>
      <w:pPr>
        <w:spacing w:after="0" w:line="219" w:lineRule="exact"/>
        <w:rPr>
          <w:rFonts w:ascii="Arial" w:cs="Arial" w:eastAsia="Arial" w:hAnsi="Arial"/>
          <w:sz w:val="18"/>
          <w:szCs w:val="18"/>
          <w:color w:val="auto"/>
        </w:rPr>
      </w:pPr>
    </w:p>
    <w:p>
      <w:pPr>
        <w:ind w:left="1860" w:hanging="605"/>
        <w:spacing w:after="0"/>
        <w:tabs>
          <w:tab w:leader="none" w:pos="18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Super Majority Lenders have consented to such waiver or amendment,</w:t>
      </w:r>
    </w:p>
    <w:p>
      <w:pPr>
        <w:spacing w:after="0" w:line="213" w:lineRule="exact"/>
        <w:rPr>
          <w:sz w:val="20"/>
          <w:szCs w:val="20"/>
          <w:color w:val="auto"/>
        </w:rPr>
      </w:pPr>
    </w:p>
    <w:p>
      <w:pPr>
        <w:ind w:left="1260" w:right="320"/>
        <w:spacing w:after="0" w:line="274" w:lineRule="auto"/>
        <w:rPr>
          <w:sz w:val="20"/>
          <w:szCs w:val="20"/>
          <w:color w:val="auto"/>
        </w:rPr>
      </w:pPr>
      <w:r>
        <w:rPr>
          <w:rFonts w:ascii="Arial" w:cs="Arial" w:eastAsia="Arial" w:hAnsi="Arial"/>
          <w:sz w:val="18"/>
          <w:szCs w:val="18"/>
          <w:color w:val="auto"/>
        </w:rPr>
        <w:t xml:space="preserve">then any Lender who does not and continues not to consent to such waiver or amendment shall be deemed a </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and such event shall be a </w:t>
      </w:r>
      <w:r>
        <w:rPr>
          <w:rFonts w:ascii="Arial" w:cs="Arial" w:eastAsia="Arial" w:hAnsi="Arial"/>
          <w:sz w:val="18"/>
          <w:szCs w:val="18"/>
          <w:b w:val="1"/>
          <w:bCs w:val="1"/>
          <w:color w:val="auto"/>
        </w:rPr>
        <w:t>Non-Consenting Event</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4"/>
          <w:szCs w:val="14"/>
          <w:b w:val="1"/>
          <w:bCs w:val="1"/>
          <w:color w:val="auto"/>
        </w:rPr>
        <w:t>Restrictions</w:t>
      </w:r>
    </w:p>
    <w:p>
      <w:pPr>
        <w:spacing w:after="0" w:line="225" w:lineRule="exact"/>
        <w:rPr>
          <w:sz w:val="20"/>
          <w:szCs w:val="20"/>
          <w:color w:val="auto"/>
        </w:rPr>
      </w:pPr>
    </w:p>
    <w:p>
      <w:pPr>
        <w:ind w:left="1260" w:right="60" w:hanging="559"/>
        <w:spacing w:after="0" w:line="257" w:lineRule="auto"/>
        <w:tabs>
          <w:tab w:leader="none" w:pos="126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87" w:lineRule="exact"/>
        <w:rPr>
          <w:rFonts w:ascii="Arial" w:cs="Arial" w:eastAsia="Arial" w:hAnsi="Arial"/>
          <w:sz w:val="18"/>
          <w:szCs w:val="18"/>
          <w:color w:val="auto"/>
        </w:rPr>
      </w:pPr>
    </w:p>
    <w:p>
      <w:pPr>
        <w:ind w:left="1260" w:right="300" w:hanging="559"/>
        <w:spacing w:after="0" w:line="267" w:lineRule="auto"/>
        <w:tabs>
          <w:tab w:leader="none" w:pos="127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99" w:name="page200"/>
    <w:bookmarkEnd w:id="199"/>
    <w:p>
      <w:pPr>
        <w:ind w:left="1260" w:right="200" w:hanging="559"/>
        <w:spacing w:after="0" w:line="267" w:lineRule="auto"/>
        <w:tabs>
          <w:tab w:leader="none" w:pos="127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repaid or prepaid may be reborrowed in accordance with the terms of this agreement.</w:t>
      </w:r>
    </w:p>
    <w:p>
      <w:pPr>
        <w:spacing w:after="0" w:line="178" w:lineRule="exact"/>
        <w:rPr>
          <w:rFonts w:ascii="Arial" w:cs="Arial" w:eastAsia="Arial" w:hAnsi="Arial"/>
          <w:sz w:val="18"/>
          <w:szCs w:val="18"/>
          <w:color w:val="auto"/>
        </w:rPr>
      </w:pPr>
    </w:p>
    <w:p>
      <w:pPr>
        <w:ind w:left="1260" w:hanging="559"/>
        <w:spacing w:after="0" w:line="267" w:lineRule="auto"/>
        <w:tabs>
          <w:tab w:leader="none" w:pos="127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Commitments except at the times and in the manner expressly provided for in this agreement.</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19" w:lineRule="exact"/>
        <w:rPr>
          <w:rFonts w:ascii="Arial" w:cs="Arial" w:eastAsia="Arial" w:hAnsi="Arial"/>
          <w:sz w:val="18"/>
          <w:szCs w:val="18"/>
          <w:color w:val="auto"/>
        </w:rPr>
      </w:pPr>
    </w:p>
    <w:p>
      <w:pPr>
        <w:ind w:left="1260" w:right="40" w:hanging="559"/>
        <w:spacing w:after="0" w:line="267" w:lineRule="auto"/>
        <w:tabs>
          <w:tab w:leader="none" w:pos="127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affected Lender, as appropriate.</w:t>
      </w:r>
    </w:p>
    <w:p>
      <w:pPr>
        <w:spacing w:after="0" w:line="178" w:lineRule="exact"/>
        <w:rPr>
          <w:rFonts w:ascii="Arial" w:cs="Arial" w:eastAsia="Arial" w:hAnsi="Arial"/>
          <w:sz w:val="18"/>
          <w:szCs w:val="18"/>
          <w:color w:val="auto"/>
        </w:rPr>
      </w:pPr>
    </w:p>
    <w:p>
      <w:pPr>
        <w:ind w:left="1260" w:right="100" w:hanging="559"/>
        <w:spacing w:after="0" w:line="257" w:lineRule="auto"/>
        <w:tabs>
          <w:tab w:leader="none" w:pos="128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all or part of any Lender’s participation in a Loan is repaid or prepaid and is not available for redrawing (other than by operation of Clause 4.2 (Further conditions precedent)), an amount of that Lender’s Commitment (equal to the amount of the participation which is repaid or prepaid) will be deemed to be cancelled on the date of repayment or prepayment.</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4"/>
          <w:szCs w:val="14"/>
          <w:b w:val="1"/>
          <w:bCs w:val="1"/>
          <w:color w:val="auto"/>
        </w:rPr>
        <w:t>Application of prepayments</w:t>
      </w:r>
    </w:p>
    <w:p>
      <w:pPr>
        <w:spacing w:after="0" w:line="225" w:lineRule="exact"/>
        <w:rPr>
          <w:sz w:val="20"/>
          <w:szCs w:val="20"/>
          <w:color w:val="auto"/>
        </w:rPr>
      </w:pPr>
    </w:p>
    <w:p>
      <w:pPr>
        <w:ind w:left="700" w:right="320"/>
        <w:spacing w:after="0" w:line="267" w:lineRule="auto"/>
        <w:rPr>
          <w:sz w:val="20"/>
          <w:szCs w:val="20"/>
          <w:color w:val="auto"/>
        </w:rPr>
      </w:pPr>
      <w:r>
        <w:rPr>
          <w:rFonts w:ascii="Arial" w:cs="Arial" w:eastAsia="Arial" w:hAnsi="Arial"/>
          <w:sz w:val="18"/>
          <w:szCs w:val="18"/>
          <w:color w:val="auto"/>
        </w:rPr>
        <w:t>Any prepayment of a Loan pursuant to Clause 7.2 (Change of Control) or Clause 7.4 (Voluntary prepayment of Loans) shall be applied pro rata to each Lender’s participation in that Loan.</w:t>
      </w:r>
    </w:p>
    <w:p>
      <w:pPr>
        <w:spacing w:after="0" w:line="173" w:lineRule="exact"/>
        <w:rPr>
          <w:sz w:val="20"/>
          <w:szCs w:val="20"/>
          <w:color w:val="auto"/>
        </w:rPr>
      </w:pPr>
    </w:p>
    <w:p>
      <w:pPr>
        <w:ind w:left="700" w:hanging="693"/>
        <w:spacing w:after="0"/>
        <w:tabs>
          <w:tab w:leader="none" w:pos="70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4"/>
          <w:szCs w:val="14"/>
          <w:b w:val="1"/>
          <w:bCs w:val="1"/>
          <w:color w:val="auto"/>
        </w:rPr>
        <w:t>Calculation of interest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219" w:lineRule="exact"/>
        <w:rPr>
          <w:sz w:val="20"/>
          <w:szCs w:val="20"/>
          <w:color w:val="auto"/>
        </w:rPr>
      </w:pPr>
    </w:p>
    <w:p>
      <w:pPr>
        <w:ind w:left="1260" w:hanging="559"/>
        <w:spacing w:after="0"/>
        <w:tabs>
          <w:tab w:leader="none" w:pos="1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LIBOR.</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4"/>
          <w:szCs w:val="14"/>
          <w:b w:val="1"/>
          <w:bCs w:val="1"/>
          <w:color w:val="auto"/>
        </w:rPr>
        <w:t>Payment of interest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pay accrued interest on that Loan on the last day of each Interest Period.</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4"/>
          <w:szCs w:val="14"/>
          <w:b w:val="1"/>
          <w:bCs w:val="1"/>
          <w:color w:val="auto"/>
        </w:rPr>
        <w:t>Default interest</w:t>
      </w:r>
    </w:p>
    <w:p>
      <w:pPr>
        <w:spacing w:after="0" w:line="225" w:lineRule="exact"/>
        <w:rPr>
          <w:sz w:val="20"/>
          <w:szCs w:val="20"/>
          <w:color w:val="auto"/>
        </w:rPr>
      </w:pPr>
    </w:p>
    <w:p>
      <w:pPr>
        <w:ind w:left="1260" w:right="60" w:hanging="559"/>
        <w:spacing w:after="0" w:line="291" w:lineRule="auto"/>
        <w:tabs>
          <w:tab w:leader="none" w:pos="126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the Borrower fails to pay any amount payable by it under a Finance Document on its due date, interest shall accrue on such Unpaid Sum from the due date to the date of actual payment (both before and after judgment) at a rate which is, subject to paragraph (b) below, one (1) per cent. per annum higher than the rate which would have been payable if the Unpaid Sum had, during the period of non-payment, constituted a Loan in the currency of the Unpaid Sum for successive Interest Periods, each of a duration selected by the Agent (acting reasonably). Any interest accruing under this Clause 8.3 shall be immediately payable by the Borrower on demand by the Agent.</w:t>
      </w:r>
    </w:p>
    <w:p>
      <w:pPr>
        <w:spacing w:after="0" w:line="163" w:lineRule="exact"/>
        <w:rPr>
          <w:rFonts w:ascii="Arial" w:cs="Arial" w:eastAsia="Arial" w:hAnsi="Arial"/>
          <w:sz w:val="16"/>
          <w:szCs w:val="16"/>
          <w:color w:val="auto"/>
        </w:rPr>
      </w:pPr>
    </w:p>
    <w:p>
      <w:pPr>
        <w:ind w:left="1260" w:hanging="559"/>
        <w:spacing w:after="0" w:line="267" w:lineRule="auto"/>
        <w:tabs>
          <w:tab w:leader="none" w:pos="127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any Unpaid Sum consists of all or part of a Loan which became due on a day which was not the last day of an Interest Period relating to that Loan: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00" w:name="page201"/>
    <w:bookmarkEnd w:id="200"/>
    <w:p>
      <w:pPr>
        <w:ind w:left="1800" w:right="80" w:hanging="545"/>
        <w:spacing w:after="0" w:line="267" w:lineRule="auto"/>
        <w:tabs>
          <w:tab w:leader="none" w:pos="182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that Loan; and</w:t>
      </w:r>
    </w:p>
    <w:p>
      <w:pPr>
        <w:spacing w:after="0" w:line="178" w:lineRule="exact"/>
        <w:rPr>
          <w:rFonts w:ascii="Arial" w:cs="Arial" w:eastAsia="Arial" w:hAnsi="Arial"/>
          <w:sz w:val="18"/>
          <w:szCs w:val="18"/>
          <w:color w:val="auto"/>
        </w:rPr>
      </w:pPr>
    </w:p>
    <w:p>
      <w:pPr>
        <w:ind w:left="1800" w:right="300" w:hanging="545"/>
        <w:spacing w:after="0" w:line="267" w:lineRule="auto"/>
        <w:tabs>
          <w:tab w:leader="none" w:pos="18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one (1) per cent. per annum higher than the rate which would have applied if the Unpaid Sum had not become due.</w:t>
      </w:r>
    </w:p>
    <w:p>
      <w:pPr>
        <w:spacing w:after="0" w:line="179" w:lineRule="exact"/>
        <w:rPr>
          <w:sz w:val="20"/>
          <w:szCs w:val="20"/>
          <w:color w:val="auto"/>
        </w:rPr>
      </w:pPr>
    </w:p>
    <w:p>
      <w:pPr>
        <w:ind w:left="1260" w:right="140" w:hanging="559"/>
        <w:spacing w:after="0" w:line="267" w:lineRule="auto"/>
        <w:tabs>
          <w:tab w:leader="none" w:pos="127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Default interest (if unpaid) arising on an Unpaid Sum will be compounded with the Unpaid Sum at the end of each Interest Period applicable to that Unpaid Sum but will remain immediately due and payable.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4"/>
          <w:szCs w:val="14"/>
          <w:b w:val="1"/>
          <w:bCs w:val="1"/>
          <w:color w:val="auto"/>
        </w:rPr>
        <w:t>Notification of rates of interest</w:t>
      </w:r>
    </w:p>
    <w:p>
      <w:pPr>
        <w:spacing w:after="0" w:line="225" w:lineRule="exact"/>
        <w:rPr>
          <w:sz w:val="20"/>
          <w:szCs w:val="20"/>
          <w:color w:val="auto"/>
        </w:rPr>
      </w:pPr>
    </w:p>
    <w:p>
      <w:pPr>
        <w:ind w:left="1260" w:hanging="559"/>
        <w:spacing w:after="0"/>
        <w:tabs>
          <w:tab w:leader="none" w:pos="126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Agent shall promptly notify the relevant Lenders and the Borrower of the determination of a rate of interest under this agreement.</w:t>
      </w:r>
    </w:p>
    <w:p>
      <w:pPr>
        <w:spacing w:after="0" w:line="230" w:lineRule="exact"/>
        <w:rPr>
          <w:rFonts w:ascii="Arial" w:cs="Arial" w:eastAsia="Arial" w:hAnsi="Arial"/>
          <w:sz w:val="17"/>
          <w:szCs w:val="17"/>
          <w:color w:val="auto"/>
        </w:rPr>
      </w:pPr>
    </w:p>
    <w:p>
      <w:pPr>
        <w:ind w:left="1260" w:hanging="559"/>
        <w:spacing w:after="0"/>
        <w:tabs>
          <w:tab w:leader="none" w:pos="12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Agent shall promptly notify the Borrower of each Funding Rate relating to a Loan.</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4"/>
          <w:szCs w:val="14"/>
          <w:b w:val="1"/>
          <w:bCs w:val="1"/>
          <w:color w:val="auto"/>
        </w:rPr>
        <w:t>Selection of Interest Periods</w:t>
      </w:r>
    </w:p>
    <w:p>
      <w:pPr>
        <w:spacing w:after="0" w:line="225" w:lineRule="exact"/>
        <w:rPr>
          <w:sz w:val="20"/>
          <w:szCs w:val="20"/>
          <w:color w:val="auto"/>
        </w:rPr>
      </w:pPr>
    </w:p>
    <w:p>
      <w:pPr>
        <w:ind w:left="1260" w:hanging="559"/>
        <w:spacing w:after="0"/>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 may select an Interest Period for a Loan in the Utilisation Request for that Loan.</w:t>
      </w:r>
    </w:p>
    <w:p>
      <w:pPr>
        <w:spacing w:after="0" w:line="219" w:lineRule="exact"/>
        <w:rPr>
          <w:rFonts w:ascii="Arial" w:cs="Arial" w:eastAsia="Arial" w:hAnsi="Arial"/>
          <w:sz w:val="18"/>
          <w:szCs w:val="18"/>
          <w:color w:val="auto"/>
        </w:rPr>
      </w:pPr>
    </w:p>
    <w:p>
      <w:pPr>
        <w:ind w:left="1260" w:right="220" w:hanging="559"/>
        <w:spacing w:after="0" w:line="267" w:lineRule="auto"/>
        <w:tabs>
          <w:tab w:leader="none" w:pos="127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this Clause 9, the Borrower may select an Interest Period of one, two, three or six Months or any other period agreed between the Borrower, the Agent and all the Lenders in relation to the relevant Loan.</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Final Repayment Date.</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Loan has one Interest Period only which shall start on the Utilisation Date of that Loan.</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4"/>
          <w:szCs w:val="14"/>
          <w:b w:val="1"/>
          <w:bCs w:val="1"/>
          <w:color w:val="auto"/>
        </w:rPr>
        <w:t>Non-Business Days</w:t>
      </w:r>
    </w:p>
    <w:p>
      <w:pPr>
        <w:spacing w:after="0" w:line="225" w:lineRule="exact"/>
        <w:rPr>
          <w:sz w:val="20"/>
          <w:szCs w:val="20"/>
          <w:color w:val="auto"/>
        </w:rPr>
      </w:pPr>
    </w:p>
    <w:p>
      <w:pPr>
        <w:ind w:left="700" w:right="140"/>
        <w:spacing w:after="0" w:line="26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73" w:lineRule="exact"/>
        <w:rPr>
          <w:sz w:val="20"/>
          <w:szCs w:val="20"/>
          <w:color w:val="auto"/>
        </w:rPr>
      </w:pPr>
    </w:p>
    <w:p>
      <w:pPr>
        <w:ind w:left="700" w:hanging="693"/>
        <w:spacing w:after="0"/>
        <w:tabs>
          <w:tab w:leader="none" w:pos="70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CHANGES TO THE CALCULATION OF INTEREST</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Unavailability of Screen Rate</w:t>
      </w:r>
    </w:p>
    <w:p>
      <w:pPr>
        <w:spacing w:after="0" w:line="219" w:lineRule="exact"/>
        <w:rPr>
          <w:sz w:val="20"/>
          <w:szCs w:val="20"/>
          <w:color w:val="auto"/>
        </w:rPr>
      </w:pPr>
    </w:p>
    <w:p>
      <w:pPr>
        <w:ind w:left="1260" w:right="380" w:hanging="559"/>
        <w:spacing w:after="0" w:line="274" w:lineRule="auto"/>
        <w:tabs>
          <w:tab w:leader="none" w:pos="1263"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Interpolated Screen Rate</w:t>
      </w:r>
      <w:r>
        <w:rPr>
          <w:rFonts w:ascii="Arial" w:cs="Arial" w:eastAsia="Arial" w:hAnsi="Arial"/>
          <w:sz w:val="18"/>
          <w:szCs w:val="18"/>
          <w:color w:val="auto"/>
        </w:rPr>
        <w:t>: If no Screen Rate is available for LIBOR for the Interest Period of a Loan, the applicable LIBOR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Interpolated Screen Rate for a period equal in length to the Interest Period of that Loan.</w:t>
      </w:r>
    </w:p>
    <w:p>
      <w:pPr>
        <w:spacing w:after="0" w:line="166" w:lineRule="exact"/>
        <w:rPr>
          <w:rFonts w:ascii="Arial" w:cs="Arial" w:eastAsia="Arial" w:hAnsi="Arial"/>
          <w:sz w:val="18"/>
          <w:szCs w:val="18"/>
          <w:color w:val="auto"/>
        </w:rPr>
      </w:pPr>
    </w:p>
    <w:p>
      <w:pPr>
        <w:ind w:left="1260" w:hanging="559"/>
        <w:spacing w:after="0" w:line="260" w:lineRule="auto"/>
        <w:tabs>
          <w:tab w:leader="none" w:pos="1273"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Reference Bank Rate</w:t>
      </w:r>
      <w:r>
        <w:rPr>
          <w:rFonts w:ascii="Arial" w:cs="Arial" w:eastAsia="Arial" w:hAnsi="Arial"/>
          <w:sz w:val="18"/>
          <w:szCs w:val="18"/>
          <w:color w:val="auto"/>
        </w:rPr>
        <w:t>: If no Screen Rate is available for LIBOR for the Interest Period of a Loan and it is not possible to calculate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Interpolated Screen Rate, the applicable LIBOR shall be the Reference Bank Rate as of the Specified Time for that Loan and for a period equal in length to the Interest Period of that Loan.</w:t>
      </w:r>
    </w:p>
    <w:p>
      <w:pPr>
        <w:spacing w:after="0" w:line="179" w:lineRule="exact"/>
        <w:rPr>
          <w:rFonts w:ascii="Arial" w:cs="Arial" w:eastAsia="Arial" w:hAnsi="Arial"/>
          <w:sz w:val="18"/>
          <w:szCs w:val="18"/>
          <w:color w:val="auto"/>
        </w:rPr>
      </w:pPr>
    </w:p>
    <w:p>
      <w:pPr>
        <w:ind w:left="1260" w:right="540" w:hanging="559"/>
        <w:spacing w:after="0" w:line="274" w:lineRule="auto"/>
        <w:tabs>
          <w:tab w:leader="none" w:pos="1276"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Cost of funds</w:t>
      </w:r>
      <w:r>
        <w:rPr>
          <w:rFonts w:ascii="Arial" w:cs="Arial" w:eastAsia="Arial" w:hAnsi="Arial"/>
          <w:sz w:val="18"/>
          <w:szCs w:val="18"/>
          <w:color w:val="auto"/>
        </w:rPr>
        <w:t>: If paragraph (b) above applies but no Reference Bank Rate is available for the relevant Interest Period there shall be no</w:t>
      </w:r>
      <w:r>
        <w:rPr>
          <w:rFonts w:ascii="Arial" w:cs="Arial" w:eastAsia="Arial" w:hAnsi="Arial"/>
          <w:sz w:val="18"/>
          <w:szCs w:val="18"/>
          <w:b w:val="1"/>
          <w:bCs w:val="1"/>
          <w:color w:val="auto"/>
        </w:rPr>
        <w:t xml:space="preserve"> </w:t>
      </w:r>
      <w:r>
        <w:rPr>
          <w:rFonts w:ascii="Arial" w:cs="Arial" w:eastAsia="Arial" w:hAnsi="Arial"/>
          <w:sz w:val="18"/>
          <w:szCs w:val="18"/>
          <w:color w:val="auto"/>
        </w:rPr>
        <w:t>LIBOR for that Loan and Clause 10.4 (Cost of funds) shall apply to that Loan for that Interest Period.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1" w:name="page202"/>
    <w:bookmarkEnd w:id="201"/>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4"/>
          <w:szCs w:val="14"/>
          <w:b w:val="1"/>
          <w:bCs w:val="1"/>
          <w:color w:val="auto"/>
        </w:rPr>
        <w:t>Calculation of Reference Bank Rate</w:t>
      </w:r>
    </w:p>
    <w:p>
      <w:pPr>
        <w:spacing w:after="0" w:line="225" w:lineRule="exact"/>
        <w:rPr>
          <w:sz w:val="20"/>
          <w:szCs w:val="20"/>
          <w:color w:val="auto"/>
        </w:rPr>
      </w:pPr>
    </w:p>
    <w:p>
      <w:pPr>
        <w:ind w:left="1260" w:right="40" w:hanging="559"/>
        <w:spacing w:after="0" w:line="411" w:lineRule="auto"/>
        <w:tabs>
          <w:tab w:leader="none" w:pos="1263" w:val="left"/>
        </w:tabs>
        <w:numPr>
          <w:ilvl w:val="0"/>
          <w:numId w:val="218"/>
        </w:numPr>
        <w:rPr>
          <w:rFonts w:ascii="Arial" w:cs="Arial" w:eastAsia="Arial" w:hAnsi="Arial"/>
          <w:sz w:val="14"/>
          <w:szCs w:val="14"/>
          <w:color w:val="auto"/>
        </w:rPr>
      </w:pPr>
      <w:r>
        <w:rPr>
          <w:rFonts w:ascii="Arial" w:cs="Arial" w:eastAsia="Arial" w:hAnsi="Arial"/>
          <w:sz w:val="14"/>
          <w:szCs w:val="14"/>
          <w:color w:val="auto"/>
        </w:rPr>
        <w:t>Subject to paragraph (b) below, if LIBOR is to be determined on the basis of a Reference Bank Rate but a Reference Bank does not supply a quotation by the Specified Time, the Reference Bank Rate shall be calculated on the basis of the quotations of the remaining Reference Banks.</w:t>
      </w:r>
    </w:p>
    <w:p>
      <w:pPr>
        <w:spacing w:after="0" w:line="87" w:lineRule="exact"/>
        <w:rPr>
          <w:rFonts w:ascii="Arial" w:cs="Arial" w:eastAsia="Arial" w:hAnsi="Arial"/>
          <w:sz w:val="14"/>
          <w:szCs w:val="14"/>
          <w:color w:val="auto"/>
        </w:rPr>
      </w:pPr>
    </w:p>
    <w:p>
      <w:pPr>
        <w:ind w:left="1260" w:right="480" w:hanging="559"/>
        <w:spacing w:after="0" w:line="267" w:lineRule="auto"/>
        <w:tabs>
          <w:tab w:leader="none" w:pos="127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at or about noon (London time) on the Quotation Day, none or only one of the Reference Banks supplies a quotation, there shall be no Reference Bank Rate for the relevant Interest Period.</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Market disruption</w:t>
      </w:r>
    </w:p>
    <w:p>
      <w:pPr>
        <w:spacing w:after="0" w:line="225" w:lineRule="exact"/>
        <w:rPr>
          <w:sz w:val="20"/>
          <w:szCs w:val="20"/>
          <w:color w:val="auto"/>
        </w:rPr>
      </w:pPr>
    </w:p>
    <w:p>
      <w:pPr>
        <w:ind w:left="700" w:right="40"/>
        <w:spacing w:after="0" w:line="253" w:lineRule="auto"/>
        <w:rPr>
          <w:sz w:val="20"/>
          <w:szCs w:val="20"/>
          <w:color w:val="auto"/>
        </w:rPr>
      </w:pPr>
      <w:r>
        <w:rPr>
          <w:rFonts w:ascii="Arial" w:cs="Arial" w:eastAsia="Arial" w:hAnsi="Arial"/>
          <w:sz w:val="18"/>
          <w:szCs w:val="18"/>
          <w:color w:val="auto"/>
        </w:rPr>
        <w:t>If before 5 pm in Hong Kong on the Business Day immediately following the Quotation Day for the relevant Interest Period, the Agent receives notifications from a Lender or Lenders (whose participations in a Loan exceed 35 per cent. of that Loan) that the cost to it of funding its participation in that Loan from whatever source it may reasonably select would be in excess of LIBOR then Clause 10.4 (Cost of funds) shall apply to that Loan for the relevant Interest Period.</w:t>
      </w:r>
    </w:p>
    <w:p>
      <w:pPr>
        <w:spacing w:after="0" w:line="18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4"/>
          <w:szCs w:val="14"/>
          <w:b w:val="1"/>
          <w:bCs w:val="1"/>
          <w:color w:val="auto"/>
        </w:rPr>
        <w:t>Cost of funds</w:t>
      </w:r>
    </w:p>
    <w:p>
      <w:pPr>
        <w:spacing w:after="0" w:line="225" w:lineRule="exact"/>
        <w:rPr>
          <w:sz w:val="20"/>
          <w:szCs w:val="20"/>
          <w:color w:val="auto"/>
        </w:rPr>
      </w:pPr>
    </w:p>
    <w:p>
      <w:pPr>
        <w:ind w:left="1260" w:right="720" w:hanging="559"/>
        <w:spacing w:after="0" w:line="267" w:lineRule="auto"/>
        <w:tabs>
          <w:tab w:leader="none" w:pos="126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this Clause 10.4 applies, the rate of interest on each Lender’s share of the relevant Loan for the relevant Interest Period shall be the percentage rate per annum which is the sum of:</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19" w:lineRule="exact"/>
        <w:rPr>
          <w:rFonts w:ascii="Arial" w:cs="Arial" w:eastAsia="Arial" w:hAnsi="Arial"/>
          <w:sz w:val="18"/>
          <w:szCs w:val="18"/>
          <w:color w:val="auto"/>
        </w:rPr>
      </w:pPr>
    </w:p>
    <w:p>
      <w:pPr>
        <w:ind w:left="1800" w:right="40" w:hanging="545"/>
        <w:spacing w:after="0" w:line="257" w:lineRule="auto"/>
        <w:tabs>
          <w:tab w:leader="none" w:pos="183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within five Business Days before interest is due to be paid in respect of that Interest Period, to be that which expresses as a percentage rate per annum the cost to the relevant Lender of funding its participation in that Loan from whatever source it may reasonably select.</w:t>
      </w:r>
    </w:p>
    <w:p>
      <w:pPr>
        <w:spacing w:after="0" w:line="187" w:lineRule="exact"/>
        <w:rPr>
          <w:rFonts w:ascii="Arial" w:cs="Arial" w:eastAsia="Arial" w:hAnsi="Arial"/>
          <w:sz w:val="18"/>
          <w:szCs w:val="18"/>
          <w:color w:val="auto"/>
        </w:rPr>
      </w:pPr>
    </w:p>
    <w:p>
      <w:pPr>
        <w:ind w:left="1260" w:right="60" w:hanging="559"/>
        <w:spacing w:after="0" w:line="267" w:lineRule="auto"/>
        <w:tabs>
          <w:tab w:leader="none" w:pos="127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this Clause 10.4 applies and the Agent or the Borrower so requires, the Agent and the Borrower shall enter into negotiations (for a period of not more than 30 days) with a view to agreeing a substitute basis for determining the rate of interest.</w:t>
      </w:r>
    </w:p>
    <w:p>
      <w:pPr>
        <w:spacing w:after="0" w:line="178" w:lineRule="exact"/>
        <w:rPr>
          <w:rFonts w:ascii="Arial" w:cs="Arial" w:eastAsia="Arial" w:hAnsi="Arial"/>
          <w:sz w:val="18"/>
          <w:szCs w:val="18"/>
          <w:color w:val="auto"/>
        </w:rPr>
      </w:pPr>
    </w:p>
    <w:p>
      <w:pPr>
        <w:ind w:left="1260" w:right="160" w:hanging="559"/>
        <w:spacing w:after="0" w:line="267" w:lineRule="auto"/>
        <w:tabs>
          <w:tab w:leader="none" w:pos="127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Borrower, be binding on all Parties.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4"/>
          <w:szCs w:val="14"/>
          <w:b w:val="1"/>
          <w:bCs w:val="1"/>
          <w:color w:val="auto"/>
        </w:rPr>
        <w:t>Break Costs</w:t>
      </w:r>
    </w:p>
    <w:p>
      <w:pPr>
        <w:spacing w:after="0" w:line="225" w:lineRule="exact"/>
        <w:rPr>
          <w:sz w:val="20"/>
          <w:szCs w:val="20"/>
          <w:color w:val="auto"/>
        </w:rPr>
      </w:pPr>
    </w:p>
    <w:p>
      <w:pPr>
        <w:ind w:left="1260" w:hanging="559"/>
        <w:spacing w:after="0" w:line="330" w:lineRule="auto"/>
        <w:tabs>
          <w:tab w:leader="none" w:pos="1263"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Borrower shall, within ten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33" w:lineRule="exact"/>
        <w:rPr>
          <w:rFonts w:ascii="Arial" w:cs="Arial" w:eastAsia="Arial" w:hAnsi="Arial"/>
          <w:sz w:val="16"/>
          <w:szCs w:val="16"/>
          <w:color w:val="auto"/>
        </w:rPr>
      </w:pPr>
    </w:p>
    <w:p>
      <w:pPr>
        <w:ind w:left="1260" w:right="520" w:hanging="559"/>
        <w:spacing w:after="0" w:line="267" w:lineRule="auto"/>
        <w:tabs>
          <w:tab w:leader="none" w:pos="1273"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or the Borrower, provide a certificate to the Borrower confirming the amount of its Break Costs for any Interest Period in which they accrue.</w:t>
      </w:r>
    </w:p>
    <w:p>
      <w:pPr>
        <w:spacing w:after="0" w:line="172" w:lineRule="exact"/>
        <w:rPr>
          <w:rFonts w:ascii="Arial" w:cs="Arial" w:eastAsia="Arial" w:hAnsi="Arial"/>
          <w:sz w:val="18"/>
          <w:szCs w:val="18"/>
          <w:color w:val="auto"/>
        </w:rPr>
      </w:pPr>
    </w:p>
    <w:p>
      <w:pPr>
        <w:ind w:left="680" w:hanging="673"/>
        <w:spacing w:after="0"/>
        <w:tabs>
          <w:tab w:leader="none" w:pos="68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FEES</w:t>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Commitment fee</w:t>
      </w:r>
    </w:p>
    <w:p>
      <w:pPr>
        <w:spacing w:after="0" w:line="225" w:lineRule="exact"/>
        <w:rPr>
          <w:sz w:val="20"/>
          <w:szCs w:val="20"/>
          <w:color w:val="auto"/>
        </w:rPr>
      </w:pPr>
    </w:p>
    <w:p>
      <w:pPr>
        <w:ind w:left="1260" w:right="80" w:hanging="559"/>
        <w:spacing w:after="0" w:line="267" w:lineRule="auto"/>
        <w:tabs>
          <w:tab w:leader="none" w:pos="126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Borrower shall pay to the Agent (for the account of each Lender) a commitment fee in US dollars computed and accruing on a daily basis at the rate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2" w:name="page203"/>
    <w:bookmarkEnd w:id="202"/>
    <w:p>
      <w:pPr>
        <w:jc w:val="both"/>
        <w:ind w:left="700" w:right="80"/>
        <w:spacing w:after="0" w:line="257" w:lineRule="auto"/>
        <w:rPr>
          <w:sz w:val="20"/>
          <w:szCs w:val="20"/>
          <w:color w:val="auto"/>
        </w:rPr>
      </w:pPr>
      <w:r>
        <w:rPr>
          <w:rFonts w:ascii="Arial" w:cs="Arial" w:eastAsia="Arial" w:hAnsi="Arial"/>
          <w:sz w:val="18"/>
          <w:szCs w:val="18"/>
          <w:color w:val="auto"/>
        </w:rPr>
        <w:t>0.20 per cent. per annum on the undrawn and uncancelled amount of each Lender's Commitment on each day for the period on and from 30 days after the date of this agreement to and including the last day of the Availability Period, as at close of business on that day (or, if any such day shall not be a Business Day, at such close of business on the immediately preceding Business Day).</w:t>
      </w:r>
    </w:p>
    <w:p>
      <w:pPr>
        <w:spacing w:after="0" w:line="188" w:lineRule="exact"/>
        <w:rPr>
          <w:sz w:val="20"/>
          <w:szCs w:val="20"/>
          <w:color w:val="auto"/>
        </w:rPr>
      </w:pPr>
    </w:p>
    <w:p>
      <w:pPr>
        <w:ind w:left="1260" w:hanging="559"/>
        <w:spacing w:after="0"/>
        <w:tabs>
          <w:tab w:leader="none" w:pos="1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accrued commitment fee is payable in arrears:</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on the last day of each successive period of three Months which ends during the relevant Availability Period;</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on the last day of the relevant Availability Period; and</w:t>
      </w:r>
    </w:p>
    <w:p>
      <w:pPr>
        <w:spacing w:after="0" w:line="219" w:lineRule="exact"/>
        <w:rPr>
          <w:rFonts w:ascii="Arial" w:cs="Arial" w:eastAsia="Arial" w:hAnsi="Arial"/>
          <w:sz w:val="18"/>
          <w:szCs w:val="18"/>
          <w:color w:val="auto"/>
        </w:rPr>
      </w:pPr>
    </w:p>
    <w:p>
      <w:pPr>
        <w:ind w:left="1800" w:right="680" w:hanging="545"/>
        <w:spacing w:after="0" w:line="267" w:lineRule="auto"/>
        <w:tabs>
          <w:tab w:leader="none" w:pos="184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a Lender’s Commitment is reduced to zero before the last day of the relevant Availability Period, on the day on which such reduction to zero becomes effective.</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Upfront fee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Borrower shall pay to the Agent (for the account of each MLAB) an upfront fee in the amount and at the times agreed in a Fee Letter.</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4"/>
          <w:szCs w:val="14"/>
          <w:b w:val="1"/>
          <w:bCs w:val="1"/>
          <w:color w:val="auto"/>
        </w:rPr>
        <w:t>Agency fee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pay to the Agent (for its own account) an agency fee in the amount and at the times agreed in a Fee Letter.</w:t>
      </w: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4"/>
          <w:szCs w:val="14"/>
          <w:b w:val="1"/>
          <w:bCs w:val="1"/>
          <w:color w:val="auto"/>
        </w:rPr>
        <w:t>Deduction of fees</w:t>
      </w:r>
    </w:p>
    <w:p>
      <w:pPr>
        <w:spacing w:after="0" w:line="225"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Payment of the fees in Clause 11.2 (Upfront fee) and/or the first instalment of any fee payable to the Agent under Clause 11.3 (Agency fee) may, at the election of the Agent, be made out of the proceeds of the first Loan and the Agent is hereby irrevocably authorised to deduct the amount of such fees and apply the same towards payment of such fees on behalf of the Borrower.</w:t>
      </w:r>
    </w:p>
    <w:p>
      <w:pPr>
        <w:spacing w:after="0" w:line="182" w:lineRule="exact"/>
        <w:rPr>
          <w:sz w:val="20"/>
          <w:szCs w:val="20"/>
          <w:color w:val="auto"/>
        </w:rPr>
      </w:pPr>
    </w:p>
    <w:p>
      <w:pPr>
        <w:ind w:left="700" w:hanging="693"/>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TAX GROSS-UP AND INDEMNITIES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4"/>
          <w:szCs w:val="14"/>
          <w:b w:val="1"/>
          <w:bCs w:val="1"/>
          <w:color w:val="auto"/>
        </w:rPr>
        <w:t>Tax definitions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Clause 12:</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19" w:lineRule="exact"/>
        <w:rPr>
          <w:sz w:val="20"/>
          <w:szCs w:val="20"/>
          <w:color w:val="auto"/>
        </w:rPr>
      </w:pPr>
    </w:p>
    <w:p>
      <w:pPr>
        <w:ind w:left="700" w:right="740"/>
        <w:spacing w:after="0" w:line="274"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 than a FATCA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w:t>
      </w:r>
    </w:p>
    <w:p>
      <w:pPr>
        <w:spacing w:after="0" w:line="167" w:lineRule="exact"/>
        <w:rPr>
          <w:sz w:val="20"/>
          <w:szCs w:val="20"/>
          <w:color w:val="auto"/>
        </w:rPr>
      </w:pPr>
    </w:p>
    <w:p>
      <w:pPr>
        <w:ind w:left="700" w:right="320"/>
        <w:spacing w:after="0" w:line="274"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an increased payment made by the Borrower to a Finance Party under Clause 12.2 (Tax gross-up) or a payment under Clause</w:t>
      </w:r>
      <w:r>
        <w:rPr>
          <w:rFonts w:ascii="Arial" w:cs="Arial" w:eastAsia="Arial" w:hAnsi="Arial"/>
          <w:sz w:val="18"/>
          <w:szCs w:val="18"/>
          <w:b w:val="1"/>
          <w:bCs w:val="1"/>
          <w:color w:val="auto"/>
        </w:rPr>
        <w:t xml:space="preserve"> </w:t>
      </w:r>
      <w:r>
        <w:rPr>
          <w:rFonts w:ascii="Arial" w:cs="Arial" w:eastAsia="Arial" w:hAnsi="Arial"/>
          <w:sz w:val="18"/>
          <w:szCs w:val="18"/>
          <w:color w:val="auto"/>
        </w:rPr>
        <w:t>12.3 (Tax indemnity).</w:t>
      </w:r>
    </w:p>
    <w:p>
      <w:pPr>
        <w:spacing w:after="0" w:line="167" w:lineRule="exact"/>
        <w:rPr>
          <w:sz w:val="20"/>
          <w:szCs w:val="20"/>
          <w:color w:val="auto"/>
        </w:rPr>
      </w:pPr>
    </w:p>
    <w:p>
      <w:pPr>
        <w:ind w:left="700" w:right="700"/>
        <w:spacing w:after="0" w:line="274" w:lineRule="auto"/>
        <w:rPr>
          <w:sz w:val="20"/>
          <w:szCs w:val="20"/>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w:t>
      </w:r>
    </w:p>
    <w:p>
      <w:pPr>
        <w:spacing w:after="0" w:line="16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4"/>
          <w:szCs w:val="14"/>
          <w:b w:val="1"/>
          <w:bCs w:val="1"/>
          <w:color w:val="auto"/>
        </w:rPr>
        <w:t>Tax gross-up</w:t>
      </w:r>
    </w:p>
    <w:p>
      <w:pPr>
        <w:spacing w:after="0" w:line="225" w:lineRule="exact"/>
        <w:rPr>
          <w:sz w:val="20"/>
          <w:szCs w:val="20"/>
          <w:color w:val="auto"/>
        </w:rPr>
      </w:pPr>
    </w:p>
    <w:p>
      <w:pPr>
        <w:jc w:val="both"/>
        <w:ind w:left="1260" w:right="100" w:hanging="559"/>
        <w:spacing w:after="0" w:line="285" w:lineRule="auto"/>
        <w:tabs>
          <w:tab w:leader="none" w:pos="126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All payments to be made by the Borrower to any Finance Party under the Finance Documents shall be made free and clear of and without any Tax Deduction unless the Borrower is required to make a Tax Deduction, in which case except in relation to a Tax described in paragraphs (a)</w:t>
      </w:r>
    </w:p>
    <w:p>
      <w:pPr>
        <w:ind w:left="1260"/>
        <w:spacing w:after="0"/>
        <w:rPr>
          <w:rFonts w:ascii="Arial" w:cs="Arial" w:eastAsia="Arial" w:hAnsi="Arial"/>
          <w:sz w:val="16"/>
          <w:szCs w:val="16"/>
          <w:color w:val="auto"/>
        </w:rPr>
      </w:pPr>
      <w:r>
        <w:rPr>
          <w:rFonts w:ascii="Arial" w:cs="Arial" w:eastAsia="Arial" w:hAnsi="Arial"/>
          <w:sz w:val="18"/>
          <w:szCs w:val="18"/>
          <w:color w:val="auto"/>
        </w:rPr>
        <w:t>(i) — (iv) inclusive of Clause 12.3 (Tax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3" w:name="page204"/>
    <w:bookmarkEnd w:id="203"/>
    <w:p>
      <w:pPr>
        <w:jc w:val="both"/>
        <w:ind w:left="1240"/>
        <w:spacing w:after="0" w:line="257" w:lineRule="auto"/>
        <w:rPr>
          <w:sz w:val="20"/>
          <w:szCs w:val="20"/>
          <w:color w:val="auto"/>
        </w:rPr>
      </w:pPr>
      <w:r>
        <w:rPr>
          <w:rFonts w:ascii="Arial" w:cs="Arial" w:eastAsia="Arial" w:hAnsi="Arial"/>
          <w:sz w:val="18"/>
          <w:szCs w:val="18"/>
          <w:color w:val="auto"/>
        </w:rPr>
        <w:t>Indemnity) the sum payable by the Borrower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188" w:lineRule="exact"/>
        <w:rPr>
          <w:sz w:val="20"/>
          <w:szCs w:val="20"/>
          <w:color w:val="auto"/>
        </w:rPr>
      </w:pPr>
    </w:p>
    <w:p>
      <w:pPr>
        <w:ind w:left="1260" w:right="20" w:hanging="559"/>
        <w:spacing w:after="0" w:line="279" w:lineRule="auto"/>
        <w:tabs>
          <w:tab w:leader="none" w:pos="127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Borrower shall promptly upon becoming aware that it must make a Tax Deduction (or that there is any change in the rate or the basis of a Tax Deduction) notify the Agent accordingly. Similarly, a Lender shall notify the Agent on becoming so aware in respect of a payment payable by the Borrower to that Lender. If the Agent receives such notification from a Lender it shall notify the Borrower.</w:t>
      </w:r>
    </w:p>
    <w:p>
      <w:pPr>
        <w:spacing w:after="0" w:line="170" w:lineRule="exact"/>
        <w:rPr>
          <w:rFonts w:ascii="Arial" w:cs="Arial" w:eastAsia="Arial" w:hAnsi="Arial"/>
          <w:sz w:val="17"/>
          <w:szCs w:val="17"/>
          <w:color w:val="auto"/>
        </w:rPr>
      </w:pPr>
    </w:p>
    <w:p>
      <w:pPr>
        <w:ind w:left="1260" w:right="220" w:hanging="559"/>
        <w:spacing w:after="0" w:line="267" w:lineRule="auto"/>
        <w:tabs>
          <w:tab w:leader="none" w:pos="127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the Borrower shall make that Tax Deduction and any payment required in connection with that Tax Deduction within the time allowed and in the minimum amount required by law.</w:t>
      </w:r>
    </w:p>
    <w:p>
      <w:pPr>
        <w:spacing w:after="0" w:line="178" w:lineRule="exact"/>
        <w:rPr>
          <w:rFonts w:ascii="Arial" w:cs="Arial" w:eastAsia="Arial" w:hAnsi="Arial"/>
          <w:sz w:val="18"/>
          <w:szCs w:val="18"/>
          <w:color w:val="auto"/>
        </w:rPr>
      </w:pPr>
    </w:p>
    <w:p>
      <w:pPr>
        <w:ind w:left="1260" w:right="80" w:hanging="559"/>
        <w:spacing w:after="0" w:line="279" w:lineRule="auto"/>
        <w:tabs>
          <w:tab w:leader="none" w:pos="127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Within 30 days of making either a Tax Deduction or any payment required in connection with that Tax Deduction, the Borrower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Tax indemnity</w:t>
      </w:r>
    </w:p>
    <w:p>
      <w:pPr>
        <w:spacing w:after="0" w:line="225" w:lineRule="exact"/>
        <w:rPr>
          <w:sz w:val="20"/>
          <w:szCs w:val="20"/>
          <w:color w:val="auto"/>
        </w:rPr>
      </w:pPr>
    </w:p>
    <w:p>
      <w:pPr>
        <w:ind w:left="1260" w:right="20" w:hanging="559"/>
        <w:spacing w:after="0" w:line="288" w:lineRule="auto"/>
        <w:tabs>
          <w:tab w:leader="none" w:pos="126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Without prejudice to Clause 12.2 (Tax gross-up), if any Finance Party is required to make any payment of or on account of Tax on or in relation to any sum received or receivable under the Finance Documents (including any sum deemed for the purposes of Tax to be received or receivable by such Finance Party whether or not actually received or receivable) or if any liability in respect of any such payment is asserted, imposed, levied or assessed against any Finance Party, the Borrower shall, within ten Business Days of demand of the Agent, promptly indemnify the Finance Party which suffers a loss or liability as a result against such payment or liability, together with any interest, penalties, costs and expenses payable or incurred in connection therewith, provided that this Clause 12.3 shall not apply to:</w:t>
      </w:r>
    </w:p>
    <w:p>
      <w:pPr>
        <w:spacing w:after="0" w:line="167" w:lineRule="exact"/>
        <w:rPr>
          <w:rFonts w:ascii="Arial" w:cs="Arial" w:eastAsia="Arial" w:hAnsi="Arial"/>
          <w:sz w:val="16"/>
          <w:szCs w:val="16"/>
          <w:color w:val="auto"/>
        </w:rPr>
      </w:pPr>
    </w:p>
    <w:p>
      <w:pPr>
        <w:jc w:val="both"/>
        <w:ind w:left="1800" w:right="100" w:hanging="545"/>
        <w:spacing w:after="0" w:line="279" w:lineRule="auto"/>
        <w:tabs>
          <w:tab w:leader="none" w:pos="1827"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Tax imposed on and calculated by reference to the net income actually received or receivable by such Finance Party (but, for the avoidance of doubt, not including any sum deemed for the purpose of Tax to be received or receivable by such Finance Party but not actually receivable) by the jurisdiction in which such Finance Party is incorporated;</w:t>
      </w:r>
    </w:p>
    <w:p>
      <w:pPr>
        <w:spacing w:after="0" w:line="170" w:lineRule="exact"/>
        <w:rPr>
          <w:rFonts w:ascii="Arial" w:cs="Arial" w:eastAsia="Arial" w:hAnsi="Arial"/>
          <w:sz w:val="17"/>
          <w:szCs w:val="17"/>
          <w:color w:val="auto"/>
        </w:rPr>
      </w:pPr>
    </w:p>
    <w:p>
      <w:pPr>
        <w:ind w:left="1800" w:right="260" w:hanging="545"/>
        <w:spacing w:after="0" w:line="304" w:lineRule="auto"/>
        <w:tabs>
          <w:tab w:leader="none" w:pos="183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any Tax imposed on and calculated by reference to the net income of the Facility Office of such Finance Party actually received or receivable by such Finance Party (but, for the avoidance of doubt, not including any sum deemed for the purposes of Tax to be received or receivable by such Finance Party but not actually receivable) by the jurisdiction in which its Facility Office is located;</w:t>
      </w:r>
    </w:p>
    <w:p>
      <w:pPr>
        <w:spacing w:after="0" w:line="153" w:lineRule="exact"/>
        <w:rPr>
          <w:rFonts w:ascii="Arial" w:cs="Arial" w:eastAsia="Arial" w:hAnsi="Arial"/>
          <w:sz w:val="16"/>
          <w:szCs w:val="16"/>
          <w:color w:val="auto"/>
        </w:rPr>
      </w:pPr>
    </w:p>
    <w:p>
      <w:pPr>
        <w:ind w:left="1860" w:hanging="605"/>
        <w:spacing w:after="0"/>
        <w:tabs>
          <w:tab w:leader="none" w:pos="18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FATCA Deduction required to be made by a Party; or</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Finance Party which has actually been compensated by an additional payment under Clause 12.2 (Tax gross-up).</w:t>
      </w:r>
    </w:p>
    <w:p>
      <w:pPr>
        <w:spacing w:after="0" w:line="219" w:lineRule="exact"/>
        <w:rPr>
          <w:rFonts w:ascii="Arial" w:cs="Arial" w:eastAsia="Arial" w:hAnsi="Arial"/>
          <w:sz w:val="18"/>
          <w:szCs w:val="18"/>
          <w:color w:val="auto"/>
        </w:rPr>
      </w:pPr>
    </w:p>
    <w:p>
      <w:pPr>
        <w:ind w:left="1260" w:right="100" w:hanging="559"/>
        <w:spacing w:after="0" w:line="267" w:lineRule="auto"/>
        <w:tabs>
          <w:tab w:leader="none" w:pos="127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Finance Party intending to make a claim under paragraph (a) above shall notify the Agent of the event giving rise to the claim, whereupon the Agent shall notify the Borrower thereof.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204" w:name="page205"/>
    <w:bookmarkEnd w:id="204"/>
    <w:p>
      <w:pPr>
        <w:ind w:right="2520" w:firstLine="701"/>
        <w:spacing w:after="0" w:line="494" w:lineRule="auto"/>
        <w:tabs>
          <w:tab w:leader="none" w:pos="12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A Finance Party shall, on receiving a payment from the Borrower under this Clause 12.3, notify the Agent. 12.4 </w:t>
      </w:r>
      <w:r>
        <w:rPr>
          <w:rFonts w:ascii="Arial" w:cs="Arial" w:eastAsia="Arial" w:hAnsi="Arial"/>
          <w:sz w:val="18"/>
          <w:szCs w:val="18"/>
          <w:b w:val="1"/>
          <w:bCs w:val="1"/>
          <w:color w:val="auto"/>
        </w:rPr>
        <w:t>Tax credit</w:t>
      </w:r>
    </w:p>
    <w:p>
      <w:pPr>
        <w:ind w:left="700"/>
        <w:spacing w:after="0"/>
        <w:rPr>
          <w:sz w:val="20"/>
          <w:szCs w:val="20"/>
          <w:color w:val="auto"/>
        </w:rPr>
      </w:pPr>
      <w:r>
        <w:rPr>
          <w:rFonts w:ascii="Arial" w:cs="Arial" w:eastAsia="Arial" w:hAnsi="Arial"/>
          <w:sz w:val="18"/>
          <w:szCs w:val="18"/>
          <w:color w:val="auto"/>
        </w:rPr>
        <w:t>If the Borrower makes a Tax Payment and the relevant Finance Party determines that:</w:t>
      </w:r>
    </w:p>
    <w:p>
      <w:pPr>
        <w:spacing w:after="0" w:line="219" w:lineRule="exact"/>
        <w:rPr>
          <w:sz w:val="20"/>
          <w:szCs w:val="20"/>
          <w:color w:val="auto"/>
        </w:rPr>
      </w:pPr>
    </w:p>
    <w:p>
      <w:pPr>
        <w:ind w:left="1260" w:right="460" w:hanging="559"/>
        <w:spacing w:after="0" w:line="267" w:lineRule="auto"/>
        <w:tabs>
          <w:tab w:leader="none" w:pos="126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19" w:lineRule="exact"/>
        <w:rPr>
          <w:sz w:val="20"/>
          <w:szCs w:val="20"/>
          <w:color w:val="auto"/>
        </w:rPr>
      </w:pPr>
    </w:p>
    <w:p>
      <w:pPr>
        <w:ind w:left="700" w:right="280"/>
        <w:spacing w:after="0" w:line="267" w:lineRule="auto"/>
        <w:rPr>
          <w:sz w:val="20"/>
          <w:szCs w:val="20"/>
          <w:color w:val="auto"/>
        </w:rPr>
      </w:pPr>
      <w:r>
        <w:rPr>
          <w:rFonts w:ascii="Arial" w:cs="Arial" w:eastAsia="Arial" w:hAnsi="Arial"/>
          <w:sz w:val="18"/>
          <w:szCs w:val="18"/>
          <w:color w:val="auto"/>
        </w:rPr>
        <w:t>the Finance Party shall pay an amount to the Borrower which that Finance Party determines will leave it (after that payment) in the same after-Tax position as it would have been in had the Tax Payment not been required to be made by the Borrower.</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4"/>
          <w:szCs w:val="14"/>
          <w:b w:val="1"/>
          <w:bCs w:val="1"/>
          <w:color w:val="auto"/>
        </w:rPr>
        <w:t>Stamp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w:t>
      </w:r>
    </w:p>
    <w:p>
      <w:pPr>
        <w:spacing w:after="0" w:line="219" w:lineRule="exact"/>
        <w:rPr>
          <w:sz w:val="20"/>
          <w:szCs w:val="20"/>
          <w:color w:val="auto"/>
        </w:rPr>
      </w:pPr>
    </w:p>
    <w:p>
      <w:pPr>
        <w:ind w:left="1260" w:hanging="559"/>
        <w:spacing w:after="0"/>
        <w:tabs>
          <w:tab w:leader="none" w:pos="1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pay all stamp duty, registration and other similar Taxes payable in respect of any Finance Document; and</w:t>
      </w:r>
    </w:p>
    <w:p>
      <w:pPr>
        <w:spacing w:after="0" w:line="219" w:lineRule="exact"/>
        <w:rPr>
          <w:rFonts w:ascii="Arial" w:cs="Arial" w:eastAsia="Arial" w:hAnsi="Arial"/>
          <w:sz w:val="18"/>
          <w:szCs w:val="18"/>
          <w:color w:val="auto"/>
        </w:rPr>
      </w:pPr>
    </w:p>
    <w:p>
      <w:pPr>
        <w:ind w:left="1260" w:right="200" w:hanging="559"/>
        <w:spacing w:after="0" w:line="267" w:lineRule="auto"/>
        <w:tabs>
          <w:tab w:leader="none" w:pos="127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within ten Business Days of demand, indemnify each Finance Party against any cost, loss or liability that Finance Party incurs in relation to any stamp duty, registration or other similar Tax paid or payable in respect of any Finance Document.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b w:val="1"/>
          <w:bCs w:val="1"/>
          <w:color w:val="auto"/>
        </w:rPr>
        <w:t>Indirect tax</w:t>
      </w:r>
    </w:p>
    <w:p>
      <w:pPr>
        <w:spacing w:after="0" w:line="225" w:lineRule="exact"/>
        <w:rPr>
          <w:sz w:val="20"/>
          <w:szCs w:val="20"/>
          <w:color w:val="auto"/>
        </w:rPr>
      </w:pPr>
    </w:p>
    <w:p>
      <w:pPr>
        <w:jc w:val="both"/>
        <w:ind w:left="1260" w:hanging="559"/>
        <w:spacing w:after="0" w:line="253" w:lineRule="auto"/>
        <w:tabs>
          <w:tab w:leader="none" w:pos="126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92" w:lineRule="exact"/>
        <w:rPr>
          <w:rFonts w:ascii="Arial" w:cs="Arial" w:eastAsia="Arial" w:hAnsi="Arial"/>
          <w:sz w:val="18"/>
          <w:szCs w:val="18"/>
          <w:color w:val="auto"/>
        </w:rPr>
      </w:pPr>
    </w:p>
    <w:p>
      <w:pPr>
        <w:ind w:left="1260" w:right="180" w:hanging="559"/>
        <w:spacing w:after="0" w:line="304" w:lineRule="auto"/>
        <w:tabs>
          <w:tab w:leader="none" w:pos="127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Where a Finance Document requires any Party to reimburse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color w:val="auto"/>
        </w:rPr>
        <w:t>FATCA information</w:t>
      </w:r>
    </w:p>
    <w:p>
      <w:pPr>
        <w:spacing w:after="0" w:line="225" w:lineRule="exact"/>
        <w:rPr>
          <w:sz w:val="20"/>
          <w:szCs w:val="20"/>
          <w:color w:val="auto"/>
        </w:rPr>
      </w:pPr>
    </w:p>
    <w:p>
      <w:pPr>
        <w:ind w:left="1260" w:hanging="559"/>
        <w:spacing w:after="0"/>
        <w:tabs>
          <w:tab w:leader="none" w:pos="1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10 Business Days of a reasonable request by another Party:</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19" w:lineRule="exact"/>
        <w:rPr>
          <w:rFonts w:ascii="Arial" w:cs="Arial" w:eastAsia="Arial" w:hAnsi="Arial"/>
          <w:sz w:val="18"/>
          <w:szCs w:val="18"/>
          <w:color w:val="auto"/>
        </w:rPr>
      </w:pPr>
    </w:p>
    <w:p>
      <w:pPr>
        <w:ind w:left="1800" w:right="380" w:hanging="545"/>
        <w:spacing w:after="0" w:line="267" w:lineRule="auto"/>
        <w:tabs>
          <w:tab w:leader="none" w:pos="183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05" w:name="page206"/>
    <w:bookmarkEnd w:id="205"/>
    <w:p>
      <w:pPr>
        <w:ind w:left="1099" w:hanging="545"/>
        <w:spacing w:after="0" w:line="296" w:lineRule="auto"/>
        <w:tabs>
          <w:tab w:leader="none" w:pos="1144" w:val="left"/>
        </w:tabs>
        <w:numPr>
          <w:ilvl w:val="1"/>
          <w:numId w:val="233"/>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57" w:lineRule="exact"/>
        <w:rPr>
          <w:rFonts w:ascii="Arial" w:cs="Arial" w:eastAsia="Arial" w:hAnsi="Arial"/>
          <w:sz w:val="17"/>
          <w:szCs w:val="17"/>
          <w:color w:val="auto"/>
        </w:rPr>
      </w:pPr>
    </w:p>
    <w:p>
      <w:pPr>
        <w:ind w:left="559" w:right="280" w:hanging="559"/>
        <w:spacing w:after="0" w:line="330" w:lineRule="auto"/>
        <w:tabs>
          <w:tab w:leader="none" w:pos="57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33" w:lineRule="exact"/>
        <w:rPr>
          <w:rFonts w:ascii="Arial" w:cs="Arial" w:eastAsia="Arial" w:hAnsi="Arial"/>
          <w:sz w:val="16"/>
          <w:szCs w:val="16"/>
          <w:color w:val="auto"/>
        </w:rPr>
      </w:pPr>
    </w:p>
    <w:p>
      <w:pPr>
        <w:ind w:left="559" w:right="440" w:hanging="559"/>
        <w:spacing w:after="0" w:line="267" w:lineRule="auto"/>
        <w:tabs>
          <w:tab w:leader="none" w:pos="57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78" w:lineRule="exact"/>
        <w:rPr>
          <w:rFonts w:ascii="Arial" w:cs="Arial" w:eastAsia="Arial" w:hAnsi="Arial"/>
          <w:sz w:val="18"/>
          <w:szCs w:val="18"/>
          <w:color w:val="auto"/>
        </w:rPr>
      </w:pPr>
    </w:p>
    <w:p>
      <w:pPr>
        <w:ind w:left="1139" w:hanging="585"/>
        <w:spacing w:after="0"/>
        <w:tabs>
          <w:tab w:leader="none" w:pos="113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19" w:lineRule="exact"/>
        <w:rPr>
          <w:sz w:val="20"/>
          <w:szCs w:val="20"/>
          <w:color w:val="auto"/>
        </w:rPr>
      </w:pPr>
    </w:p>
    <w:p>
      <w:pPr>
        <w:ind w:left="1139" w:hanging="585"/>
        <w:spacing w:after="0"/>
        <w:tabs>
          <w:tab w:leader="none" w:pos="113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19" w:lineRule="exact"/>
        <w:rPr>
          <w:rFonts w:ascii="Arial" w:cs="Arial" w:eastAsia="Arial" w:hAnsi="Arial"/>
          <w:sz w:val="18"/>
          <w:szCs w:val="18"/>
          <w:color w:val="auto"/>
        </w:rPr>
      </w:pPr>
    </w:p>
    <w:p>
      <w:pPr>
        <w:ind w:left="1159" w:hanging="605"/>
        <w:spacing w:after="0"/>
        <w:tabs>
          <w:tab w:leader="none" w:pos="115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19" w:lineRule="exact"/>
        <w:rPr>
          <w:rFonts w:ascii="Arial" w:cs="Arial" w:eastAsia="Arial" w:hAnsi="Arial"/>
          <w:sz w:val="18"/>
          <w:szCs w:val="18"/>
          <w:color w:val="auto"/>
        </w:rPr>
      </w:pPr>
    </w:p>
    <w:p>
      <w:pPr>
        <w:ind w:left="559" w:right="60" w:hanging="559"/>
        <w:spacing w:after="0" w:line="273" w:lineRule="auto"/>
        <w:tabs>
          <w:tab w:leader="none" w:pos="57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6" w:lineRule="exact"/>
        <w:rPr>
          <w:rFonts w:ascii="Arial" w:cs="Arial" w:eastAsia="Arial" w:hAnsi="Arial"/>
          <w:sz w:val="17"/>
          <w:szCs w:val="17"/>
          <w:color w:val="auto"/>
        </w:rPr>
      </w:pPr>
    </w:p>
    <w:p>
      <w:pPr>
        <w:ind w:left="559" w:right="640" w:hanging="559"/>
        <w:spacing w:after="0" w:line="267" w:lineRule="auto"/>
        <w:tabs>
          <w:tab w:leader="none" w:pos="57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the Borrower is a US Tax Obligor or the Agent reasonably believes that its obligations under FATCA or any other applicable law or regulation require it, each Lender shall, within 10 Business Days of:</w:t>
      </w:r>
    </w:p>
    <w:p>
      <w:pPr>
        <w:spacing w:after="0" w:line="178" w:lineRule="exact"/>
        <w:rPr>
          <w:rFonts w:ascii="Arial" w:cs="Arial" w:eastAsia="Arial" w:hAnsi="Arial"/>
          <w:sz w:val="18"/>
          <w:szCs w:val="18"/>
          <w:color w:val="auto"/>
        </w:rPr>
      </w:pPr>
    </w:p>
    <w:p>
      <w:pPr>
        <w:ind w:left="1139" w:hanging="585"/>
        <w:spacing w:after="0"/>
        <w:tabs>
          <w:tab w:leader="none" w:pos="113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an Original Lender, the date of this agreement;</w:t>
      </w:r>
    </w:p>
    <w:p>
      <w:pPr>
        <w:spacing w:after="0" w:line="219" w:lineRule="exact"/>
        <w:rPr>
          <w:rFonts w:ascii="Arial" w:cs="Arial" w:eastAsia="Arial" w:hAnsi="Arial"/>
          <w:sz w:val="18"/>
          <w:szCs w:val="18"/>
          <w:color w:val="auto"/>
        </w:rPr>
      </w:pPr>
    </w:p>
    <w:p>
      <w:pPr>
        <w:ind w:left="1139" w:hanging="585"/>
        <w:spacing w:after="0"/>
        <w:tabs>
          <w:tab w:leader="none" w:pos="113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where the Borrower is a US Tax Obligor on a Transfer Date and the relevant Lender is a New Lender, the relevant Transfer Date;</w:t>
      </w:r>
    </w:p>
    <w:p>
      <w:pPr>
        <w:spacing w:after="0" w:line="242" w:lineRule="exact"/>
        <w:rPr>
          <w:rFonts w:ascii="Arial" w:cs="Arial" w:eastAsia="Arial" w:hAnsi="Arial"/>
          <w:sz w:val="16"/>
          <w:szCs w:val="16"/>
          <w:color w:val="auto"/>
        </w:rPr>
      </w:pPr>
    </w:p>
    <w:p>
      <w:pPr>
        <w:ind w:left="1159" w:hanging="605"/>
        <w:spacing w:after="0"/>
        <w:tabs>
          <w:tab w:leader="none" w:pos="115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219" w:lineRule="exact"/>
        <w:rPr>
          <w:rFonts w:ascii="Arial" w:cs="Arial" w:eastAsia="Arial" w:hAnsi="Arial"/>
          <w:sz w:val="18"/>
          <w:szCs w:val="18"/>
          <w:color w:val="auto"/>
        </w:rPr>
      </w:pPr>
    </w:p>
    <w:p>
      <w:pPr>
        <w:ind w:left="1139" w:hanging="585"/>
        <w:spacing w:after="0"/>
        <w:tabs>
          <w:tab w:leader="none" w:pos="113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219" w:lineRule="exact"/>
        <w:rPr>
          <w:sz w:val="20"/>
          <w:szCs w:val="20"/>
          <w:color w:val="auto"/>
        </w:rPr>
      </w:pPr>
    </w:p>
    <w:p>
      <w:pPr>
        <w:ind w:left="559"/>
        <w:spacing w:after="0"/>
        <w:rPr>
          <w:sz w:val="20"/>
          <w:szCs w:val="20"/>
          <w:color w:val="auto"/>
        </w:rPr>
      </w:pPr>
      <w:r>
        <w:rPr>
          <w:rFonts w:ascii="Arial" w:cs="Arial" w:eastAsia="Arial" w:hAnsi="Arial"/>
          <w:sz w:val="18"/>
          <w:szCs w:val="18"/>
          <w:color w:val="auto"/>
        </w:rPr>
        <w:t>supply to the Agent:</w:t>
      </w:r>
    </w:p>
    <w:p>
      <w:pPr>
        <w:spacing w:after="0" w:line="219" w:lineRule="exact"/>
        <w:rPr>
          <w:sz w:val="20"/>
          <w:szCs w:val="20"/>
          <w:color w:val="auto"/>
        </w:rPr>
      </w:pPr>
    </w:p>
    <w:p>
      <w:pPr>
        <w:ind w:left="1679" w:hanging="571"/>
        <w:spacing w:after="0"/>
        <w:tabs>
          <w:tab w:leader="none" w:pos="16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 withholding certificate on Form W-8, Form W-9 or any other relevant form; or</w:t>
      </w:r>
    </w:p>
    <w:p>
      <w:pPr>
        <w:spacing w:after="0" w:line="219" w:lineRule="exact"/>
        <w:rPr>
          <w:rFonts w:ascii="Arial" w:cs="Arial" w:eastAsia="Arial" w:hAnsi="Arial"/>
          <w:sz w:val="18"/>
          <w:szCs w:val="18"/>
          <w:color w:val="auto"/>
        </w:rPr>
      </w:pPr>
    </w:p>
    <w:p>
      <w:pPr>
        <w:ind w:left="1659" w:right="440" w:hanging="551"/>
        <w:spacing w:after="0" w:line="267" w:lineRule="auto"/>
        <w:tabs>
          <w:tab w:leader="none" w:pos="167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withholding statement or other document, authorisation or waiver as the Agent may require to certify or establish the status of such Lender under FATCA or that other law or regulation.</w:t>
      </w:r>
    </w:p>
    <w:p>
      <w:pPr>
        <w:spacing w:after="0" w:line="178" w:lineRule="exact"/>
        <w:rPr>
          <w:rFonts w:ascii="Arial" w:cs="Arial" w:eastAsia="Arial" w:hAnsi="Arial"/>
          <w:sz w:val="18"/>
          <w:szCs w:val="18"/>
          <w:color w:val="auto"/>
        </w:rPr>
      </w:pPr>
    </w:p>
    <w:p>
      <w:pPr>
        <w:ind w:left="559" w:right="460" w:hanging="559"/>
        <w:spacing w:after="0" w:line="267" w:lineRule="auto"/>
        <w:tabs>
          <w:tab w:leader="none" w:pos="56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 authorisation or waiver it receives from a Lender pursuant to paragraph (e) above to the Borrower.</w:t>
      </w:r>
    </w:p>
    <w:p>
      <w:pPr>
        <w:spacing w:after="0" w:line="178" w:lineRule="exact"/>
        <w:rPr>
          <w:rFonts w:ascii="Arial" w:cs="Arial" w:eastAsia="Arial" w:hAnsi="Arial"/>
          <w:sz w:val="18"/>
          <w:szCs w:val="18"/>
          <w:color w:val="auto"/>
        </w:rPr>
      </w:pPr>
    </w:p>
    <w:p>
      <w:pPr>
        <w:ind w:left="559" w:right="540" w:hanging="559"/>
        <w:spacing w:after="0" w:line="296" w:lineRule="auto"/>
        <w:tabs>
          <w:tab w:leader="none" w:pos="58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any withholding certificate, withholding statement, document, authorisation or waiver provided to the Agent by a Lender pursuant to paragraph (e) above is or becomes materially inaccurate or incomplete, that Lender shall promptly update it</w:t>
      </w:r>
    </w:p>
    <w:p>
      <w:pPr>
        <w:spacing w:after="0" w:line="157"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26948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19"/>
          </w:cols>
          <w:pgMar w:left="941" w:top="340" w:right="239" w:bottom="1440" w:gutter="0" w:footer="0" w:header="0"/>
        </w:sectPr>
      </w:pPr>
    </w:p>
    <w:bookmarkStart w:id="206" w:name="page207"/>
    <w:bookmarkEnd w:id="206"/>
    <w:p>
      <w:pPr>
        <w:ind w:left="1240" w:right="120"/>
        <w:spacing w:after="0" w:line="257" w:lineRule="auto"/>
        <w:rPr>
          <w:sz w:val="20"/>
          <w:szCs w:val="20"/>
          <w:color w:val="auto"/>
        </w:rPr>
      </w:pPr>
      <w:r>
        <w:rPr>
          <w:rFonts w:ascii="Arial" w:cs="Arial" w:eastAsia="Arial" w:hAnsi="Arial"/>
          <w:sz w:val="18"/>
          <w:szCs w:val="18"/>
          <w:color w:val="auto"/>
        </w:rPr>
        <w:t>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188" w:lineRule="exact"/>
        <w:rPr>
          <w:sz w:val="20"/>
          <w:szCs w:val="20"/>
          <w:color w:val="auto"/>
        </w:rPr>
      </w:pPr>
    </w:p>
    <w:p>
      <w:pPr>
        <w:ind w:left="1260" w:right="520" w:hanging="559"/>
        <w:spacing w:after="0" w:line="257" w:lineRule="auto"/>
        <w:tabs>
          <w:tab w:leader="none" w:pos="127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FATCA Deduction</w:t>
      </w:r>
    </w:p>
    <w:p>
      <w:pPr>
        <w:spacing w:after="0" w:line="225" w:lineRule="exact"/>
        <w:rPr>
          <w:sz w:val="20"/>
          <w:szCs w:val="20"/>
          <w:color w:val="auto"/>
        </w:rPr>
      </w:pPr>
    </w:p>
    <w:p>
      <w:pPr>
        <w:ind w:left="1260" w:right="360" w:hanging="559"/>
        <w:spacing w:after="0" w:line="257" w:lineRule="auto"/>
        <w:tabs>
          <w:tab w:leader="none" w:pos="126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7" w:lineRule="exact"/>
        <w:rPr>
          <w:rFonts w:ascii="Arial" w:cs="Arial" w:eastAsia="Arial" w:hAnsi="Arial"/>
          <w:sz w:val="18"/>
          <w:szCs w:val="18"/>
          <w:color w:val="auto"/>
        </w:rPr>
      </w:pPr>
    </w:p>
    <w:p>
      <w:pPr>
        <w:jc w:val="both"/>
        <w:ind w:left="1260" w:right="100" w:hanging="559"/>
        <w:spacing w:after="0" w:line="257" w:lineRule="auto"/>
        <w:tabs>
          <w:tab w:leader="none" w:pos="127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81" w:lineRule="exact"/>
        <w:rPr>
          <w:rFonts w:ascii="Arial" w:cs="Arial" w:eastAsia="Arial" w:hAnsi="Arial"/>
          <w:sz w:val="18"/>
          <w:szCs w:val="18"/>
          <w:color w:val="auto"/>
        </w:rPr>
      </w:pPr>
    </w:p>
    <w:p>
      <w:pPr>
        <w:ind w:left="700" w:hanging="693"/>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4"/>
          <w:szCs w:val="14"/>
          <w:b w:val="1"/>
          <w:bCs w:val="1"/>
          <w:color w:val="auto"/>
        </w:rPr>
        <w:t>Increased costs</w:t>
      </w:r>
    </w:p>
    <w:p>
      <w:pPr>
        <w:spacing w:after="0" w:line="225" w:lineRule="exact"/>
        <w:rPr>
          <w:sz w:val="20"/>
          <w:szCs w:val="20"/>
          <w:color w:val="auto"/>
        </w:rPr>
      </w:pPr>
    </w:p>
    <w:p>
      <w:pPr>
        <w:ind w:left="1260" w:right="100" w:hanging="559"/>
        <w:spacing w:after="0" w:line="296" w:lineRule="auto"/>
        <w:tabs>
          <w:tab w:leader="none" w:pos="126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Subject to Clause 13.3 (Exceptions) the Borrower shall, within ten Business Days of a demand by the Agent, pay for the account of a Finance Party the amount of any Increased Costs incurred by that Finance Party or any of its Affiliates as a result of:</w:t>
      </w:r>
    </w:p>
    <w:p>
      <w:pPr>
        <w:spacing w:after="0" w:line="157" w:lineRule="exact"/>
        <w:rPr>
          <w:rFonts w:ascii="Arial" w:cs="Arial" w:eastAsia="Arial" w:hAnsi="Arial"/>
          <w:sz w:val="17"/>
          <w:szCs w:val="17"/>
          <w:color w:val="auto"/>
        </w:rPr>
      </w:pPr>
    </w:p>
    <w:p>
      <w:pPr>
        <w:ind w:left="1800" w:right="240" w:hanging="545"/>
        <w:spacing w:after="0" w:line="267" w:lineRule="auto"/>
        <w:tabs>
          <w:tab w:leader="none" w:pos="182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after the date of this agreement; or</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compliance with any law or regulation made, enacted, issued or put into effect after the date of this agreement; or</w:t>
      </w:r>
    </w:p>
    <w:p>
      <w:pPr>
        <w:spacing w:after="0" w:line="219" w:lineRule="exact"/>
        <w:rPr>
          <w:rFonts w:ascii="Arial" w:cs="Arial" w:eastAsia="Arial" w:hAnsi="Arial"/>
          <w:sz w:val="18"/>
          <w:szCs w:val="18"/>
          <w:color w:val="auto"/>
        </w:rPr>
      </w:pPr>
    </w:p>
    <w:p>
      <w:pPr>
        <w:ind w:left="1800" w:right="300" w:hanging="545"/>
        <w:spacing w:after="0" w:line="267" w:lineRule="auto"/>
        <w:tabs>
          <w:tab w:leader="none" w:pos="184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CRD IV or any law or regulation that implements or applies Basel III or CRD IV.</w:t>
      </w:r>
    </w:p>
    <w:p>
      <w:pPr>
        <w:spacing w:after="0" w:line="173" w:lineRule="exact"/>
        <w:rPr>
          <w:sz w:val="20"/>
          <w:szCs w:val="20"/>
          <w:color w:val="auto"/>
        </w:rPr>
      </w:pPr>
    </w:p>
    <w:p>
      <w:pPr>
        <w:ind w:left="1260"/>
        <w:spacing w:after="0" w:line="274" w:lineRule="auto"/>
        <w:rPr>
          <w:sz w:val="20"/>
          <w:szCs w:val="20"/>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law</w:t>
      </w:r>
      <w:r>
        <w:rPr>
          <w:rFonts w:ascii="Arial" w:cs="Arial" w:eastAsia="Arial" w:hAnsi="Arial"/>
          <w:sz w:val="18"/>
          <w:szCs w:val="18"/>
          <w:color w:val="auto"/>
        </w:rPr>
        <w:t xml:space="preserve"> and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 this paragraph (a) shall include any law or regulation concerning capital adequacy, prudential limits, liquidity, reserve assets or Tax.</w:t>
      </w:r>
    </w:p>
    <w:p>
      <w:pPr>
        <w:spacing w:after="0" w:line="173" w:lineRule="exact"/>
        <w:rPr>
          <w:sz w:val="20"/>
          <w:szCs w:val="20"/>
          <w:color w:val="auto"/>
        </w:rPr>
      </w:pPr>
    </w:p>
    <w:p>
      <w:pPr>
        <w:ind w:left="1260" w:hanging="559"/>
        <w:spacing w:after="0"/>
        <w:tabs>
          <w:tab w:leader="none" w:pos="12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13" w:lineRule="exact"/>
        <w:rPr>
          <w:rFonts w:ascii="Arial" w:cs="Arial" w:eastAsia="Arial" w:hAnsi="Arial"/>
          <w:sz w:val="18"/>
          <w:szCs w:val="18"/>
          <w:color w:val="auto"/>
        </w:rPr>
      </w:pPr>
    </w:p>
    <w:p>
      <w:pPr>
        <w:ind w:left="1800" w:right="20" w:hanging="545"/>
        <w:spacing w:after="0" w:line="260" w:lineRule="auto"/>
        <w:tabs>
          <w:tab w:leader="none" w:pos="182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w:t>
      </w:r>
      <w:r>
        <w:rPr>
          <w:rFonts w:ascii="Arial" w:cs="Arial" w:eastAsia="Arial" w:hAnsi="Arial"/>
          <w:sz w:val="18"/>
          <w:szCs w:val="18"/>
          <w:color w:val="auto"/>
        </w:rPr>
        <w:t>” means the “International Convergence of Capital Measurement and Capital Standards, a Revised Framework” published by the Basel Committee on Banking Supervision in June 2004 in the form existing on the date of this Agreement or, if later, the date it became party to this Agreement (but excluding any amendment arising out of Basel III);</w:t>
      </w:r>
    </w:p>
    <w:p>
      <w:pPr>
        <w:spacing w:after="0" w:line="179" w:lineRule="exact"/>
        <w:rPr>
          <w:rFonts w:ascii="Arial" w:cs="Arial" w:eastAsia="Arial" w:hAnsi="Arial"/>
          <w:sz w:val="18"/>
          <w:szCs w:val="18"/>
          <w:color w:val="auto"/>
        </w:rPr>
      </w:pPr>
    </w:p>
    <w:p>
      <w:pPr>
        <w:ind w:left="1840" w:hanging="585"/>
        <w:spacing w:after="0"/>
        <w:tabs>
          <w:tab w:leader="none" w:pos="1840" w:val="left"/>
        </w:tabs>
        <w:numPr>
          <w:ilvl w:val="1"/>
          <w:numId w:val="243"/>
        </w:numPr>
        <w:rPr>
          <w:rFonts w:ascii="Arial" w:cs="Arial" w:eastAsia="Arial" w:hAnsi="Arial"/>
          <w:sz w:val="18"/>
          <w:szCs w:val="18"/>
          <w:color w:val="auto"/>
        </w:rPr>
      </w:pPr>
      <w:r>
        <w:rPr>
          <w:rFonts w:ascii="Arial" w:cs="Arial" w:eastAsia="Arial" w:hAnsi="Arial"/>
          <w:sz w:val="18"/>
          <w:szCs w:val="18"/>
          <w:b w:val="1"/>
          <w:bCs w:val="1"/>
          <w:color w:val="auto"/>
        </w:rPr>
        <w:t xml:space="preserve">Basel III </w:t>
      </w:r>
      <w:r>
        <w:rPr>
          <w:rFonts w:ascii="Arial" w:cs="Arial" w:eastAsia="Arial" w:hAnsi="Arial"/>
          <w:sz w:val="18"/>
          <w:szCs w:val="18"/>
          <w:color w:val="auto"/>
        </w:rPr>
        <w:t>means:</w:t>
      </w:r>
    </w:p>
    <w:p>
      <w:pPr>
        <w:spacing w:after="0" w:line="225" w:lineRule="exact"/>
        <w:rPr>
          <w:sz w:val="20"/>
          <w:szCs w:val="20"/>
          <w:color w:val="auto"/>
        </w:rPr>
      </w:pPr>
    </w:p>
    <w:p>
      <w:pPr>
        <w:ind w:left="2380" w:hanging="571"/>
        <w:spacing w:after="0"/>
        <w:tabs>
          <w:tab w:leader="none" w:pos="23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w:t>
      </w:r>
    </w:p>
    <w:p>
      <w:pPr>
        <w:spacing w:after="0" w:line="40" w:lineRule="exact"/>
        <w:rPr>
          <w:rFonts w:ascii="Arial" w:cs="Arial" w:eastAsia="Arial" w:hAnsi="Arial"/>
          <w:sz w:val="16"/>
          <w:szCs w:val="16"/>
          <w:color w:val="auto"/>
        </w:rPr>
      </w:pPr>
    </w:p>
    <w:p>
      <w:pPr>
        <w:ind w:left="2360"/>
        <w:spacing w:after="0"/>
        <w:rPr>
          <w:rFonts w:ascii="Arial" w:cs="Arial" w:eastAsia="Arial" w:hAnsi="Arial"/>
          <w:sz w:val="16"/>
          <w:szCs w:val="16"/>
          <w:color w:val="auto"/>
        </w:rPr>
      </w:pPr>
      <w:r>
        <w:rPr>
          <w:rFonts w:ascii="Arial" w:cs="Arial" w:eastAsia="Arial" w:hAnsi="Arial"/>
          <w:sz w:val="18"/>
          <w:szCs w:val="18"/>
          <w:color w:val="auto"/>
        </w:rPr>
        <w:t>framework for more resilient banks and banking systems”, “Basel III: International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7" w:name="page208"/>
    <w:bookmarkEnd w:id="207"/>
    <w:p>
      <w:pPr>
        <w:ind w:left="2360" w:right="340"/>
        <w:spacing w:after="0" w:line="257" w:lineRule="auto"/>
        <w:rPr>
          <w:sz w:val="20"/>
          <w:szCs w:val="20"/>
          <w:color w:val="auto"/>
        </w:rPr>
      </w:pPr>
      <w:r>
        <w:rPr>
          <w:rFonts w:ascii="Arial" w:cs="Arial" w:eastAsia="Arial" w:hAnsi="Arial"/>
          <w:sz w:val="18"/>
          <w:szCs w:val="18"/>
          <w:color w:val="auto"/>
        </w:rPr>
        <w:t>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8" w:lineRule="exact"/>
        <w:rPr>
          <w:sz w:val="20"/>
          <w:szCs w:val="20"/>
          <w:color w:val="auto"/>
        </w:rPr>
      </w:pPr>
    </w:p>
    <w:p>
      <w:pPr>
        <w:ind w:left="2360" w:right="60" w:hanging="551"/>
        <w:spacing w:after="0" w:line="257" w:lineRule="auto"/>
        <w:tabs>
          <w:tab w:leader="none" w:pos="236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w:t>
      </w:r>
    </w:p>
    <w:p>
      <w:pPr>
        <w:spacing w:after="0" w:line="187" w:lineRule="exact"/>
        <w:rPr>
          <w:rFonts w:ascii="Arial" w:cs="Arial" w:eastAsia="Arial" w:hAnsi="Arial"/>
          <w:sz w:val="18"/>
          <w:szCs w:val="18"/>
          <w:color w:val="auto"/>
        </w:rPr>
      </w:pPr>
    </w:p>
    <w:p>
      <w:pPr>
        <w:ind w:left="2380" w:hanging="571"/>
        <w:spacing w:after="0"/>
        <w:tabs>
          <w:tab w:leader="none" w:pos="238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any further guidance or standards published by the Basel Committee on Banking Supervision relating to “Basel III”;</w:t>
      </w:r>
    </w:p>
    <w:p>
      <w:pPr>
        <w:spacing w:after="0" w:line="224" w:lineRule="exact"/>
        <w:rPr>
          <w:rFonts w:ascii="Arial" w:cs="Arial" w:eastAsia="Arial" w:hAnsi="Arial"/>
          <w:sz w:val="17"/>
          <w:szCs w:val="17"/>
          <w:color w:val="auto"/>
        </w:rPr>
      </w:pPr>
    </w:p>
    <w:p>
      <w:pPr>
        <w:ind w:left="1860" w:hanging="605"/>
        <w:spacing w:after="0"/>
        <w:tabs>
          <w:tab w:leader="none" w:pos="1860"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w:t>
      </w:r>
    </w:p>
    <w:p>
      <w:pPr>
        <w:spacing w:after="0" w:line="225" w:lineRule="exact"/>
        <w:rPr>
          <w:rFonts w:ascii="Arial" w:cs="Arial" w:eastAsia="Arial" w:hAnsi="Arial"/>
          <w:sz w:val="18"/>
          <w:szCs w:val="18"/>
          <w:color w:val="auto"/>
        </w:rPr>
      </w:pPr>
    </w:p>
    <w:p>
      <w:pPr>
        <w:ind w:left="2360" w:right="120" w:hanging="551"/>
        <w:spacing w:after="0" w:line="267" w:lineRule="auto"/>
        <w:tabs>
          <w:tab w:leader="none" w:pos="238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178" w:lineRule="exact"/>
        <w:rPr>
          <w:rFonts w:ascii="Arial" w:cs="Arial" w:eastAsia="Arial" w:hAnsi="Arial"/>
          <w:sz w:val="18"/>
          <w:szCs w:val="18"/>
          <w:color w:val="auto"/>
        </w:rPr>
      </w:pPr>
    </w:p>
    <w:p>
      <w:pPr>
        <w:ind w:left="2360" w:right="340" w:hanging="551"/>
        <w:spacing w:after="0" w:line="257" w:lineRule="auto"/>
        <w:tabs>
          <w:tab w:leader="none" w:pos="237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181" w:lineRule="exact"/>
        <w:rPr>
          <w:rFonts w:ascii="Arial" w:cs="Arial" w:eastAsia="Arial" w:hAnsi="Arial"/>
          <w:sz w:val="18"/>
          <w:szCs w:val="18"/>
          <w:color w:val="auto"/>
        </w:rPr>
      </w:pPr>
    </w:p>
    <w:p>
      <w:pPr>
        <w:ind w:left="1840" w:hanging="585"/>
        <w:spacing w:after="0"/>
        <w:tabs>
          <w:tab w:leader="none" w:pos="1840"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means:</w:t>
      </w:r>
    </w:p>
    <w:p>
      <w:pPr>
        <w:spacing w:after="0" w:line="225" w:lineRule="exact"/>
        <w:rPr>
          <w:rFonts w:ascii="Arial" w:cs="Arial" w:eastAsia="Arial" w:hAnsi="Arial"/>
          <w:sz w:val="18"/>
          <w:szCs w:val="18"/>
          <w:color w:val="auto"/>
        </w:rPr>
      </w:pPr>
    </w:p>
    <w:p>
      <w:pPr>
        <w:ind w:left="2360" w:right="20" w:hanging="551"/>
        <w:spacing w:after="0" w:line="257" w:lineRule="auto"/>
        <w:tabs>
          <w:tab w:leader="none" w:pos="238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 (including as a result of any reduction in the rate of return on capital brought about by more capital being required to be allocated by such Finance Party);</w:t>
      </w:r>
    </w:p>
    <w:p>
      <w:pPr>
        <w:spacing w:after="0" w:line="187" w:lineRule="exact"/>
        <w:rPr>
          <w:rFonts w:ascii="Arial" w:cs="Arial" w:eastAsia="Arial" w:hAnsi="Arial"/>
          <w:sz w:val="18"/>
          <w:szCs w:val="18"/>
          <w:color w:val="auto"/>
        </w:rPr>
      </w:pPr>
    </w:p>
    <w:p>
      <w:pPr>
        <w:ind w:left="2380" w:hanging="571"/>
        <w:spacing w:after="0"/>
        <w:tabs>
          <w:tab w:leader="none" w:pos="23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19" w:lineRule="exact"/>
        <w:rPr>
          <w:sz w:val="20"/>
          <w:szCs w:val="20"/>
          <w:color w:val="auto"/>
        </w:rPr>
      </w:pPr>
    </w:p>
    <w:p>
      <w:pPr>
        <w:jc w:val="both"/>
        <w:ind w:left="1800"/>
        <w:spacing w:after="0" w:line="257"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the undertaking, funding or performance by such Finance Party of any of its obligations under any Finance Document or any participation of such Finance Party in any Loan or Unpaid Sum.</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4"/>
          <w:szCs w:val="14"/>
          <w:b w:val="1"/>
          <w:bCs w:val="1"/>
          <w:color w:val="auto"/>
        </w:rPr>
        <w:t>Increased cost claims</w:t>
      </w:r>
    </w:p>
    <w:p>
      <w:pPr>
        <w:spacing w:after="0" w:line="225" w:lineRule="exact"/>
        <w:rPr>
          <w:sz w:val="20"/>
          <w:szCs w:val="20"/>
          <w:color w:val="auto"/>
        </w:rPr>
      </w:pPr>
    </w:p>
    <w:p>
      <w:pPr>
        <w:ind w:left="1260" w:right="60" w:hanging="559"/>
        <w:spacing w:after="0" w:line="267" w:lineRule="auto"/>
        <w:tabs>
          <w:tab w:leader="none" w:pos="126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Finance Party (other than the Agent) intending to make a claim pursuant to Clause 13.1 (Increased costs) shall notify the Agent of the event giving rise to the claim, following which the Agent shall promptly notify the Borrower.</w:t>
      </w:r>
    </w:p>
    <w:p>
      <w:pPr>
        <w:spacing w:after="0" w:line="178" w:lineRule="exact"/>
        <w:rPr>
          <w:rFonts w:ascii="Arial" w:cs="Arial" w:eastAsia="Arial" w:hAnsi="Arial"/>
          <w:sz w:val="18"/>
          <w:szCs w:val="18"/>
          <w:color w:val="auto"/>
        </w:rPr>
      </w:pPr>
    </w:p>
    <w:p>
      <w:pPr>
        <w:ind w:left="1260" w:right="460" w:hanging="559"/>
        <w:spacing w:after="0" w:line="267" w:lineRule="auto"/>
        <w:tabs>
          <w:tab w:leader="none" w:pos="127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Finance Party (other than the Agent) shall, as soon as practicable after a demand by the Agent, provide a certificate confirming the amount of its Increased Costs.</w:t>
      </w:r>
    </w:p>
    <w:p>
      <w:pPr>
        <w:spacing w:after="0" w:line="178" w:lineRule="exact"/>
        <w:rPr>
          <w:rFonts w:ascii="Arial" w:cs="Arial" w:eastAsia="Arial" w:hAnsi="Arial"/>
          <w:sz w:val="18"/>
          <w:szCs w:val="18"/>
          <w:color w:val="auto"/>
        </w:rPr>
      </w:pPr>
    </w:p>
    <w:p>
      <w:pPr>
        <w:ind w:left="1260" w:right="740" w:hanging="559"/>
        <w:spacing w:after="0" w:line="267" w:lineRule="auto"/>
        <w:tabs>
          <w:tab w:leader="none" w:pos="127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claim pursuant to Clause 13 (Increased costs) must contain reasonable details of the event giving rise to the claim and the basis of computation of the claim.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08" w:name="page209"/>
    <w:bookmarkEnd w:id="208"/>
    <w:p>
      <w:pPr>
        <w:spacing w:after="0"/>
        <w:tabs>
          <w:tab w:leader="none" w:pos="6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4"/>
          <w:szCs w:val="14"/>
          <w:b w:val="1"/>
          <w:bCs w:val="1"/>
          <w:color w:val="auto"/>
        </w:rPr>
        <w:t>Exceptions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Clause 13.1 (Increased costs) does not apply to the extent any Increased Cost is:</w:t>
      </w:r>
    </w:p>
    <w:p>
      <w:pPr>
        <w:spacing w:after="0" w:line="219" w:lineRule="exact"/>
        <w:rPr>
          <w:sz w:val="20"/>
          <w:szCs w:val="20"/>
          <w:color w:val="auto"/>
        </w:rPr>
      </w:pPr>
    </w:p>
    <w:p>
      <w:pPr>
        <w:ind w:left="1260" w:right="260" w:hanging="559"/>
        <w:spacing w:after="0" w:line="267" w:lineRule="auto"/>
        <w:tabs>
          <w:tab w:leader="none" w:pos="126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 and that is already compensated for by Clause 12.2 (Tax gross-up);</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19" w:lineRule="exact"/>
        <w:rPr>
          <w:rFonts w:ascii="Arial" w:cs="Arial" w:eastAsia="Arial" w:hAnsi="Arial"/>
          <w:sz w:val="18"/>
          <w:szCs w:val="18"/>
          <w:color w:val="auto"/>
        </w:rPr>
      </w:pPr>
    </w:p>
    <w:p>
      <w:pPr>
        <w:ind w:left="1260" w:right="360" w:hanging="559"/>
        <w:spacing w:after="0" w:line="296" w:lineRule="auto"/>
        <w:tabs>
          <w:tab w:leader="none" w:pos="1276" w:val="left"/>
        </w:tabs>
        <w:numPr>
          <w:ilvl w:val="1"/>
          <w:numId w:val="248"/>
        </w:numPr>
        <w:rPr>
          <w:rFonts w:ascii="Arial" w:cs="Arial" w:eastAsia="Arial" w:hAnsi="Arial"/>
          <w:sz w:val="17"/>
          <w:szCs w:val="17"/>
          <w:color w:val="auto"/>
        </w:rPr>
      </w:pPr>
      <w:r>
        <w:rPr>
          <w:rFonts w:ascii="Arial" w:cs="Arial" w:eastAsia="Arial" w:hAnsi="Arial"/>
          <w:sz w:val="17"/>
          <w:szCs w:val="17"/>
          <w:color w:val="auto"/>
        </w:rPr>
        <w:t>compensated for by Clause 12.3 (Tax indemnity) (or would have been compensated for under Clause 12.3 (Tax indemnity) but was not so compensated solely because any of the exclusions in paragraph (a) of Clause 12.3 (Tax indemnity) applied);</w:t>
      </w:r>
    </w:p>
    <w:p>
      <w:pPr>
        <w:spacing w:after="0" w:line="157" w:lineRule="exact"/>
        <w:rPr>
          <w:rFonts w:ascii="Arial" w:cs="Arial" w:eastAsia="Arial" w:hAnsi="Arial"/>
          <w:sz w:val="17"/>
          <w:szCs w:val="17"/>
          <w:color w:val="auto"/>
        </w:rPr>
      </w:pPr>
    </w:p>
    <w:p>
      <w:pPr>
        <w:ind w:left="1260" w:hanging="559"/>
        <w:spacing w:after="0"/>
        <w:tabs>
          <w:tab w:leader="none" w:pos="12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regulation or Finance Document; or</w:t>
      </w:r>
    </w:p>
    <w:p>
      <w:pPr>
        <w:spacing w:after="0" w:line="219" w:lineRule="exact"/>
        <w:rPr>
          <w:rFonts w:ascii="Arial" w:cs="Arial" w:eastAsia="Arial" w:hAnsi="Arial"/>
          <w:sz w:val="18"/>
          <w:szCs w:val="18"/>
          <w:color w:val="auto"/>
        </w:rPr>
      </w:pPr>
    </w:p>
    <w:p>
      <w:pPr>
        <w:ind w:left="1260" w:right="400" w:hanging="559"/>
        <w:spacing w:after="0" w:line="330" w:lineRule="auto"/>
        <w:tabs>
          <w:tab w:leader="none" w:pos="1276"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attributable to the implementation or application of or compliance with Basel II or any other law or regulation which implements Basel II (whether such implementation, application or compliance is by a government, regulator, Finance Party or any of its Affiliates).</w:t>
      </w:r>
    </w:p>
    <w:p>
      <w:pPr>
        <w:spacing w:after="0" w:line="127" w:lineRule="exact"/>
        <w:rPr>
          <w:rFonts w:ascii="Arial" w:cs="Arial" w:eastAsia="Arial" w:hAnsi="Arial"/>
          <w:sz w:val="16"/>
          <w:szCs w:val="16"/>
          <w:color w:val="auto"/>
        </w:rPr>
      </w:pPr>
    </w:p>
    <w:p>
      <w:pPr>
        <w:ind w:left="700" w:hanging="693"/>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MITIGATION BY THE LENDERS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Mitigation</w:t>
      </w:r>
    </w:p>
    <w:p>
      <w:pPr>
        <w:spacing w:after="0" w:line="225" w:lineRule="exact"/>
        <w:rPr>
          <w:sz w:val="20"/>
          <w:szCs w:val="20"/>
          <w:color w:val="auto"/>
        </w:rPr>
      </w:pPr>
    </w:p>
    <w:p>
      <w:pPr>
        <w:ind w:left="1260" w:right="260" w:hanging="559"/>
        <w:spacing w:after="0" w:line="295" w:lineRule="auto"/>
        <w:tabs>
          <w:tab w:leader="none" w:pos="126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Each Finance Party shall, in consultation with the Borrower, take all reasonable steps to mitigate any circumstances which arise and which would result in any amount becoming payable under or pursuant to, or cancelled pursuant to, any of Clause 7.1 (Illegality), Clause 12 (Tax Gross-up and Indemnities) or Clause 13 (Increased Costs), including, in relation to any circumstances which arise following the date of this agreement, transferring its rights and obligations under the Finance Documents to another Affiliate or Facility Office.</w:t>
      </w:r>
    </w:p>
    <w:p>
      <w:pPr>
        <w:spacing w:after="0" w:line="160" w:lineRule="exact"/>
        <w:rPr>
          <w:rFonts w:ascii="Arial" w:cs="Arial" w:eastAsia="Arial" w:hAnsi="Arial"/>
          <w:sz w:val="16"/>
          <w:szCs w:val="16"/>
          <w:color w:val="auto"/>
        </w:rPr>
      </w:pPr>
    </w:p>
    <w:p>
      <w:pPr>
        <w:ind w:left="1260" w:hanging="559"/>
        <w:spacing w:after="0"/>
        <w:tabs>
          <w:tab w:leader="none" w:pos="12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the Borrower under the Finance Documents.</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Limitation of liability</w:t>
      </w:r>
    </w:p>
    <w:p>
      <w:pPr>
        <w:spacing w:after="0" w:line="225" w:lineRule="exact"/>
        <w:rPr>
          <w:sz w:val="20"/>
          <w:szCs w:val="20"/>
          <w:color w:val="auto"/>
        </w:rPr>
      </w:pPr>
    </w:p>
    <w:p>
      <w:pPr>
        <w:ind w:left="1260" w:right="120" w:hanging="559"/>
        <w:spacing w:after="0" w:line="267" w:lineRule="auto"/>
        <w:tabs>
          <w:tab w:leader="none" w:pos="126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and in any event within ten Business Days of demand, for all costs and expenses reasonably incurred by that Finance Party as a result of steps taken by it under Clause 14.1 (Mitigation).</w:t>
      </w:r>
    </w:p>
    <w:p>
      <w:pPr>
        <w:spacing w:after="0" w:line="178" w:lineRule="exact"/>
        <w:rPr>
          <w:rFonts w:ascii="Arial" w:cs="Arial" w:eastAsia="Arial" w:hAnsi="Arial"/>
          <w:sz w:val="18"/>
          <w:szCs w:val="18"/>
          <w:color w:val="auto"/>
        </w:rPr>
      </w:pPr>
    </w:p>
    <w:p>
      <w:pPr>
        <w:ind w:left="1260" w:right="120" w:hanging="559"/>
        <w:spacing w:after="0" w:line="267" w:lineRule="auto"/>
        <w:tabs>
          <w:tab w:leader="none" w:pos="127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14.1 (Mitigation) if, in the opinion of that Finance Party (acting reasonably), to do so might be prejudicial to it.</w:t>
      </w:r>
    </w:p>
    <w:p>
      <w:pPr>
        <w:spacing w:after="0" w:line="173" w:lineRule="exact"/>
        <w:rPr>
          <w:sz w:val="20"/>
          <w:szCs w:val="20"/>
          <w:color w:val="auto"/>
        </w:rPr>
      </w:pPr>
    </w:p>
    <w:p>
      <w:pPr>
        <w:jc w:val="center"/>
        <w:ind w:right="7480"/>
        <w:spacing w:after="0"/>
        <w:tabs>
          <w:tab w:leader="none" w:pos="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4"/>
          <w:szCs w:val="14"/>
          <w:b w:val="1"/>
          <w:bCs w:val="1"/>
          <w:color w:val="auto"/>
        </w:rPr>
        <w:t>Conduct of business by the Finance Parties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provision of this agreement will:</w:t>
      </w:r>
    </w:p>
    <w:p>
      <w:pPr>
        <w:spacing w:after="0" w:line="219" w:lineRule="exact"/>
        <w:rPr>
          <w:sz w:val="20"/>
          <w:szCs w:val="20"/>
          <w:color w:val="auto"/>
        </w:rPr>
      </w:pPr>
    </w:p>
    <w:p>
      <w:pPr>
        <w:ind w:left="1260" w:hanging="559"/>
        <w:spacing w:after="0"/>
        <w:tabs>
          <w:tab w:leader="none" w:pos="1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19" w:lineRule="exact"/>
        <w:rPr>
          <w:rFonts w:ascii="Arial" w:cs="Arial" w:eastAsia="Arial" w:hAnsi="Arial"/>
          <w:sz w:val="18"/>
          <w:szCs w:val="18"/>
          <w:color w:val="auto"/>
        </w:rPr>
      </w:pPr>
    </w:p>
    <w:p>
      <w:pPr>
        <w:ind w:left="1260" w:hanging="559"/>
        <w:spacing w:after="0" w:line="267" w:lineRule="auto"/>
        <w:tabs>
          <w:tab w:leader="none" w:pos="127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 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9" w:name="page210"/>
    <w:bookmarkEnd w:id="209"/>
    <w:p>
      <w:pPr>
        <w:ind w:left="1260" w:right="100" w:hanging="559"/>
        <w:spacing w:after="0" w:line="267" w:lineRule="auto"/>
        <w:tabs>
          <w:tab w:leader="none" w:pos="1273" w:val="left"/>
        </w:tabs>
        <w:numPr>
          <w:ilvl w:val="1"/>
          <w:numId w:val="253"/>
        </w:numPr>
        <w:rPr>
          <w:rFonts w:ascii="Arial" w:cs="Arial" w:eastAsia="Arial" w:hAnsi="Arial"/>
          <w:sz w:val="18"/>
          <w:szCs w:val="18"/>
          <w:color w:val="auto"/>
        </w:rPr>
      </w:pPr>
      <w:r>
        <w:rPr>
          <w:rFonts w:ascii="Arial" w:cs="Arial" w:eastAsia="Arial" w:hAnsi="Arial"/>
          <w:sz w:val="18"/>
          <w:szCs w:val="18"/>
          <w:color w:val="auto"/>
        </w:rPr>
        <w:t>oblige any Finance Party to do or omit to do anything if it would, or might in its reasonable opinion, constitute a breach of any applicable law or regulation or a breach of fiduciary duty or duty of confidentiality.</w:t>
      </w:r>
    </w:p>
    <w:p>
      <w:pPr>
        <w:spacing w:after="0" w:line="172" w:lineRule="exact"/>
        <w:rPr>
          <w:rFonts w:ascii="Arial" w:cs="Arial" w:eastAsia="Arial" w:hAnsi="Arial"/>
          <w:sz w:val="18"/>
          <w:szCs w:val="18"/>
          <w:color w:val="auto"/>
        </w:rPr>
      </w:pPr>
    </w:p>
    <w:p>
      <w:pPr>
        <w:ind w:left="700" w:hanging="693"/>
        <w:spacing w:after="0"/>
        <w:tabs>
          <w:tab w:leader="none" w:pos="70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OTHER INDEMNITIES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b w:val="1"/>
          <w:bCs w:val="1"/>
          <w:color w:val="auto"/>
        </w:rPr>
        <w:t>Currency indemnity</w:t>
      </w:r>
    </w:p>
    <w:p>
      <w:pPr>
        <w:spacing w:after="0" w:line="219" w:lineRule="exact"/>
        <w:rPr>
          <w:sz w:val="20"/>
          <w:szCs w:val="20"/>
          <w:color w:val="auto"/>
        </w:rPr>
      </w:pPr>
    </w:p>
    <w:p>
      <w:pPr>
        <w:jc w:val="both"/>
        <w:ind w:left="1260" w:hanging="559"/>
        <w:spacing w:after="0" w:line="260" w:lineRule="auto"/>
        <w:tabs>
          <w:tab w:leader="none" w:pos="126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If any sum due from the Borrower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85" w:lineRule="exact"/>
        <w:rPr>
          <w:rFonts w:ascii="Arial" w:cs="Arial" w:eastAsia="Arial" w:hAnsi="Arial"/>
          <w:sz w:val="18"/>
          <w:szCs w:val="18"/>
          <w:color w:val="auto"/>
        </w:rPr>
      </w:pPr>
    </w:p>
    <w:p>
      <w:pPr>
        <w:ind w:left="1840" w:hanging="585"/>
        <w:spacing w:after="0"/>
        <w:tabs>
          <w:tab w:leader="none" w:pos="18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making or filing a claim or proof against the Borrower; or</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19" w:lineRule="exact"/>
        <w:rPr>
          <w:sz w:val="20"/>
          <w:szCs w:val="20"/>
          <w:color w:val="auto"/>
        </w:rPr>
      </w:pPr>
    </w:p>
    <w:p>
      <w:pPr>
        <w:ind w:left="1260" w:right="40"/>
        <w:spacing w:after="0" w:line="253" w:lineRule="auto"/>
        <w:rPr>
          <w:sz w:val="20"/>
          <w:szCs w:val="20"/>
          <w:color w:val="auto"/>
        </w:rPr>
      </w:pPr>
      <w:r>
        <w:rPr>
          <w:rFonts w:ascii="Arial" w:cs="Arial" w:eastAsia="Arial" w:hAnsi="Arial"/>
          <w:sz w:val="18"/>
          <w:szCs w:val="18"/>
          <w:color w:val="auto"/>
        </w:rPr>
        <w:t>the Borrower shall as an independent obligation, within ten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93" w:lineRule="exact"/>
        <w:rPr>
          <w:sz w:val="20"/>
          <w:szCs w:val="20"/>
          <w:color w:val="auto"/>
        </w:rPr>
      </w:pPr>
    </w:p>
    <w:p>
      <w:pPr>
        <w:ind w:left="1260" w:right="40" w:hanging="559"/>
        <w:spacing w:after="0" w:line="267" w:lineRule="auto"/>
        <w:tabs>
          <w:tab w:leader="none" w:pos="127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4"/>
          <w:szCs w:val="14"/>
          <w:b w:val="1"/>
          <w:bCs w:val="1"/>
          <w:color w:val="auto"/>
        </w:rPr>
        <w:t>Other indemnities</w:t>
      </w:r>
    </w:p>
    <w:p>
      <w:pPr>
        <w:spacing w:after="0" w:line="225" w:lineRule="exact"/>
        <w:rPr>
          <w:sz w:val="20"/>
          <w:szCs w:val="20"/>
          <w:color w:val="auto"/>
        </w:rPr>
      </w:pPr>
    </w:p>
    <w:p>
      <w:pPr>
        <w:ind w:left="700" w:right="340"/>
        <w:spacing w:after="0" w:line="267" w:lineRule="auto"/>
        <w:rPr>
          <w:sz w:val="20"/>
          <w:szCs w:val="20"/>
          <w:color w:val="auto"/>
        </w:rPr>
      </w:pPr>
      <w:r>
        <w:rPr>
          <w:rFonts w:ascii="Arial" w:cs="Arial" w:eastAsia="Arial" w:hAnsi="Arial"/>
          <w:sz w:val="18"/>
          <w:szCs w:val="18"/>
          <w:color w:val="auto"/>
        </w:rPr>
        <w:t>The Borrower shall, within ten Business Days of demand, indemnify each Finance Party against any cost, loss or liability incurred by that Finance Party as a result of:</w:t>
      </w:r>
    </w:p>
    <w:p>
      <w:pPr>
        <w:spacing w:after="0" w:line="179" w:lineRule="exact"/>
        <w:rPr>
          <w:sz w:val="20"/>
          <w:szCs w:val="20"/>
          <w:color w:val="auto"/>
        </w:rPr>
      </w:pPr>
    </w:p>
    <w:p>
      <w:pPr>
        <w:ind w:left="1260" w:hanging="559"/>
        <w:spacing w:after="0"/>
        <w:tabs>
          <w:tab w:leader="none" w:pos="12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19" w:lineRule="exact"/>
        <w:rPr>
          <w:rFonts w:ascii="Arial" w:cs="Arial" w:eastAsia="Arial" w:hAnsi="Arial"/>
          <w:sz w:val="18"/>
          <w:szCs w:val="18"/>
          <w:color w:val="auto"/>
        </w:rPr>
      </w:pPr>
    </w:p>
    <w:p>
      <w:pPr>
        <w:ind w:left="1260" w:right="60" w:hanging="559"/>
        <w:spacing w:after="0" w:line="267" w:lineRule="auto"/>
        <w:tabs>
          <w:tab w:leader="none" w:pos="12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Information Memorandum or any other information produced or approved by the Borrower being or being alleged to be misleading and/or deceptive in any respect;</w:t>
      </w:r>
    </w:p>
    <w:p>
      <w:pPr>
        <w:spacing w:after="0" w:line="178" w:lineRule="exact"/>
        <w:rPr>
          <w:rFonts w:ascii="Arial" w:cs="Arial" w:eastAsia="Arial" w:hAnsi="Arial"/>
          <w:sz w:val="18"/>
          <w:szCs w:val="18"/>
          <w:color w:val="auto"/>
        </w:rPr>
      </w:pPr>
    </w:p>
    <w:p>
      <w:pPr>
        <w:ind w:left="1260" w:right="400" w:hanging="559"/>
        <w:spacing w:after="0" w:line="267" w:lineRule="auto"/>
        <w:tabs>
          <w:tab w:leader="none" w:pos="127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enquiry, investigation, subpoena (or similar order) or legal or arbitral proceedings with respect to the Borrower or with respect to any transactions contemplated or financed under any Finance Document;</w:t>
      </w:r>
    </w:p>
    <w:p>
      <w:pPr>
        <w:spacing w:after="0" w:line="178" w:lineRule="exact"/>
        <w:rPr>
          <w:rFonts w:ascii="Arial" w:cs="Arial" w:eastAsia="Arial" w:hAnsi="Arial"/>
          <w:sz w:val="18"/>
          <w:szCs w:val="18"/>
          <w:color w:val="auto"/>
        </w:rPr>
      </w:pPr>
    </w:p>
    <w:p>
      <w:pPr>
        <w:ind w:left="1260" w:right="220" w:hanging="559"/>
        <w:spacing w:after="0" w:line="267" w:lineRule="auto"/>
        <w:tabs>
          <w:tab w:leader="none" w:pos="12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 and in the relevant currency, including any cost, loss or liability arising as a result of Clause 24 (Sharing among the Finance Parties);</w:t>
      </w:r>
    </w:p>
    <w:p>
      <w:pPr>
        <w:spacing w:after="0" w:line="178" w:lineRule="exact"/>
        <w:rPr>
          <w:rFonts w:ascii="Arial" w:cs="Arial" w:eastAsia="Arial" w:hAnsi="Arial"/>
          <w:sz w:val="18"/>
          <w:szCs w:val="18"/>
          <w:color w:val="auto"/>
        </w:rPr>
      </w:pPr>
    </w:p>
    <w:p>
      <w:pPr>
        <w:ind w:left="1260" w:right="100" w:hanging="559"/>
        <w:spacing w:after="0" w:line="304" w:lineRule="auto"/>
        <w:tabs>
          <w:tab w:leader="none" w:pos="127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funding, or making arrangements to fund, its participation in a Utilisation requested by the Borrower in a Utilisation Request but not made by reason of the operation of any one or more of the provisions of this agreement (other than by reason of default in the performance of their obligations under the Finance Documents to which such Finance Party is party or negligence by that Finance Party alone);</w:t>
      </w:r>
    </w:p>
    <w:p>
      <w:pPr>
        <w:spacing w:after="0" w:line="153" w:lineRule="exact"/>
        <w:rPr>
          <w:rFonts w:ascii="Arial" w:cs="Arial" w:eastAsia="Arial" w:hAnsi="Arial"/>
          <w:sz w:val="16"/>
          <w:szCs w:val="16"/>
          <w:color w:val="auto"/>
        </w:rPr>
      </w:pPr>
    </w:p>
    <w:p>
      <w:pPr>
        <w:ind w:left="1260" w:hanging="559"/>
        <w:spacing w:after="0"/>
        <w:tabs>
          <w:tab w:leader="none" w:pos="12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0" w:name="page211"/>
    <w:bookmarkEnd w:id="210"/>
    <w:p>
      <w:pPr>
        <w:spacing w:after="0"/>
        <w:tabs>
          <w:tab w:leader="none" w:pos="6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the Agent</w:t>
      </w:r>
    </w:p>
    <w:p>
      <w:pPr>
        <w:spacing w:after="0" w:line="225" w:lineRule="exact"/>
        <w:rPr>
          <w:sz w:val="20"/>
          <w:szCs w:val="20"/>
          <w:color w:val="auto"/>
        </w:rPr>
      </w:pPr>
    </w:p>
    <w:p>
      <w:pPr>
        <w:ind w:left="700" w:right="80"/>
        <w:spacing w:after="0" w:line="267" w:lineRule="auto"/>
        <w:rPr>
          <w:sz w:val="20"/>
          <w:szCs w:val="20"/>
          <w:color w:val="auto"/>
        </w:rPr>
      </w:pPr>
      <w:r>
        <w:rPr>
          <w:rFonts w:ascii="Arial" w:cs="Arial" w:eastAsia="Arial" w:hAnsi="Arial"/>
          <w:sz w:val="18"/>
          <w:szCs w:val="18"/>
          <w:color w:val="auto"/>
        </w:rPr>
        <w:t>The Borrower shall promptly (and in any event within ten Business Days of demand) indemnify the Agent against any cost, loss or liability incurred by the Agent (acting reasonably) as a result of:</w:t>
      </w:r>
    </w:p>
    <w:p>
      <w:pPr>
        <w:spacing w:after="0" w:line="179" w:lineRule="exact"/>
        <w:rPr>
          <w:sz w:val="20"/>
          <w:szCs w:val="20"/>
          <w:color w:val="auto"/>
        </w:rPr>
      </w:pPr>
    </w:p>
    <w:p>
      <w:pPr>
        <w:ind w:left="1260" w:hanging="559"/>
        <w:spacing w:after="0"/>
        <w:tabs>
          <w:tab w:leader="none" w:pos="12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242" w:lineRule="exact"/>
        <w:rPr>
          <w:rFonts w:ascii="Arial" w:cs="Arial" w:eastAsia="Arial" w:hAnsi="Arial"/>
          <w:sz w:val="16"/>
          <w:szCs w:val="16"/>
          <w:color w:val="auto"/>
        </w:rPr>
      </w:pPr>
    </w:p>
    <w:p>
      <w:pPr>
        <w:ind w:left="1280" w:hanging="579"/>
        <w:spacing w:after="0"/>
        <w:tabs>
          <w:tab w:leader="none" w:pos="128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instructing lawyers, accountants, tax advisers, surveyors or other professional advisers or experts as permitted under this agreement.</w:t>
      </w:r>
    </w:p>
    <w:p>
      <w:pPr>
        <w:spacing w:after="0" w:line="224" w:lineRule="exact"/>
        <w:rPr>
          <w:rFonts w:ascii="Arial" w:cs="Arial" w:eastAsia="Arial" w:hAnsi="Arial"/>
          <w:sz w:val="17"/>
          <w:szCs w:val="17"/>
          <w:color w:val="auto"/>
        </w:rPr>
      </w:pPr>
    </w:p>
    <w:p>
      <w:pPr>
        <w:ind w:left="700" w:hanging="693"/>
        <w:spacing w:after="0"/>
        <w:tabs>
          <w:tab w:leader="none" w:pos="70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4"/>
          <w:szCs w:val="14"/>
          <w:b w:val="1"/>
          <w:bCs w:val="1"/>
          <w:color w:val="auto"/>
        </w:rPr>
        <w:t>Transaction expenses</w:t>
      </w:r>
    </w:p>
    <w:p>
      <w:pPr>
        <w:spacing w:after="0" w:line="225"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The Borrower shall, within fifteen Business Days of demand, pay the Administrative Parties the amount of all out-of-pocket costs and expenses (including legal fees subject to any agreed cap but excluding travel expenses) reasonably incurred by any of them in connection with the negotiation, preparation, printing, execution and syndication of:</w:t>
      </w:r>
    </w:p>
    <w:p>
      <w:pPr>
        <w:spacing w:after="0" w:line="188" w:lineRule="exact"/>
        <w:rPr>
          <w:sz w:val="20"/>
          <w:szCs w:val="20"/>
          <w:color w:val="auto"/>
        </w:rPr>
      </w:pPr>
    </w:p>
    <w:p>
      <w:pPr>
        <w:ind w:left="1260" w:hanging="559"/>
        <w:spacing w:after="0"/>
        <w:tabs>
          <w:tab w:leader="none" w:pos="1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19" w:lineRule="exact"/>
        <w:rPr>
          <w:rFonts w:ascii="Arial" w:cs="Arial" w:eastAsia="Arial" w:hAnsi="Arial"/>
          <w:sz w:val="18"/>
          <w:szCs w:val="18"/>
          <w:color w:val="auto"/>
        </w:rPr>
      </w:pPr>
    </w:p>
    <w:p>
      <w:pPr>
        <w:ind w:right="4960" w:firstLine="701"/>
        <w:spacing w:after="0" w:line="494" w:lineRule="auto"/>
        <w:tabs>
          <w:tab w:leader="none" w:pos="126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any other Finance Documents executed after the date of this agreement. 16.2 </w:t>
      </w:r>
      <w:r>
        <w:rPr>
          <w:rFonts w:ascii="Arial" w:cs="Arial" w:eastAsia="Arial" w:hAnsi="Arial"/>
          <w:sz w:val="18"/>
          <w:szCs w:val="18"/>
          <w:b w:val="1"/>
          <w:bCs w:val="1"/>
          <w:color w:val="auto"/>
        </w:rPr>
        <w:t>Amendment costs</w:t>
      </w:r>
    </w:p>
    <w:p>
      <w:pPr>
        <w:ind w:left="700"/>
        <w:spacing w:after="0"/>
        <w:rPr>
          <w:sz w:val="20"/>
          <w:szCs w:val="20"/>
          <w:color w:val="auto"/>
        </w:rPr>
      </w:pPr>
      <w:r>
        <w:rPr>
          <w:rFonts w:ascii="Arial" w:cs="Arial" w:eastAsia="Arial" w:hAnsi="Arial"/>
          <w:sz w:val="18"/>
          <w:szCs w:val="18"/>
          <w:color w:val="auto"/>
        </w:rPr>
        <w:t>If:</w:t>
      </w:r>
    </w:p>
    <w:p>
      <w:pPr>
        <w:spacing w:after="0" w:line="219" w:lineRule="exact"/>
        <w:rPr>
          <w:sz w:val="20"/>
          <w:szCs w:val="20"/>
          <w:color w:val="auto"/>
        </w:rPr>
      </w:pPr>
    </w:p>
    <w:p>
      <w:pPr>
        <w:ind w:left="1260" w:hanging="559"/>
        <w:spacing w:after="0"/>
        <w:tabs>
          <w:tab w:leader="none" w:pos="1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Borrower requests an amendment, waiver or consent; or</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 amendment is required pursuant to Clause 25.10 (Change of currency),</w:t>
      </w:r>
    </w:p>
    <w:p>
      <w:pPr>
        <w:spacing w:after="0" w:line="219"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the Borrower shall, within ten Business Days of demand, reimburse the Agent for the amount of all out-of-pocket costs and expenses (including legal fees subject to any agreed cap) reasonably incurred by the Agent in responding to, evaluating, negotiating or complying with that request or requirement.</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4"/>
          <w:szCs w:val="14"/>
          <w:b w:val="1"/>
          <w:bCs w:val="1"/>
          <w:color w:val="auto"/>
        </w:rPr>
        <w:t>Enforcement costs</w:t>
      </w:r>
    </w:p>
    <w:p>
      <w:pPr>
        <w:spacing w:after="0" w:line="225" w:lineRule="exact"/>
        <w:rPr>
          <w:sz w:val="20"/>
          <w:szCs w:val="20"/>
          <w:color w:val="auto"/>
        </w:rPr>
      </w:pPr>
    </w:p>
    <w:p>
      <w:pPr>
        <w:ind w:left="700" w:right="200"/>
        <w:spacing w:after="0" w:line="330" w:lineRule="auto"/>
        <w:rPr>
          <w:sz w:val="20"/>
          <w:szCs w:val="20"/>
          <w:color w:val="auto"/>
        </w:rPr>
      </w:pPr>
      <w:r>
        <w:rPr>
          <w:rFonts w:ascii="Arial" w:cs="Arial" w:eastAsia="Arial" w:hAnsi="Arial"/>
          <w:sz w:val="16"/>
          <w:szCs w:val="16"/>
          <w:color w:val="auto"/>
        </w:rPr>
        <w:t>The Borrower shall, within ten Business Days of demand, pay to each Finance Party the amount of all out-of-pocket costs and expenses (including legal fees) incurred by that Finance Party in connection with the enforcement of, or the preservation of any rights under, any Finance Document.</w:t>
      </w:r>
    </w:p>
    <w:p>
      <w:pPr>
        <w:spacing w:after="0" w:line="127" w:lineRule="exact"/>
        <w:rPr>
          <w:sz w:val="20"/>
          <w:szCs w:val="20"/>
          <w:color w:val="auto"/>
        </w:rPr>
      </w:pPr>
    </w:p>
    <w:p>
      <w:pPr>
        <w:ind w:left="700" w:hanging="693"/>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2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7"/>
          <w:szCs w:val="17"/>
          <w:color w:val="auto"/>
        </w:rPr>
        <w:t>The Borrower makes the representations and warranties set out in this Clause 17 to each Finance Party on the date of this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4"/>
          <w:szCs w:val="14"/>
          <w:b w:val="1"/>
          <w:bCs w:val="1"/>
          <w:color w:val="auto"/>
        </w:rPr>
        <w:t>Status</w:t>
      </w:r>
    </w:p>
    <w:p>
      <w:pPr>
        <w:spacing w:after="0" w:line="225" w:lineRule="exact"/>
        <w:rPr>
          <w:sz w:val="20"/>
          <w:szCs w:val="20"/>
          <w:color w:val="auto"/>
        </w:rPr>
      </w:pPr>
    </w:p>
    <w:p>
      <w:pPr>
        <w:ind w:left="1260" w:hanging="559"/>
        <w:spacing w:after="0"/>
        <w:tabs>
          <w:tab w:leader="none" w:pos="12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is a company, duly incorporated, validly existing and in good standing under the laws of the Cayman Islands.</w:t>
      </w:r>
    </w:p>
    <w:p>
      <w:pPr>
        <w:spacing w:after="0" w:line="219" w:lineRule="exact"/>
        <w:rPr>
          <w:rFonts w:ascii="Arial" w:cs="Arial" w:eastAsia="Arial" w:hAnsi="Arial"/>
          <w:sz w:val="18"/>
          <w:szCs w:val="18"/>
          <w:color w:val="auto"/>
        </w:rPr>
      </w:pPr>
    </w:p>
    <w:p>
      <w:pPr>
        <w:jc w:val="center"/>
        <w:ind w:left="5620" w:right="1540" w:hanging="4919"/>
        <w:spacing w:after="0" w:line="514" w:lineRule="auto"/>
        <w:tabs>
          <w:tab w:leader="none" w:pos="126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and each of its Material Subsidiaries has the power to own its assets and carry on its business as it is being conducted.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26948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211" w:name="page212"/>
    <w:bookmarkEnd w:id="211"/>
    <w:p>
      <w:pPr>
        <w:ind w:left="1260" w:right="540" w:hanging="559"/>
        <w:spacing w:after="0" w:line="267" w:lineRule="auto"/>
        <w:tabs>
          <w:tab w:leader="none" w:pos="127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It is acting as principal for its own account and not as agent or trustee in any capacity on behalf of any person in relation to the Finance Documents.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4"/>
          <w:szCs w:val="14"/>
          <w:b w:val="1"/>
          <w:bCs w:val="1"/>
          <w:color w:val="auto"/>
        </w:rPr>
        <w:t>Binding obligations</w:t>
      </w:r>
    </w:p>
    <w:p>
      <w:pPr>
        <w:spacing w:after="0" w:line="225" w:lineRule="exact"/>
        <w:rPr>
          <w:sz w:val="20"/>
          <w:szCs w:val="20"/>
          <w:color w:val="auto"/>
        </w:rPr>
      </w:pPr>
    </w:p>
    <w:p>
      <w:pPr>
        <w:ind w:left="700" w:right="100"/>
        <w:spacing w:after="0" w:line="267" w:lineRule="auto"/>
        <w:rPr>
          <w:sz w:val="20"/>
          <w:szCs w:val="20"/>
          <w:color w:val="auto"/>
        </w:rPr>
      </w:pPr>
      <w:r>
        <w:rPr>
          <w:rFonts w:ascii="Arial" w:cs="Arial" w:eastAsia="Arial" w:hAnsi="Arial"/>
          <w:sz w:val="18"/>
          <w:szCs w:val="18"/>
          <w:color w:val="auto"/>
        </w:rPr>
        <w:t>The obligations expressed to be assumed by it in each Finance Document are, subject to the Legal Reservations, legal, valid, binding and enforceable obligations.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4"/>
          <w:szCs w:val="14"/>
          <w:b w:val="1"/>
          <w:bCs w:val="1"/>
          <w:color w:val="auto"/>
        </w:rPr>
        <w:t>Non-conflict with other obligations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entry into and performance by it of, and the transactions contemplated by, the Finance Documents do not and will not conflict with:</w:t>
      </w:r>
    </w:p>
    <w:p>
      <w:pPr>
        <w:spacing w:after="0" w:line="231" w:lineRule="exact"/>
        <w:rPr>
          <w:sz w:val="20"/>
          <w:szCs w:val="20"/>
          <w:color w:val="auto"/>
        </w:rPr>
      </w:pPr>
    </w:p>
    <w:p>
      <w:pPr>
        <w:ind w:left="1260" w:hanging="559"/>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subject to the Legal Reservations, any law or regulation applicable to it;</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219" w:lineRule="exact"/>
        <w:rPr>
          <w:rFonts w:ascii="Arial" w:cs="Arial" w:eastAsia="Arial" w:hAnsi="Arial"/>
          <w:sz w:val="18"/>
          <w:szCs w:val="18"/>
          <w:color w:val="auto"/>
        </w:rPr>
      </w:pPr>
    </w:p>
    <w:p>
      <w:pPr>
        <w:ind w:left="1260" w:right="20" w:hanging="559"/>
        <w:spacing w:after="0" w:line="267" w:lineRule="auto"/>
        <w:tabs>
          <w:tab w:leader="none" w:pos="127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Subsidiaries or any of its or any of its Subsidiaries’ assets where such conflict has or would reasonably expected to have a Material Adverse Effect.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Power and authority</w:t>
      </w:r>
    </w:p>
    <w:p>
      <w:pPr>
        <w:spacing w:after="0" w:line="225" w:lineRule="exact"/>
        <w:rPr>
          <w:sz w:val="20"/>
          <w:szCs w:val="20"/>
          <w:color w:val="auto"/>
        </w:rPr>
      </w:pPr>
    </w:p>
    <w:p>
      <w:pPr>
        <w:ind w:left="1260" w:right="160" w:hanging="559"/>
        <w:spacing w:after="0" w:line="267" w:lineRule="auto"/>
        <w:tabs>
          <w:tab w:leader="none" w:pos="126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and the transactions contemplated by the Finance Documents.</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limit on its powers will be exceeded as a result of the borrowing contemplated in the Finance Documents.</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4"/>
          <w:szCs w:val="14"/>
          <w:b w:val="1"/>
          <w:bCs w:val="1"/>
          <w:color w:val="auto"/>
        </w:rPr>
        <w:t>Validity and admissibility in evidence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Authorisations required:</w:t>
      </w:r>
    </w:p>
    <w:p>
      <w:pPr>
        <w:spacing w:after="0" w:line="219" w:lineRule="exact"/>
        <w:rPr>
          <w:sz w:val="20"/>
          <w:szCs w:val="20"/>
          <w:color w:val="auto"/>
        </w:rPr>
      </w:pPr>
    </w:p>
    <w:p>
      <w:pPr>
        <w:ind w:left="1260" w:hanging="559"/>
        <w:spacing w:after="0"/>
        <w:tabs>
          <w:tab w:leader="none" w:pos="12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Finance Documents;</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subject to the Legal Reservations, to make the Finance Documents admissible in evidence in its jurisdiction of incorporation; and</w:t>
      </w:r>
    </w:p>
    <w:p>
      <w:pPr>
        <w:spacing w:after="0" w:line="230" w:lineRule="exact"/>
        <w:rPr>
          <w:rFonts w:ascii="Arial" w:cs="Arial" w:eastAsia="Arial" w:hAnsi="Arial"/>
          <w:sz w:val="17"/>
          <w:szCs w:val="17"/>
          <w:color w:val="auto"/>
        </w:rPr>
      </w:pPr>
    </w:p>
    <w:p>
      <w:pPr>
        <w:ind w:left="1260" w:right="240" w:hanging="559"/>
        <w:spacing w:after="0" w:line="267" w:lineRule="auto"/>
        <w:tabs>
          <w:tab w:leader="none" w:pos="127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for it and its Subsidiaries to carry on their respective business, and which are material where failure to obtain or effect those Authorisations would reasonably be expected to have a Material Adverse Effect,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4"/>
          <w:szCs w:val="14"/>
          <w:b w:val="1"/>
          <w:bCs w:val="1"/>
          <w:color w:val="auto"/>
        </w:rPr>
        <w:t>Governing law and enforcement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Legal Reservations:</w:t>
      </w:r>
    </w:p>
    <w:p>
      <w:pPr>
        <w:spacing w:after="0" w:line="219" w:lineRule="exact"/>
        <w:rPr>
          <w:sz w:val="20"/>
          <w:szCs w:val="20"/>
          <w:color w:val="auto"/>
        </w:rPr>
      </w:pPr>
    </w:p>
    <w:p>
      <w:pPr>
        <w:ind w:left="1260" w:right="860" w:hanging="559"/>
        <w:spacing w:after="0" w:line="267" w:lineRule="auto"/>
        <w:tabs>
          <w:tab w:leader="none" w:pos="126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choice of Hong Kong law as the governing law of the Finance Documents will be recognised and enforced in its jurisdiction of incorporation; and</w:t>
      </w:r>
    </w:p>
    <w:p>
      <w:pPr>
        <w:spacing w:after="0" w:line="178" w:lineRule="exact"/>
        <w:rPr>
          <w:rFonts w:ascii="Arial" w:cs="Arial" w:eastAsia="Arial" w:hAnsi="Arial"/>
          <w:sz w:val="18"/>
          <w:szCs w:val="18"/>
          <w:color w:val="auto"/>
        </w:rPr>
      </w:pPr>
    </w:p>
    <w:p>
      <w:pPr>
        <w:ind w:left="5620" w:hanging="4919"/>
        <w:spacing w:after="0" w:line="514" w:lineRule="auto"/>
        <w:tabs>
          <w:tab w:leader="none" w:pos="126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judgment obtained in Hong Kong in relation to any Finance Document will be recognised and enforced in its jurisdiction of incorporation.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26948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12" w:name="page213"/>
    <w:bookmarkEnd w:id="212"/>
    <w:p>
      <w:pPr>
        <w:spacing w:after="0"/>
        <w:tabs>
          <w:tab w:leader="none" w:pos="68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4"/>
          <w:szCs w:val="14"/>
          <w:b w:val="1"/>
          <w:bCs w:val="1"/>
          <w:color w:val="auto"/>
        </w:rPr>
        <w:t>Deduction of Tax</w:t>
      </w:r>
    </w:p>
    <w:p>
      <w:pPr>
        <w:spacing w:after="0" w:line="225" w:lineRule="exact"/>
        <w:rPr>
          <w:sz w:val="20"/>
          <w:szCs w:val="20"/>
          <w:color w:val="auto"/>
        </w:rPr>
      </w:pPr>
    </w:p>
    <w:p>
      <w:pPr>
        <w:ind w:left="700" w:right="540"/>
        <w:spacing w:after="0" w:line="267" w:lineRule="auto"/>
        <w:rPr>
          <w:sz w:val="20"/>
          <w:szCs w:val="20"/>
          <w:color w:val="auto"/>
        </w:rPr>
      </w:pPr>
      <w:r>
        <w:rPr>
          <w:rFonts w:ascii="Arial" w:cs="Arial" w:eastAsia="Arial" w:hAnsi="Arial"/>
          <w:sz w:val="18"/>
          <w:szCs w:val="18"/>
          <w:color w:val="auto"/>
        </w:rPr>
        <w:t>As at the date of this agreement, it is not required under the law applicable where it is incorporated or resident or at the address specified in this agreement to make any Tax Deduction from any payment it may make under any Finance Document.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4"/>
          <w:szCs w:val="14"/>
          <w:b w:val="1"/>
          <w:bCs w:val="1"/>
          <w:color w:val="auto"/>
        </w:rPr>
        <w:t>No filing or stamp taxes</w:t>
      </w:r>
    </w:p>
    <w:p>
      <w:pPr>
        <w:spacing w:after="0" w:line="225"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 except that:</w:t>
      </w:r>
    </w:p>
    <w:p>
      <w:pPr>
        <w:spacing w:after="0" w:line="188" w:lineRule="exact"/>
        <w:rPr>
          <w:sz w:val="20"/>
          <w:szCs w:val="20"/>
          <w:color w:val="auto"/>
        </w:rPr>
      </w:pPr>
    </w:p>
    <w:p>
      <w:pPr>
        <w:ind w:left="1260" w:right="100" w:hanging="559"/>
        <w:spacing w:after="0" w:line="267" w:lineRule="auto"/>
        <w:tabs>
          <w:tab w:leader="none" w:pos="126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Cayman Islands stamp duty will be payable on a Finance Document if that Finance Document is executed in, or an original is brought into, or produced before a court of, the Cayman Islands; and</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required) filing with (and reporting to) NDRC in respect of the Facility as foreign debt, which shall be effected when so required.</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4"/>
          <w:szCs w:val="14"/>
          <w:b w:val="1"/>
          <w:bCs w:val="1"/>
          <w:color w:val="auto"/>
        </w:rPr>
        <w:t>No default</w:t>
      </w:r>
    </w:p>
    <w:p>
      <w:pPr>
        <w:spacing w:after="0" w:line="225" w:lineRule="exact"/>
        <w:rPr>
          <w:sz w:val="20"/>
          <w:szCs w:val="20"/>
          <w:color w:val="auto"/>
        </w:rPr>
      </w:pPr>
    </w:p>
    <w:p>
      <w:pPr>
        <w:ind w:left="1260" w:right="20" w:hanging="559"/>
        <w:spacing w:after="0" w:line="267" w:lineRule="auto"/>
        <w:tabs>
          <w:tab w:leader="none" w:pos="126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So far as it is aware but after making due enquiry, no Event of Default is continuing or might reasonably be expected to result from the making of any Utilisation which has not been notified to the Agent.</w:t>
      </w:r>
    </w:p>
    <w:p>
      <w:pPr>
        <w:spacing w:after="0" w:line="178" w:lineRule="exact"/>
        <w:rPr>
          <w:rFonts w:ascii="Arial" w:cs="Arial" w:eastAsia="Arial" w:hAnsi="Arial"/>
          <w:sz w:val="18"/>
          <w:szCs w:val="18"/>
          <w:color w:val="auto"/>
        </w:rPr>
      </w:pPr>
    </w:p>
    <w:p>
      <w:pPr>
        <w:jc w:val="both"/>
        <w:ind w:left="1260" w:right="220" w:hanging="559"/>
        <w:spacing w:after="0" w:line="304" w:lineRule="auto"/>
        <w:tabs>
          <w:tab w:leader="none" w:pos="127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So far as it is aware but after making due enquiry, no other event or circumstance is outstanding which constitutes a default under any other agreement or instrument which is binding on it or any of its Material Subsidiaries or to which its (or any of its Material Subsidiaries’) assets are subject to an extent or in a manner which has or would reasonably be expected to have a Material Adverse Effect.</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6"/>
          <w:szCs w:val="16"/>
          <w:b w:val="1"/>
          <w:bCs w:val="1"/>
          <w:color w:val="auto"/>
        </w:rPr>
        <w:t>No misleading information</w:t>
      </w:r>
    </w:p>
    <w:p>
      <w:pPr>
        <w:spacing w:after="0" w:line="219" w:lineRule="exact"/>
        <w:rPr>
          <w:sz w:val="20"/>
          <w:szCs w:val="20"/>
          <w:color w:val="auto"/>
        </w:rPr>
      </w:pPr>
    </w:p>
    <w:p>
      <w:pPr>
        <w:ind w:left="1260" w:right="100" w:hanging="559"/>
        <w:spacing w:after="0" w:line="260" w:lineRule="auto"/>
        <w:tabs>
          <w:tab w:leader="none" w:pos="126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written factual information (other than information of a general economic nature) (the “</w:t>
      </w:r>
      <w:r>
        <w:rPr>
          <w:rFonts w:ascii="Arial" w:cs="Arial" w:eastAsia="Arial" w:hAnsi="Arial"/>
          <w:sz w:val="18"/>
          <w:szCs w:val="18"/>
          <w:b w:val="1"/>
          <w:bCs w:val="1"/>
          <w:color w:val="auto"/>
        </w:rPr>
        <w:t>Information</w:t>
      </w:r>
      <w:r>
        <w:rPr>
          <w:rFonts w:ascii="Arial" w:cs="Arial" w:eastAsia="Arial" w:hAnsi="Arial"/>
          <w:sz w:val="18"/>
          <w:szCs w:val="18"/>
          <w:color w:val="auto"/>
        </w:rPr>
        <w:t>”) contained in or provided by or on behalf of the Borrower for the purposes of the Information Memorandum was true and accurate in all material respects as at the date it was provided or as at the date (if any) at which it is stated.</w:t>
      </w:r>
    </w:p>
    <w:p>
      <w:pPr>
        <w:spacing w:after="0" w:line="185" w:lineRule="exact"/>
        <w:rPr>
          <w:rFonts w:ascii="Arial" w:cs="Arial" w:eastAsia="Arial" w:hAnsi="Arial"/>
          <w:sz w:val="18"/>
          <w:szCs w:val="18"/>
          <w:color w:val="auto"/>
        </w:rPr>
      </w:pPr>
    </w:p>
    <w:p>
      <w:pPr>
        <w:ind w:left="1260" w:right="240" w:hanging="559"/>
        <w:spacing w:after="0" w:line="330" w:lineRule="auto"/>
        <w:tabs>
          <w:tab w:leader="none" w:pos="127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No event or circumstances has occurred or been omitted from the Information Memorandum and no material Information has been given or withheld that results in the Information contained in the Information Memorandum being untrue or misleading in any material respect.</w:t>
      </w:r>
    </w:p>
    <w:p>
      <w:pPr>
        <w:spacing w:after="0" w:line="133" w:lineRule="exact"/>
        <w:rPr>
          <w:rFonts w:ascii="Arial" w:cs="Arial" w:eastAsia="Arial" w:hAnsi="Arial"/>
          <w:sz w:val="16"/>
          <w:szCs w:val="16"/>
          <w:color w:val="auto"/>
        </w:rPr>
      </w:pPr>
    </w:p>
    <w:p>
      <w:pPr>
        <w:ind w:left="1260" w:hanging="559"/>
        <w:spacing w:after="0" w:line="257" w:lineRule="auto"/>
        <w:tabs>
          <w:tab w:leader="none" w:pos="127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written (including by way of electronic mail or other electronic means) information (other than the Information Memorandum) supplied by or on behalf of the Borrower in connection with the Finance Documents was true, complete and accurate in all material respects as at the date it was given or (if any) as at the date it is stated and is not misleading in any material respect.</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4"/>
          <w:szCs w:val="14"/>
          <w:b w:val="1"/>
          <w:bCs w:val="1"/>
          <w:color w:val="auto"/>
        </w:rPr>
        <w:t>Financial statements</w:t>
      </w:r>
    </w:p>
    <w:p>
      <w:pPr>
        <w:spacing w:after="0" w:line="225" w:lineRule="exact"/>
        <w:rPr>
          <w:sz w:val="20"/>
          <w:szCs w:val="20"/>
          <w:color w:val="auto"/>
        </w:rPr>
      </w:pPr>
    </w:p>
    <w:p>
      <w:pPr>
        <w:ind w:left="1260" w:right="180" w:hanging="559"/>
        <w:spacing w:after="0" w:line="330" w:lineRule="auto"/>
        <w:tabs>
          <w:tab w:leader="none" w:pos="126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Its financial statements most recently supplied to the Agent (which, at the date of this agreement, are its Original Financial Statements) were prepared in accordance with GAAP consistently applied save to the extent expressly disclosed in such financial statements.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3" w:name="page214"/>
    <w:bookmarkEnd w:id="213"/>
    <w:p>
      <w:pPr>
        <w:ind w:left="1260" w:right="80" w:hanging="559"/>
        <w:spacing w:after="0" w:line="279" w:lineRule="auto"/>
        <w:tabs>
          <w:tab w:leader="none" w:pos="127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Its financial statements most recently supplied to the Agent (which, at the date of this agreement, are its Original Financial Statements) give a true and fair view of (if audited) or fairly represent (if unaudited) the consolidated financial condition and operations for the period to which the financial statements relate, save to the extent expressly disclosed in such financial statements.</w:t>
      </w:r>
    </w:p>
    <w:p>
      <w:pPr>
        <w:spacing w:after="0" w:line="170" w:lineRule="exact"/>
        <w:rPr>
          <w:rFonts w:ascii="Arial" w:cs="Arial" w:eastAsia="Arial" w:hAnsi="Arial"/>
          <w:sz w:val="17"/>
          <w:szCs w:val="17"/>
          <w:color w:val="auto"/>
        </w:rPr>
      </w:pPr>
    </w:p>
    <w:p>
      <w:pPr>
        <w:ind w:left="1260" w:right="440" w:hanging="559"/>
        <w:spacing w:after="0" w:line="267" w:lineRule="auto"/>
        <w:tabs>
          <w:tab w:leader="none" w:pos="127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At the date of this agreement, there has been no material adverse change in the business or consolidated financial condition of the Group (taken as a whole) since 31 December 2017.</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b w:val="1"/>
          <w:bCs w:val="1"/>
          <w:color w:val="auto"/>
        </w:rPr>
        <w:t>Pari passu ranking</w:t>
      </w:r>
    </w:p>
    <w:p>
      <w:pPr>
        <w:spacing w:after="0" w:line="225" w:lineRule="exact"/>
        <w:rPr>
          <w:sz w:val="20"/>
          <w:szCs w:val="20"/>
          <w:color w:val="auto"/>
        </w:rPr>
      </w:pPr>
    </w:p>
    <w:p>
      <w:pPr>
        <w:ind w:left="700" w:right="640"/>
        <w:spacing w:after="0" w:line="267" w:lineRule="auto"/>
        <w:rPr>
          <w:sz w:val="20"/>
          <w:szCs w:val="20"/>
          <w:color w:val="auto"/>
        </w:rPr>
      </w:pPr>
      <w:r>
        <w:rPr>
          <w:rFonts w:ascii="Arial" w:cs="Arial" w:eastAsia="Arial" w:hAnsi="Arial"/>
          <w:sz w:val="18"/>
          <w:szCs w:val="18"/>
          <w:color w:val="auto"/>
        </w:rPr>
        <w:t>Its payment obligations under the Finance Documents rank at least pari passu with the claims of all of its other unsecured and unsubordinated creditors, except for obligations mandatorily preferred by law applying to companies generally.</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4"/>
          <w:szCs w:val="14"/>
          <w:b w:val="1"/>
          <w:bCs w:val="1"/>
          <w:color w:val="auto"/>
        </w:rPr>
        <w:t>No proceedings pending or threatened</w:t>
      </w:r>
    </w:p>
    <w:p>
      <w:pPr>
        <w:spacing w:after="0" w:line="225" w:lineRule="exact"/>
        <w:rPr>
          <w:sz w:val="20"/>
          <w:szCs w:val="20"/>
          <w:color w:val="auto"/>
        </w:rPr>
      </w:pPr>
    </w:p>
    <w:p>
      <w:pPr>
        <w:jc w:val="both"/>
        <w:ind w:left="700" w:right="180"/>
        <w:spacing w:after="0" w:line="279" w:lineRule="auto"/>
        <w:rPr>
          <w:sz w:val="20"/>
          <w:szCs w:val="20"/>
          <w:color w:val="auto"/>
        </w:rPr>
      </w:pPr>
      <w:r>
        <w:rPr>
          <w:rFonts w:ascii="Arial" w:cs="Arial" w:eastAsia="Arial" w:hAnsi="Arial"/>
          <w:sz w:val="17"/>
          <w:szCs w:val="17"/>
          <w:color w:val="auto"/>
        </w:rPr>
        <w:t>No litigation, arbitration, investigation or administrative proceedings of or before any court, arbitral body or agency which is reasonably likely to be adversely determined and if so determined, would reasonably be expected to have a Material Adverse Effect have (to the best of its knowledge and belief) been started or threatened in writing, or are pending, against it or any of its Subsidiaries.</w:t>
      </w:r>
    </w:p>
    <w:p>
      <w:pPr>
        <w:spacing w:after="0" w:line="1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4"/>
          <w:szCs w:val="14"/>
          <w:b w:val="1"/>
          <w:bCs w:val="1"/>
          <w:color w:val="auto"/>
        </w:rPr>
        <w:t>Authorised signatures</w:t>
      </w:r>
    </w:p>
    <w:p>
      <w:pPr>
        <w:spacing w:after="0" w:line="225" w:lineRule="exact"/>
        <w:rPr>
          <w:sz w:val="20"/>
          <w:szCs w:val="20"/>
          <w:color w:val="auto"/>
        </w:rPr>
      </w:pPr>
    </w:p>
    <w:p>
      <w:pPr>
        <w:ind w:left="700" w:right="880"/>
        <w:spacing w:after="0" w:line="257" w:lineRule="auto"/>
        <w:rPr>
          <w:sz w:val="20"/>
          <w:szCs w:val="20"/>
          <w:color w:val="auto"/>
        </w:rPr>
      </w:pPr>
      <w:r>
        <w:rPr>
          <w:rFonts w:ascii="Arial" w:cs="Arial" w:eastAsia="Arial" w:hAnsi="Arial"/>
          <w:sz w:val="18"/>
          <w:szCs w:val="18"/>
          <w:color w:val="auto"/>
        </w:rPr>
        <w:t>Any person specified as its authorised signatory under Schedule 2 (Conditions Precedent) or paragraph (d) of Clause 18.4 (Information: miscellaneous) (in each case, to the extent not replaced as notified by the Borrower pursuant to paragraph (d) of Clause 18.4 (Information: miscellaneous)) is authorised to sign Utilisation Requests and other notices on its behalf.</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b w:val="1"/>
          <w:bCs w:val="1"/>
          <w:color w:val="auto"/>
        </w:rPr>
        <w:t>Sanctions, anti-terrorism, anti-money laundering and anti-corruption</w:t>
      </w:r>
    </w:p>
    <w:p>
      <w:pPr>
        <w:spacing w:after="0" w:line="225" w:lineRule="exact"/>
        <w:rPr>
          <w:sz w:val="20"/>
          <w:szCs w:val="20"/>
          <w:color w:val="auto"/>
        </w:rPr>
      </w:pPr>
    </w:p>
    <w:p>
      <w:pPr>
        <w:ind w:left="1260" w:right="580" w:hanging="559"/>
        <w:spacing w:after="0" w:line="267" w:lineRule="auto"/>
        <w:tabs>
          <w:tab w:leader="none" w:pos="126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None of the Borrower, any of its Subsidiaries, any director or officer, or any employee, agent, or affiliate, of the Borrower or any of its Subsidiaries or, to its knowledge, any agent of, or any person acting on behalf of, any of the foregoing:</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is a Restricted Party; or</w:t>
      </w:r>
    </w:p>
    <w:p>
      <w:pPr>
        <w:spacing w:after="0" w:line="219" w:lineRule="exact"/>
        <w:rPr>
          <w:rFonts w:ascii="Arial" w:cs="Arial" w:eastAsia="Arial" w:hAnsi="Arial"/>
          <w:sz w:val="18"/>
          <w:szCs w:val="18"/>
          <w:color w:val="auto"/>
        </w:rPr>
      </w:pPr>
    </w:p>
    <w:p>
      <w:pPr>
        <w:ind w:left="1800" w:right="320" w:hanging="545"/>
        <w:spacing w:after="0" w:line="267" w:lineRule="auto"/>
        <w:tabs>
          <w:tab w:leader="none" w:pos="183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78" w:lineRule="exact"/>
        <w:rPr>
          <w:rFonts w:ascii="Arial" w:cs="Arial" w:eastAsia="Arial" w:hAnsi="Arial"/>
          <w:sz w:val="18"/>
          <w:szCs w:val="18"/>
          <w:color w:val="auto"/>
        </w:rPr>
      </w:pPr>
    </w:p>
    <w:p>
      <w:pPr>
        <w:ind w:left="1260" w:right="160" w:hanging="559"/>
        <w:spacing w:after="0" w:line="267" w:lineRule="auto"/>
        <w:tabs>
          <w:tab w:leader="none" w:pos="127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member of the Group or any director, officer or employee of any member of the Group or, to its knowledge, any agent of any member of the Group is in violation of any applicable Sanctions.</w:t>
      </w:r>
    </w:p>
    <w:p>
      <w:pPr>
        <w:spacing w:after="0" w:line="178" w:lineRule="exact"/>
        <w:rPr>
          <w:rFonts w:ascii="Arial" w:cs="Arial" w:eastAsia="Arial" w:hAnsi="Arial"/>
          <w:sz w:val="18"/>
          <w:szCs w:val="18"/>
          <w:color w:val="auto"/>
        </w:rPr>
      </w:pPr>
    </w:p>
    <w:p>
      <w:pPr>
        <w:ind w:left="1260" w:hanging="559"/>
        <w:spacing w:after="0" w:line="253" w:lineRule="auto"/>
        <w:tabs>
          <w:tab w:leader="none" w:pos="127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member of the Group or any director, officer or employee of any member of the Group or, to its knowledge, any person acting on behalf of any member of the Group has received, funds or other property from a Restricted Party in violation of any applicable Sanctions or has conducted, any activities or business dealings, directly or indirectly, with or for the benefit of a Restricted Party in violation of any applicable Sanctions.</w:t>
      </w:r>
    </w:p>
    <w:p>
      <w:pPr>
        <w:spacing w:after="0" w:line="192" w:lineRule="exact"/>
        <w:rPr>
          <w:rFonts w:ascii="Arial" w:cs="Arial" w:eastAsia="Arial" w:hAnsi="Arial"/>
          <w:sz w:val="18"/>
          <w:szCs w:val="18"/>
          <w:color w:val="auto"/>
        </w:rPr>
      </w:pPr>
    </w:p>
    <w:p>
      <w:pPr>
        <w:ind w:left="1260" w:right="320" w:hanging="559"/>
        <w:spacing w:after="0" w:line="267" w:lineRule="auto"/>
        <w:tabs>
          <w:tab w:leader="none" w:pos="127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None of the Borrower or any other member of the Group has any business operations or other dealings with any Restricted Party or in any Sanctioned Jurisdiction.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14" w:name="page215"/>
    <w:bookmarkEnd w:id="214"/>
    <w:p>
      <w:pPr>
        <w:ind w:left="559" w:hanging="559"/>
        <w:spacing w:after="0" w:line="253" w:lineRule="auto"/>
        <w:tabs>
          <w:tab w:leader="none" w:pos="57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 member of the Group or any director, officer or employee of any member of the Group or, to its knowledge, any person acting on behalf of any member of the Group is engaging or has engaged directly or indirectly, in any transaction or conduct that would reasonably be expected to result in it becoming a Restricted Party, or which evades or avoids any applicable prohibitions or restrictions set forth in any applicable Sanctions.</w:t>
      </w:r>
    </w:p>
    <w:p>
      <w:pPr>
        <w:spacing w:after="0" w:line="192" w:lineRule="exact"/>
        <w:rPr>
          <w:rFonts w:ascii="Arial" w:cs="Arial" w:eastAsia="Arial" w:hAnsi="Arial"/>
          <w:sz w:val="18"/>
          <w:szCs w:val="18"/>
          <w:color w:val="auto"/>
        </w:rPr>
      </w:pPr>
    </w:p>
    <w:p>
      <w:pPr>
        <w:ind w:left="559" w:right="660" w:hanging="559"/>
        <w:spacing w:after="0" w:line="267" w:lineRule="auto"/>
        <w:tabs>
          <w:tab w:leader="none" w:pos="56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 member of the Group or any director, officer or employee of any member of the Group or, to its knowledge, any affiliate, agent or representative of, or any person acting on behalf of any member of the Group:</w:t>
      </w:r>
    </w:p>
    <w:p>
      <w:pPr>
        <w:spacing w:after="0" w:line="178" w:lineRule="exact"/>
        <w:rPr>
          <w:rFonts w:ascii="Arial" w:cs="Arial" w:eastAsia="Arial" w:hAnsi="Arial"/>
          <w:sz w:val="18"/>
          <w:szCs w:val="18"/>
          <w:color w:val="auto"/>
        </w:rPr>
      </w:pPr>
    </w:p>
    <w:p>
      <w:pPr>
        <w:ind w:left="1139" w:hanging="585"/>
        <w:spacing w:after="0"/>
        <w:tabs>
          <w:tab w:leader="none" w:pos="113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has taken any action, directly or indirectly, that would result in a violation by such persons of any Anti-Bribery and Corruption Laws;</w:t>
      </w:r>
    </w:p>
    <w:p>
      <w:pPr>
        <w:spacing w:after="0" w:line="242" w:lineRule="exact"/>
        <w:rPr>
          <w:rFonts w:ascii="Arial" w:cs="Arial" w:eastAsia="Arial" w:hAnsi="Arial"/>
          <w:sz w:val="16"/>
          <w:szCs w:val="16"/>
          <w:color w:val="auto"/>
        </w:rPr>
      </w:pPr>
    </w:p>
    <w:p>
      <w:pPr>
        <w:jc w:val="both"/>
        <w:ind w:left="1099" w:right="640" w:hanging="545"/>
        <w:spacing w:after="0" w:line="257" w:lineRule="auto"/>
        <w:tabs>
          <w:tab w:leader="none" w:pos="113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has directly or indirectly paid, given or offered or promised to pay or give, or authorised the payment or giving of, directly or indirectly, any unlawful payment or improper transfer of value within the meaning of the FCPA or any other Anti-Bribery and Corruption Laws;</w:t>
      </w:r>
    </w:p>
    <w:p>
      <w:pPr>
        <w:spacing w:after="0" w:line="187" w:lineRule="exact"/>
        <w:rPr>
          <w:rFonts w:ascii="Arial" w:cs="Arial" w:eastAsia="Arial" w:hAnsi="Arial"/>
          <w:sz w:val="18"/>
          <w:szCs w:val="18"/>
          <w:color w:val="auto"/>
        </w:rPr>
      </w:pPr>
    </w:p>
    <w:p>
      <w:pPr>
        <w:ind w:left="1099" w:right="460" w:hanging="545"/>
        <w:spacing w:after="0" w:line="257" w:lineRule="auto"/>
        <w:tabs>
          <w:tab w:leader="none" w:pos="114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has directly or indirectly used any corporate funds for any unlawful contribution, gift, entertainment or other unlawful expense relating to political office or activity or made any direct or indirect unlawful payment or improper transfer of value to any public official or any company employee from corporate funds; or</w:t>
      </w:r>
    </w:p>
    <w:p>
      <w:pPr>
        <w:spacing w:after="0" w:line="187" w:lineRule="exact"/>
        <w:rPr>
          <w:rFonts w:ascii="Arial" w:cs="Arial" w:eastAsia="Arial" w:hAnsi="Arial"/>
          <w:sz w:val="18"/>
          <w:szCs w:val="18"/>
          <w:color w:val="auto"/>
        </w:rPr>
      </w:pPr>
    </w:p>
    <w:p>
      <w:pPr>
        <w:ind w:left="1099" w:right="60" w:hanging="545"/>
        <w:spacing w:after="0" w:line="257" w:lineRule="auto"/>
        <w:tabs>
          <w:tab w:leader="none" w:pos="112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has been subject to any action, suit, proceeding, arbitration, litigation, regulatory or criminal investigation with regard to any actual or alleged unlawful payment, improper transfer of value or violation in any way of the FCPA or any other Anti-Bribery and Corruption Laws.</w:t>
      </w:r>
    </w:p>
    <w:p>
      <w:pPr>
        <w:spacing w:after="0" w:line="187" w:lineRule="exact"/>
        <w:rPr>
          <w:rFonts w:ascii="Arial" w:cs="Arial" w:eastAsia="Arial" w:hAnsi="Arial"/>
          <w:sz w:val="18"/>
          <w:szCs w:val="18"/>
          <w:color w:val="auto"/>
        </w:rPr>
      </w:pPr>
    </w:p>
    <w:p>
      <w:pPr>
        <w:ind w:left="559" w:right="180" w:hanging="559"/>
        <w:spacing w:after="0" w:line="267" w:lineRule="auto"/>
        <w:tabs>
          <w:tab w:leader="none" w:pos="58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 member of the Group or any director, officer or employee of any member of the Group or, to its knowledge, any person acting on behalf of, any member of the Group is in violation of any Anti-Money Laundering Laws or Anti-Terrorism Laws.</w:t>
      </w:r>
    </w:p>
    <w:p>
      <w:pPr>
        <w:spacing w:after="0" w:line="178" w:lineRule="exact"/>
        <w:rPr>
          <w:rFonts w:ascii="Arial" w:cs="Arial" w:eastAsia="Arial" w:hAnsi="Arial"/>
          <w:sz w:val="18"/>
          <w:szCs w:val="18"/>
          <w:color w:val="auto"/>
        </w:rPr>
      </w:pPr>
    </w:p>
    <w:p>
      <w:pPr>
        <w:ind w:left="559" w:right="140" w:hanging="559"/>
        <w:spacing w:after="0" w:line="267" w:lineRule="auto"/>
        <w:tabs>
          <w:tab w:leader="none" w:pos="57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Borrower and, to the knowledge of the Borrower, its affiliates have instituted and maintained systems, controls, policies, procedures and other arrangements designed to:</w:t>
      </w:r>
    </w:p>
    <w:p>
      <w:pPr>
        <w:spacing w:after="0" w:line="178" w:lineRule="exact"/>
        <w:rPr>
          <w:rFonts w:ascii="Arial" w:cs="Arial" w:eastAsia="Arial" w:hAnsi="Arial"/>
          <w:sz w:val="18"/>
          <w:szCs w:val="18"/>
          <w:color w:val="auto"/>
        </w:rPr>
      </w:pPr>
    </w:p>
    <w:p>
      <w:pPr>
        <w:ind w:left="1099" w:right="40" w:hanging="545"/>
        <w:spacing w:after="0" w:line="267" w:lineRule="auto"/>
        <w:tabs>
          <w:tab w:leader="none" w:pos="112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promote and ensure, and which are reasonably expected to continue to ensure, compliance by the Group with all applicable Sanctions, Anti-Bribery and Corruption Laws, Anti-Money Laundering Laws and Anti-Terrorism Laws; and</w:t>
      </w:r>
    </w:p>
    <w:p>
      <w:pPr>
        <w:spacing w:after="0" w:line="178" w:lineRule="exact"/>
        <w:rPr>
          <w:rFonts w:ascii="Arial" w:cs="Arial" w:eastAsia="Arial" w:hAnsi="Arial"/>
          <w:sz w:val="18"/>
          <w:szCs w:val="18"/>
          <w:color w:val="auto"/>
        </w:rPr>
      </w:pPr>
    </w:p>
    <w:p>
      <w:pPr>
        <w:ind w:left="1139" w:hanging="585"/>
        <w:spacing w:after="0"/>
        <w:tabs>
          <w:tab w:leader="none" w:pos="113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detect incidences of bribery and corruption.</w:t>
      </w:r>
    </w:p>
    <w:p>
      <w:pPr>
        <w:spacing w:after="0" w:line="219" w:lineRule="exact"/>
        <w:rPr>
          <w:rFonts w:ascii="Arial" w:cs="Arial" w:eastAsia="Arial" w:hAnsi="Arial"/>
          <w:sz w:val="18"/>
          <w:szCs w:val="18"/>
          <w:color w:val="auto"/>
        </w:rPr>
      </w:pPr>
    </w:p>
    <w:p>
      <w:pPr>
        <w:ind w:left="559" w:right="140" w:hanging="559"/>
        <w:spacing w:after="0" w:line="257" w:lineRule="auto"/>
        <w:tabs>
          <w:tab w:leader="none" w:pos="58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 action, suit, proceeding, arbitration, litigation, regulatory or criminal investigation involving the Borrower, any of its Subsidiaries, any of their Affiliates or any of their respective directors, officers, agents or employees, in each case, with respect to any Anti-Money Laundering Laws or Anti-Terrorism Laws is pending or, to its knowledge, threatened.</w:t>
      </w:r>
    </w:p>
    <w:p>
      <w:pPr>
        <w:spacing w:after="0" w:line="187" w:lineRule="exact"/>
        <w:rPr>
          <w:rFonts w:ascii="Arial" w:cs="Arial" w:eastAsia="Arial" w:hAnsi="Arial"/>
          <w:sz w:val="18"/>
          <w:szCs w:val="18"/>
          <w:color w:val="auto"/>
        </w:rPr>
      </w:pPr>
    </w:p>
    <w:p>
      <w:pPr>
        <w:ind w:left="559" w:right="260" w:hanging="559"/>
        <w:spacing w:after="0" w:line="267" w:lineRule="auto"/>
        <w:tabs>
          <w:tab w:leader="none" w:pos="57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operations of the Borrower, its Subsidiaries and their Affiliates are and have been conducted at all times in compliance with applicable Anti-Money Laundering Laws and Anti-Bribery and Corruption Laws.</w:t>
      </w:r>
    </w:p>
    <w:p>
      <w:pPr>
        <w:spacing w:after="0" w:line="179"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26948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99"/>
          </w:cols>
          <w:pgMar w:left="941" w:top="340" w:right="259" w:bottom="1440" w:gutter="0" w:footer="0" w:header="0"/>
        </w:sectPr>
      </w:pPr>
    </w:p>
    <w:bookmarkStart w:id="215" w:name="page216"/>
    <w:bookmarkEnd w:id="215"/>
    <w:p>
      <w:pPr>
        <w:spacing w:after="0"/>
        <w:tabs>
          <w:tab w:leader="none" w:pos="660" w:val="left"/>
        </w:tabs>
        <w:rPr>
          <w:sz w:val="20"/>
          <w:szCs w:val="20"/>
          <w:color w:val="auto"/>
        </w:rPr>
      </w:pPr>
      <w:r>
        <w:rPr>
          <w:rFonts w:ascii="Arial" w:cs="Arial" w:eastAsia="Arial" w:hAnsi="Arial"/>
          <w:sz w:val="18"/>
          <w:szCs w:val="18"/>
          <w:color w:val="auto"/>
        </w:rPr>
        <w:t>17.16</w:t>
      </w:r>
      <w:r>
        <w:rPr>
          <w:sz w:val="20"/>
          <w:szCs w:val="20"/>
          <w:color w:val="auto"/>
        </w:rPr>
        <w:tab/>
      </w:r>
      <w:r>
        <w:rPr>
          <w:rFonts w:ascii="Arial" w:cs="Arial" w:eastAsia="Arial" w:hAnsi="Arial"/>
          <w:sz w:val="16"/>
          <w:szCs w:val="16"/>
          <w:b w:val="1"/>
          <w:bCs w:val="1"/>
          <w:color w:val="auto"/>
        </w:rPr>
        <w:t>List of Material Subsidiaries</w:t>
      </w:r>
    </w:p>
    <w:p>
      <w:pPr>
        <w:spacing w:after="0" w:line="225" w:lineRule="exact"/>
        <w:rPr>
          <w:sz w:val="20"/>
          <w:szCs w:val="20"/>
          <w:color w:val="auto"/>
        </w:rPr>
      </w:pPr>
    </w:p>
    <w:p>
      <w:pPr>
        <w:ind w:left="700" w:right="200"/>
        <w:spacing w:after="0" w:line="267" w:lineRule="auto"/>
        <w:rPr>
          <w:sz w:val="20"/>
          <w:szCs w:val="20"/>
          <w:color w:val="auto"/>
        </w:rPr>
      </w:pPr>
      <w:r>
        <w:rPr>
          <w:rFonts w:ascii="Arial" w:cs="Arial" w:eastAsia="Arial" w:hAnsi="Arial"/>
          <w:sz w:val="18"/>
          <w:szCs w:val="18"/>
          <w:color w:val="auto"/>
        </w:rPr>
        <w:t>The list of Material Subsidiaries delivered to the Agent pursuant to Clause 4.1 (Initial conditions precedent) is true, complete and accurate as at the end of the financial year of the Borrower most recently ended prior to the date of this agreement.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17.17</w:t>
      </w:r>
      <w:r>
        <w:rPr>
          <w:sz w:val="20"/>
          <w:szCs w:val="20"/>
          <w:color w:val="auto"/>
        </w:rPr>
        <w:tab/>
      </w:r>
      <w:r>
        <w:rPr>
          <w:rFonts w:ascii="Arial" w:cs="Arial" w:eastAsia="Arial" w:hAnsi="Arial"/>
          <w:sz w:val="16"/>
          <w:szCs w:val="16"/>
          <w:b w:val="1"/>
          <w:bCs w:val="1"/>
          <w:color w:val="auto"/>
        </w:rPr>
        <w:t>Repetition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Repeating Representations are deemed to be made by the Borrower by reference to the facts and circumstances then existing on:</w:t>
      </w:r>
    </w:p>
    <w:p>
      <w:pPr>
        <w:spacing w:after="0" w:line="231" w:lineRule="exact"/>
        <w:rPr>
          <w:sz w:val="20"/>
          <w:szCs w:val="20"/>
          <w:color w:val="auto"/>
        </w:rPr>
      </w:pPr>
    </w:p>
    <w:p>
      <w:pPr>
        <w:ind w:left="1260" w:hanging="559"/>
        <w:spacing w:after="0"/>
        <w:tabs>
          <w:tab w:leader="none" w:pos="12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date of each Utilisation Request;</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each Utilisation Date;</w:t>
      </w:r>
    </w:p>
    <w:p>
      <w:pPr>
        <w:spacing w:after="0" w:line="219" w:lineRule="exact"/>
        <w:rPr>
          <w:rFonts w:ascii="Arial" w:cs="Arial" w:eastAsia="Arial" w:hAnsi="Arial"/>
          <w:sz w:val="18"/>
          <w:szCs w:val="18"/>
          <w:color w:val="auto"/>
        </w:rPr>
      </w:pPr>
    </w:p>
    <w:p>
      <w:pPr>
        <w:ind w:left="1280" w:hanging="579"/>
        <w:spacing w:after="0"/>
        <w:tabs>
          <w:tab w:leader="none" w:pos="12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first day of each Interest Period relating to any Loan.</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INFORMATION UNDERTAKINGS</w:t>
      </w:r>
    </w:p>
    <w:p>
      <w:pPr>
        <w:spacing w:after="0" w:line="225" w:lineRule="exact"/>
        <w:rPr>
          <w:rFonts w:ascii="Arial" w:cs="Arial" w:eastAsia="Arial" w:hAnsi="Arial"/>
          <w:sz w:val="18"/>
          <w:szCs w:val="18"/>
          <w:color w:val="auto"/>
        </w:rPr>
      </w:pPr>
    </w:p>
    <w:p>
      <w:pPr>
        <w:ind w:left="700" w:right="540"/>
        <w:spacing w:after="0" w:line="267" w:lineRule="auto"/>
        <w:rPr>
          <w:rFonts w:ascii="Arial" w:cs="Arial" w:eastAsia="Arial" w:hAnsi="Arial"/>
          <w:sz w:val="18"/>
          <w:szCs w:val="18"/>
          <w:color w:val="auto"/>
        </w:rPr>
      </w:pPr>
      <w:r>
        <w:rPr>
          <w:rFonts w:ascii="Arial" w:cs="Arial" w:eastAsia="Arial" w:hAnsi="Arial"/>
          <w:sz w:val="18"/>
          <w:szCs w:val="18"/>
          <w:color w:val="auto"/>
        </w:rPr>
        <w:t>The undertakings in this Clause 18 remain in force from the date of this agreement for so long as any amount is outstanding under the Finance Documents or any Commitment is in force.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4"/>
          <w:szCs w:val="14"/>
          <w:b w:val="1"/>
          <w:bCs w:val="1"/>
          <w:color w:val="auto"/>
        </w:rPr>
        <w:t>Financial statements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supply to the Agent in sufficient copies for all the Lenders:</w:t>
      </w:r>
    </w:p>
    <w:p>
      <w:pPr>
        <w:spacing w:after="0" w:line="219" w:lineRule="exact"/>
        <w:rPr>
          <w:sz w:val="20"/>
          <w:szCs w:val="20"/>
          <w:color w:val="auto"/>
        </w:rPr>
      </w:pPr>
    </w:p>
    <w:p>
      <w:pPr>
        <w:ind w:left="1260" w:hanging="559"/>
        <w:spacing w:after="0" w:line="253" w:lineRule="auto"/>
        <w:tabs>
          <w:tab w:leader="none" w:pos="126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150 days after the end of each of its financial years (or such other longer period for the release of such financial statements as permitted under the requirements of the listing rules or other regulations of NASDAQ as applicable to the Borrower), its audited consolidated financial statements for that financial year, audited by an independent firm of certified public accountants (which shall be one of the Auditors); and</w:t>
      </w:r>
    </w:p>
    <w:p>
      <w:pPr>
        <w:spacing w:after="0" w:line="192" w:lineRule="exact"/>
        <w:rPr>
          <w:rFonts w:ascii="Arial" w:cs="Arial" w:eastAsia="Arial" w:hAnsi="Arial"/>
          <w:sz w:val="18"/>
          <w:szCs w:val="18"/>
          <w:color w:val="auto"/>
        </w:rPr>
      </w:pPr>
    </w:p>
    <w:p>
      <w:pPr>
        <w:jc w:val="both"/>
        <w:ind w:left="1260" w:right="100" w:hanging="559"/>
        <w:spacing w:after="0" w:line="253" w:lineRule="auto"/>
        <w:tabs>
          <w:tab w:leader="none" w:pos="127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(or such longer period for the release of such financial statements as permitted under the requirements of the listing rules or other regulations of NASDAQ as applicable to the Borrower) after the end of each of its Financial Quarters (other than the fourth Financial Quarter of each Financial Year), the unaudited consolidated financial statements of the Borrower for that Financial Quarter,</w:t>
      </w:r>
    </w:p>
    <w:p>
      <w:pPr>
        <w:spacing w:after="0" w:line="193" w:lineRule="exact"/>
        <w:rPr>
          <w:sz w:val="20"/>
          <w:szCs w:val="20"/>
          <w:color w:val="auto"/>
        </w:rPr>
      </w:pPr>
    </w:p>
    <w:p>
      <w:pPr>
        <w:ind w:left="700" w:right="260"/>
        <w:spacing w:after="0" w:line="325" w:lineRule="auto"/>
        <w:rPr>
          <w:sz w:val="20"/>
          <w:szCs w:val="20"/>
          <w:color w:val="auto"/>
        </w:rPr>
      </w:pPr>
      <w:r>
        <w:rPr>
          <w:rFonts w:ascii="Arial" w:cs="Arial" w:eastAsia="Arial" w:hAnsi="Arial"/>
          <w:sz w:val="14"/>
          <w:szCs w:val="14"/>
          <w:color w:val="auto"/>
        </w:rPr>
        <w:t>provided that, in the case of any consolidated financial statements of the Borrower to be delivered pursuant to this Clause 18.1, such financial statements shall be deemed to be so delivered upon being posted onto any electronic website of (i) the U.S. Securities and Exchange Commission,</w:t>
      </w:r>
    </w:p>
    <w:p>
      <w:pPr>
        <w:spacing w:after="0" w:line="1" w:lineRule="exact"/>
        <w:rPr>
          <w:sz w:val="20"/>
          <w:szCs w:val="20"/>
          <w:color w:val="auto"/>
        </w:rPr>
      </w:pPr>
    </w:p>
    <w:p>
      <w:pPr>
        <w:ind w:right="5640" w:firstLine="701"/>
        <w:spacing w:after="0" w:line="487" w:lineRule="auto"/>
        <w:tabs>
          <w:tab w:leader="none" w:pos="95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NASDAQ and/or (iii) the Borrower that is accessible to the public. 18.2 </w:t>
      </w:r>
      <w:r>
        <w:rPr>
          <w:rFonts w:ascii="Arial" w:cs="Arial" w:eastAsia="Arial" w:hAnsi="Arial"/>
          <w:sz w:val="18"/>
          <w:szCs w:val="18"/>
          <w:b w:val="1"/>
          <w:bCs w:val="1"/>
          <w:color w:val="auto"/>
        </w:rPr>
        <w:t>Compliance Certificate</w:t>
      </w:r>
    </w:p>
    <w:p>
      <w:pPr>
        <w:spacing w:after="0" w:line="1" w:lineRule="exact"/>
        <w:rPr>
          <w:sz w:val="20"/>
          <w:szCs w:val="20"/>
          <w:color w:val="auto"/>
        </w:rPr>
      </w:pPr>
    </w:p>
    <w:p>
      <w:pPr>
        <w:ind w:left="1260" w:right="380" w:hanging="559"/>
        <w:spacing w:after="0" w:line="267" w:lineRule="auto"/>
        <w:tabs>
          <w:tab w:leader="none" w:pos="126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Borrower shall supply to the Agent, with each set of financial statements delivered pursuant to Clause 18.1 (Financial statements), a Compliance Certificate:</w:t>
      </w:r>
    </w:p>
    <w:p>
      <w:pPr>
        <w:spacing w:after="0" w:line="179" w:lineRule="exact"/>
        <w:rPr>
          <w:sz w:val="20"/>
          <w:szCs w:val="20"/>
          <w:color w:val="auto"/>
        </w:rPr>
      </w:pPr>
    </w:p>
    <w:p>
      <w:pPr>
        <w:ind w:left="1800" w:right="80" w:hanging="545"/>
        <w:spacing w:after="0" w:line="257" w:lineRule="auto"/>
        <w:tabs>
          <w:tab w:leader="none" w:pos="182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respect of any Financial Quarter ending 30 June or at the end of each of its Financial Year) setting out (in reasonable detail) computations as to compliance with Clause 19 (Financial Covenants) as at the date as at which (and in respect of the Relevant Period ending on the date at which) those financial statements were prepared;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216" w:name="page217"/>
    <w:bookmarkEnd w:id="216"/>
    <w:p>
      <w:pPr>
        <w:ind w:left="1800" w:right="80" w:hanging="545"/>
        <w:spacing w:after="0" w:line="267" w:lineRule="auto"/>
        <w:tabs>
          <w:tab w:leader="none" w:pos="183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confirming that no Default has occurred and is continuing or, if a Default is continuing, specifying the nature of such Default and the steps being taken to remedy such Default;</w:t>
      </w:r>
    </w:p>
    <w:p>
      <w:pPr>
        <w:spacing w:after="0" w:line="178" w:lineRule="exact"/>
        <w:rPr>
          <w:rFonts w:ascii="Arial" w:cs="Arial" w:eastAsia="Arial" w:hAnsi="Arial"/>
          <w:sz w:val="18"/>
          <w:szCs w:val="18"/>
          <w:color w:val="auto"/>
        </w:rPr>
      </w:pPr>
    </w:p>
    <w:p>
      <w:pPr>
        <w:ind w:left="1800" w:hanging="545"/>
        <w:spacing w:after="0" w:line="304" w:lineRule="auto"/>
        <w:tabs>
          <w:tab w:leader="none" w:pos="1845" w:val="left"/>
        </w:tabs>
        <w:numPr>
          <w:ilvl w:val="1"/>
          <w:numId w:val="282"/>
        </w:numPr>
        <w:rPr>
          <w:rFonts w:ascii="Arial" w:cs="Arial" w:eastAsia="Arial" w:hAnsi="Arial"/>
          <w:sz w:val="16"/>
          <w:szCs w:val="16"/>
          <w:color w:val="auto"/>
        </w:rPr>
      </w:pPr>
      <w:r>
        <w:rPr>
          <w:rFonts w:ascii="Arial" w:cs="Arial" w:eastAsia="Arial" w:hAnsi="Arial"/>
          <w:sz w:val="16"/>
          <w:szCs w:val="16"/>
          <w:color w:val="auto"/>
        </w:rPr>
        <w:t>confirming that such financial statements (in the case of any such financial statements which are audited) gives a true and fair view of or (in the case of any such financial statements which are unaudited) fairly represents the consolidated financial condition and operations of the Group as at the end of and during the applicable period to which those financial statements relate; and</w:t>
      </w:r>
    </w:p>
    <w:p>
      <w:pPr>
        <w:spacing w:after="0" w:line="153" w:lineRule="exact"/>
        <w:rPr>
          <w:rFonts w:ascii="Arial" w:cs="Arial" w:eastAsia="Arial" w:hAnsi="Arial"/>
          <w:sz w:val="16"/>
          <w:szCs w:val="16"/>
          <w:color w:val="auto"/>
        </w:rPr>
      </w:pPr>
    </w:p>
    <w:p>
      <w:pPr>
        <w:ind w:left="1800" w:right="80" w:hanging="545"/>
        <w:spacing w:after="0" w:line="296" w:lineRule="auto"/>
        <w:tabs>
          <w:tab w:leader="none" w:pos="1822" w:val="left"/>
        </w:tabs>
        <w:numPr>
          <w:ilvl w:val="1"/>
          <w:numId w:val="282"/>
        </w:numPr>
        <w:rPr>
          <w:rFonts w:ascii="Arial" w:cs="Arial" w:eastAsia="Arial" w:hAnsi="Arial"/>
          <w:sz w:val="17"/>
          <w:szCs w:val="17"/>
          <w:color w:val="auto"/>
        </w:rPr>
      </w:pPr>
      <w:r>
        <w:rPr>
          <w:rFonts w:ascii="Arial" w:cs="Arial" w:eastAsia="Arial" w:hAnsi="Arial"/>
          <w:sz w:val="17"/>
          <w:szCs w:val="17"/>
          <w:color w:val="auto"/>
        </w:rPr>
        <w:t>(in the case of each set of financial statements delivered under paragraph (a) of Clause 18.1 (Financial statements)) setting out an up-to-date list of Material Subsidiaries as at the end of the financial year to which the financial statements relate.</w:t>
      </w:r>
    </w:p>
    <w:p>
      <w:pPr>
        <w:spacing w:after="0" w:line="157" w:lineRule="exact"/>
        <w:rPr>
          <w:rFonts w:ascii="Arial" w:cs="Arial" w:eastAsia="Arial" w:hAnsi="Arial"/>
          <w:sz w:val="17"/>
          <w:szCs w:val="17"/>
          <w:color w:val="auto"/>
        </w:rPr>
      </w:pPr>
    </w:p>
    <w:p>
      <w:pPr>
        <w:ind w:left="1260" w:hanging="559"/>
        <w:spacing w:after="0"/>
        <w:tabs>
          <w:tab w:leader="none" w:pos="12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Each Compliance Certificate delivered pursuant to paragraph (a) above shall be signed by an authorised signatory of the Borrower.</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4"/>
          <w:szCs w:val="14"/>
          <w:b w:val="1"/>
          <w:bCs w:val="1"/>
          <w:color w:val="auto"/>
        </w:rPr>
        <w:t>Requirements as to financial statements</w:t>
      </w:r>
    </w:p>
    <w:p>
      <w:pPr>
        <w:spacing w:after="0" w:line="225" w:lineRule="exact"/>
        <w:rPr>
          <w:sz w:val="20"/>
          <w:szCs w:val="20"/>
          <w:color w:val="auto"/>
        </w:rPr>
      </w:pPr>
    </w:p>
    <w:p>
      <w:pPr>
        <w:ind w:left="1260" w:hanging="559"/>
        <w:spacing w:after="0" w:line="295" w:lineRule="auto"/>
        <w:tabs>
          <w:tab w:leader="none" w:pos="126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Each set of financial statements delivered (or deemed to be delivered) by the Borrower pursuant to Clause 18.1 (Financial statements) shall be certified by an authorised signatory of the Borrower as giving a true and fair view of (in the case of any such financial statements which are audited) or fairly representing (in the case of any such financial statements which are unaudited) the consolidated financial condition and operations of the Group as at the end of and during the applicable period to which those financial statements relate.</w:t>
      </w:r>
    </w:p>
    <w:p>
      <w:pPr>
        <w:spacing w:after="0" w:line="160" w:lineRule="exact"/>
        <w:rPr>
          <w:rFonts w:ascii="Arial" w:cs="Arial" w:eastAsia="Arial" w:hAnsi="Arial"/>
          <w:sz w:val="16"/>
          <w:szCs w:val="16"/>
          <w:color w:val="auto"/>
        </w:rPr>
      </w:pPr>
    </w:p>
    <w:p>
      <w:pPr>
        <w:ind w:left="1260" w:right="260" w:hanging="559"/>
        <w:spacing w:after="0" w:line="267" w:lineRule="auto"/>
        <w:tabs>
          <w:tab w:leader="none" w:pos="127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18.1 (Financial statements) is prepared using GAAP.</w:t>
      </w:r>
    </w:p>
    <w:p>
      <w:pPr>
        <w:spacing w:after="0" w:line="178" w:lineRule="exact"/>
        <w:rPr>
          <w:rFonts w:ascii="Arial" w:cs="Arial" w:eastAsia="Arial" w:hAnsi="Arial"/>
          <w:sz w:val="18"/>
          <w:szCs w:val="18"/>
          <w:color w:val="auto"/>
        </w:rPr>
      </w:pPr>
    </w:p>
    <w:p>
      <w:pPr>
        <w:ind w:left="1260" w:right="120" w:hanging="559"/>
        <w:spacing w:after="0" w:line="268" w:lineRule="auto"/>
        <w:tabs>
          <w:tab w:leader="none" w:pos="1276"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Borrower shall procure that each set of financial statements delivered (or deemed to be delivered) pursuant to Clause 18.1 (Financial statements) is prepared using GAAP, accounting practices and financial reference periods consistent with those applied in the preparation of the Original Financial Statements unless, in relation to any set of financial statements, it notifies the Agent that there has been a change in GAAP, the accounting practices or reference periods and the Borrower or (if any auditors’ report or opinion is required in connection with such change in order to comply with the applicable law, regulation or rule, or any applicable stock exchange requirement) the auditors of the Borrower (which shall be one of the Auditors) shall deliver to the Agent:</w:t>
      </w:r>
    </w:p>
    <w:p>
      <w:pPr>
        <w:spacing w:after="0" w:line="182" w:lineRule="exact"/>
        <w:rPr>
          <w:rFonts w:ascii="Arial" w:cs="Arial" w:eastAsia="Arial" w:hAnsi="Arial"/>
          <w:sz w:val="17"/>
          <w:szCs w:val="17"/>
          <w:color w:val="auto"/>
        </w:rPr>
      </w:pPr>
    </w:p>
    <w:p>
      <w:pPr>
        <w:ind w:left="1800" w:right="140" w:hanging="545"/>
        <w:spacing w:after="0" w:line="267" w:lineRule="auto"/>
        <w:tabs>
          <w:tab w:leader="none" w:pos="182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accounting practices and reference periods upon which the Original Financial Statements were prepared; and</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to determine whether Clause 19 (Financial Covenants) has been complied with;</w:t>
      </w:r>
    </w:p>
    <w:p>
      <w:pPr>
        <w:spacing w:after="0" w:line="219" w:lineRule="exact"/>
        <w:rPr>
          <w:rFonts w:ascii="Arial" w:cs="Arial" w:eastAsia="Arial" w:hAnsi="Arial"/>
          <w:sz w:val="18"/>
          <w:szCs w:val="18"/>
          <w:color w:val="auto"/>
        </w:rPr>
      </w:pPr>
    </w:p>
    <w:p>
      <w:pPr>
        <w:ind w:left="2360" w:right="400" w:hanging="551"/>
        <w:spacing w:after="0" w:line="267" w:lineRule="auto"/>
        <w:tabs>
          <w:tab w:leader="none" w:pos="2376" w:val="left"/>
        </w:tabs>
        <w:numPr>
          <w:ilvl w:val="2"/>
          <w:numId w:val="284"/>
        </w:numPr>
        <w:rPr>
          <w:rFonts w:ascii="Arial" w:cs="Arial" w:eastAsia="Arial" w:hAnsi="Arial"/>
          <w:sz w:val="18"/>
          <w:szCs w:val="18"/>
          <w:color w:val="auto"/>
        </w:rPr>
      </w:pPr>
      <w:r>
        <w:rPr>
          <w:rFonts w:ascii="Arial" w:cs="Arial" w:eastAsia="Arial" w:hAnsi="Arial"/>
          <w:sz w:val="18"/>
          <w:szCs w:val="18"/>
          <w:color w:val="auto"/>
        </w:rPr>
        <w:t>(in the case of each set of financial statements delivered under Clause 18.1(a) (Financial statements)) to determine which members of the Group are Material Subsidiaries; and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217" w:name="page218"/>
    <w:bookmarkEnd w:id="217"/>
    <w:p>
      <w:pPr>
        <w:ind w:left="2360" w:right="620" w:hanging="551"/>
        <w:spacing w:after="0" w:line="267" w:lineRule="auto"/>
        <w:tabs>
          <w:tab w:leader="none" w:pos="237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make an accurate comparison between the financial position indicated in those financial statements and the Original Financial Statements.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4"/>
          <w:szCs w:val="14"/>
          <w:b w:val="1"/>
          <w:bCs w:val="1"/>
          <w:color w:val="auto"/>
        </w:rPr>
        <w:t>Information: miscellaneous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supply to the Agent (in sufficient copies for all the Finance Parties, if the Agent so requests):</w:t>
      </w:r>
    </w:p>
    <w:p>
      <w:pPr>
        <w:spacing w:after="0" w:line="219" w:lineRule="exact"/>
        <w:rPr>
          <w:sz w:val="20"/>
          <w:szCs w:val="20"/>
          <w:color w:val="auto"/>
        </w:rPr>
      </w:pPr>
    </w:p>
    <w:p>
      <w:pPr>
        <w:ind w:left="1260" w:right="20" w:hanging="559"/>
        <w:spacing w:after="0" w:line="253" w:lineRule="auto"/>
        <w:tabs>
          <w:tab w:leader="none" w:pos="126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(or any class of them) generally at the same time as they are despatched to the extent such documents relate to any event or circumstance in relation to the Borrower or a Material Subsidiary falling within Clause 21.5 (Cross default), Clause 21.6 (Insolvency); 21.7 (Insolvency proceedings) or Clause 21.8 (Creditors’ process);</w:t>
      </w:r>
    </w:p>
    <w:p>
      <w:pPr>
        <w:spacing w:after="0" w:line="192" w:lineRule="exact"/>
        <w:rPr>
          <w:rFonts w:ascii="Arial" w:cs="Arial" w:eastAsia="Arial" w:hAnsi="Arial"/>
          <w:sz w:val="18"/>
          <w:szCs w:val="18"/>
          <w:color w:val="auto"/>
        </w:rPr>
      </w:pPr>
    </w:p>
    <w:p>
      <w:pPr>
        <w:ind w:left="1260" w:right="340" w:hanging="559"/>
        <w:spacing w:after="0" w:line="257" w:lineRule="auto"/>
        <w:tabs>
          <w:tab w:leader="none" w:pos="127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investigation, arbitration or administrative proceedings which are current, (or to the best of its knowledge) threatened in writing or pending against the Borrower or any member of the Group, and which, if adversely determined would reasonably be expected to have a Material Adverse Effect;</w:t>
      </w:r>
    </w:p>
    <w:p>
      <w:pPr>
        <w:spacing w:after="0" w:line="187" w:lineRule="exact"/>
        <w:rPr>
          <w:rFonts w:ascii="Arial" w:cs="Arial" w:eastAsia="Arial" w:hAnsi="Arial"/>
          <w:sz w:val="18"/>
          <w:szCs w:val="18"/>
          <w:color w:val="auto"/>
        </w:rPr>
      </w:pPr>
    </w:p>
    <w:p>
      <w:pPr>
        <w:ind w:left="1280" w:hanging="579"/>
        <w:spacing w:after="0"/>
        <w:tabs>
          <w:tab w:leader="none" w:pos="12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promptly:</w:t>
      </w:r>
    </w:p>
    <w:p>
      <w:pPr>
        <w:spacing w:after="0" w:line="219" w:lineRule="exact"/>
        <w:rPr>
          <w:rFonts w:ascii="Arial" w:cs="Arial" w:eastAsia="Arial" w:hAnsi="Arial"/>
          <w:sz w:val="18"/>
          <w:szCs w:val="18"/>
          <w:color w:val="auto"/>
        </w:rPr>
      </w:pPr>
    </w:p>
    <w:p>
      <w:pPr>
        <w:ind w:left="1800" w:right="280" w:hanging="545"/>
        <w:spacing w:after="0" w:line="267" w:lineRule="auto"/>
        <w:tabs>
          <w:tab w:leader="none" w:pos="182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such further information regarding the financial condition, business and operations of the Borrower and any Material Subsidiary as any Finance Party (through the Agent) may reasonably request, except to the extent that:</w:t>
      </w:r>
    </w:p>
    <w:p>
      <w:pPr>
        <w:spacing w:after="0" w:line="178" w:lineRule="exact"/>
        <w:rPr>
          <w:rFonts w:ascii="Arial" w:cs="Arial" w:eastAsia="Arial" w:hAnsi="Arial"/>
          <w:sz w:val="18"/>
          <w:szCs w:val="18"/>
          <w:color w:val="auto"/>
        </w:rPr>
      </w:pPr>
    </w:p>
    <w:p>
      <w:pPr>
        <w:ind w:left="2360" w:right="180" w:hanging="551"/>
        <w:spacing w:after="0" w:line="273" w:lineRule="auto"/>
        <w:tabs>
          <w:tab w:leader="none" w:pos="2386" w:val="left"/>
        </w:tabs>
        <w:numPr>
          <w:ilvl w:val="2"/>
          <w:numId w:val="286"/>
        </w:numPr>
        <w:rPr>
          <w:rFonts w:ascii="Arial" w:cs="Arial" w:eastAsia="Arial" w:hAnsi="Arial"/>
          <w:sz w:val="17"/>
          <w:szCs w:val="17"/>
          <w:color w:val="auto"/>
        </w:rPr>
      </w:pPr>
      <w:r>
        <w:rPr>
          <w:rFonts w:ascii="Arial" w:cs="Arial" w:eastAsia="Arial" w:hAnsi="Arial"/>
          <w:sz w:val="17"/>
          <w:szCs w:val="17"/>
          <w:color w:val="auto"/>
        </w:rPr>
        <w:t>the provision of such information to the Agent would result in any member of the Group in breach of any applicable law, regulation or rule, any applicable stock exchange requirement or duty of confidentiality, provided that such duty of confidentiality did not arise under any agreement or arrangement that is entered into by a member of the Group solely for the purpose of circumventing any requirement or request under this paragraph (c); or</w:t>
      </w:r>
    </w:p>
    <w:p>
      <w:pPr>
        <w:spacing w:after="0" w:line="176" w:lineRule="exact"/>
        <w:rPr>
          <w:rFonts w:ascii="Arial" w:cs="Arial" w:eastAsia="Arial" w:hAnsi="Arial"/>
          <w:sz w:val="17"/>
          <w:szCs w:val="17"/>
          <w:color w:val="auto"/>
        </w:rPr>
      </w:pPr>
    </w:p>
    <w:p>
      <w:pPr>
        <w:ind w:left="2380" w:hanging="571"/>
        <w:spacing w:after="0"/>
        <w:tabs>
          <w:tab w:leader="none" w:pos="238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such information is (as reasonably determined by the Borrower) of a commercially sensitive nature; or</w:t>
      </w:r>
    </w:p>
    <w:p>
      <w:pPr>
        <w:spacing w:after="0" w:line="219" w:lineRule="exact"/>
        <w:rPr>
          <w:rFonts w:ascii="Arial" w:cs="Arial" w:eastAsia="Arial" w:hAnsi="Arial"/>
          <w:sz w:val="18"/>
          <w:szCs w:val="18"/>
          <w:color w:val="auto"/>
        </w:rPr>
      </w:pPr>
    </w:p>
    <w:p>
      <w:pPr>
        <w:ind w:left="1800" w:hanging="545"/>
        <w:spacing w:after="0" w:line="251" w:lineRule="auto"/>
        <w:tabs>
          <w:tab w:leader="none" w:pos="1836" w:val="left"/>
        </w:tabs>
        <w:numPr>
          <w:ilvl w:val="1"/>
          <w:numId w:val="286"/>
        </w:numPr>
        <w:rPr>
          <w:rFonts w:ascii="Arial" w:cs="Arial" w:eastAsia="Arial" w:hAnsi="Arial"/>
          <w:sz w:val="18"/>
          <w:szCs w:val="18"/>
          <w:color w:val="auto"/>
        </w:rPr>
      </w:pPr>
      <w:r>
        <w:rPr>
          <w:rFonts w:ascii="Arial" w:cs="Arial" w:eastAsia="Arial" w:hAnsi="Arial"/>
          <w:sz w:val="18"/>
          <w:szCs w:val="18"/>
          <w:color w:val="auto"/>
        </w:rPr>
        <w:t>such further information regarding the financial condition, business and operations relating to the Borrower or any Material Subsidiary to the extent that any Finance Party has delivered evidence to the Borrower in form and substance satisfactory to the Borrower (acting reasonably) that such information is required to be disclosed to that Finance Party (or any Affiliate thereof) in order for that Finance Party to comply with any laws and/or regulations (including any rules or requirements of any applicable court or tribunal, securities exchange or supervisory, governmental, quasi-governmental, administrative, regulatory or self-regulatory body or authority) applicable to that Finance Party or any Affiliate thereof;</w:t>
      </w:r>
    </w:p>
    <w:p>
      <w:pPr>
        <w:spacing w:after="0" w:line="192" w:lineRule="exact"/>
        <w:rPr>
          <w:rFonts w:ascii="Arial" w:cs="Arial" w:eastAsia="Arial" w:hAnsi="Arial"/>
          <w:sz w:val="18"/>
          <w:szCs w:val="18"/>
          <w:color w:val="auto"/>
        </w:rPr>
      </w:pPr>
    </w:p>
    <w:p>
      <w:pPr>
        <w:ind w:left="1260" w:right="240" w:hanging="559"/>
        <w:spacing w:after="0" w:line="304" w:lineRule="auto"/>
        <w:tabs>
          <w:tab w:leader="none" w:pos="127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promptly, notice of any change in authorised signatories of the Borrower signed by a director, company secretary or an authorised signatory (other than any authorised signatory which has been replaced or is to be replaced pursuant to a notice given by the Borrower under this paragraph (d)) of the Borrower accompanied by specimen signatures of any new authorised signatories of the Borrower;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8" w:name="page219"/>
    <w:bookmarkEnd w:id="218"/>
    <w:p>
      <w:pPr>
        <w:ind w:left="1260" w:right="200" w:hanging="559"/>
        <w:spacing w:after="0" w:line="267" w:lineRule="auto"/>
        <w:tabs>
          <w:tab w:leader="none" w:pos="127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promptly upon becoming aware of them, an updated list of Material Subsidiaries if there is any change from the list of Material Subsidiaries delivered to the Agent pursuant to Clause 4.1 (Initial conditions precedent) and from time to time; and</w:t>
      </w:r>
    </w:p>
    <w:p>
      <w:pPr>
        <w:spacing w:after="0" w:line="178" w:lineRule="exact"/>
        <w:rPr>
          <w:rFonts w:ascii="Arial" w:cs="Arial" w:eastAsia="Arial" w:hAnsi="Arial"/>
          <w:sz w:val="18"/>
          <w:szCs w:val="18"/>
          <w:color w:val="auto"/>
        </w:rPr>
      </w:pPr>
    </w:p>
    <w:p>
      <w:pPr>
        <w:ind w:left="1260" w:right="120" w:hanging="559"/>
        <w:spacing w:after="0" w:line="267" w:lineRule="auto"/>
        <w:tabs>
          <w:tab w:leader="none" w:pos="127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promptly, such information as the Agent may from time to time reasonably require for the performance of its obligations or the exercise of its rights under the Finance Documents.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Notification of default</w:t>
      </w:r>
    </w:p>
    <w:p>
      <w:pPr>
        <w:spacing w:after="0" w:line="225" w:lineRule="exact"/>
        <w:rPr>
          <w:sz w:val="20"/>
          <w:szCs w:val="20"/>
          <w:color w:val="auto"/>
        </w:rPr>
      </w:pPr>
    </w:p>
    <w:p>
      <w:pPr>
        <w:ind w:left="1260" w:right="420" w:hanging="559"/>
        <w:spacing w:after="0" w:line="267" w:lineRule="auto"/>
        <w:tabs>
          <w:tab w:leader="none" w:pos="126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Borrower shall notify the Agent of any Default (and the steps, if any, being taken to remedy it) promptly upon becoming aware of its occurrence.</w:t>
      </w:r>
    </w:p>
    <w:p>
      <w:pPr>
        <w:spacing w:after="0" w:line="178" w:lineRule="exact"/>
        <w:rPr>
          <w:rFonts w:ascii="Arial" w:cs="Arial" w:eastAsia="Arial" w:hAnsi="Arial"/>
          <w:sz w:val="18"/>
          <w:szCs w:val="18"/>
          <w:color w:val="auto"/>
        </w:rPr>
      </w:pPr>
    </w:p>
    <w:p>
      <w:pPr>
        <w:ind w:left="1260" w:right="120" w:hanging="559"/>
        <w:spacing w:after="0" w:line="257" w:lineRule="auto"/>
        <w:tabs>
          <w:tab w:leader="none" w:pos="127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an authorised signatory of the Borrower on its behalf certifying that no Default is continuing (or if a Default is continuing, specifying the Default and the steps, if any, being taken to remedy it).</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4"/>
          <w:szCs w:val="14"/>
          <w:b w:val="1"/>
          <w:bCs w:val="1"/>
          <w:color w:val="auto"/>
        </w:rPr>
        <w:t>Use of Deal Site</w:t>
      </w:r>
    </w:p>
    <w:p>
      <w:pPr>
        <w:spacing w:after="0" w:line="225" w:lineRule="exact"/>
        <w:rPr>
          <w:sz w:val="20"/>
          <w:szCs w:val="20"/>
          <w:color w:val="auto"/>
        </w:rPr>
      </w:pPr>
    </w:p>
    <w:p>
      <w:pPr>
        <w:ind w:left="1260" w:right="200" w:hanging="559"/>
        <w:spacing w:after="0" w:line="257" w:lineRule="auto"/>
        <w:tabs>
          <w:tab w:leader="none" w:pos="126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notices, requests, demands, consents, approvals, agreements or other communications by the Agent under or in respect of this agreement may be given by publication on the Deal Site. Such communication shall include notices for notification for Lenders’ participation in any utilisation and for rates of interest.</w:t>
      </w:r>
    </w:p>
    <w:p>
      <w:pPr>
        <w:spacing w:after="0" w:line="187" w:lineRule="exact"/>
        <w:rPr>
          <w:rFonts w:ascii="Arial" w:cs="Arial" w:eastAsia="Arial" w:hAnsi="Arial"/>
          <w:sz w:val="18"/>
          <w:szCs w:val="18"/>
          <w:color w:val="auto"/>
        </w:rPr>
      </w:pPr>
    </w:p>
    <w:p>
      <w:pPr>
        <w:ind w:left="1260" w:hanging="559"/>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Communications posted on the Deal Site will be effective on the earlier of:</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one Business Day after such communication is posted on the Deal Site; and</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receipt by the Agent of acknowledgement from the Deal Site that such communication has been posted.</w:t>
      </w:r>
    </w:p>
    <w:p>
      <w:pPr>
        <w:spacing w:after="0" w:line="219" w:lineRule="exact"/>
        <w:rPr>
          <w:rFonts w:ascii="Arial" w:cs="Arial" w:eastAsia="Arial" w:hAnsi="Arial"/>
          <w:sz w:val="18"/>
          <w:szCs w:val="18"/>
          <w:color w:val="auto"/>
        </w:rPr>
      </w:pPr>
    </w:p>
    <w:p>
      <w:pPr>
        <w:ind w:left="1280" w:hanging="579"/>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Borrower consents to the inclusion of its logo (if applicable) on the Deal Site.</w:t>
      </w:r>
    </w:p>
    <w:p>
      <w:pPr>
        <w:spacing w:after="0" w:line="213" w:lineRule="exact"/>
        <w:rPr>
          <w:rFonts w:ascii="Arial" w:cs="Arial" w:eastAsia="Arial" w:hAnsi="Arial"/>
          <w:sz w:val="18"/>
          <w:szCs w:val="18"/>
          <w:color w:val="auto"/>
        </w:rPr>
      </w:pPr>
    </w:p>
    <w:p>
      <w:pPr>
        <w:ind w:left="1260" w:hanging="559"/>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In this clause 18.6, </w:t>
      </w:r>
      <w:r>
        <w:rPr>
          <w:rFonts w:ascii="Arial" w:cs="Arial" w:eastAsia="Arial" w:hAnsi="Arial"/>
          <w:sz w:val="18"/>
          <w:szCs w:val="18"/>
          <w:b w:val="1"/>
          <w:bCs w:val="1"/>
          <w:color w:val="auto"/>
        </w:rPr>
        <w:t>Deal Site</w:t>
      </w:r>
      <w:r>
        <w:rPr>
          <w:rFonts w:ascii="Arial" w:cs="Arial" w:eastAsia="Arial" w:hAnsi="Arial"/>
          <w:sz w:val="18"/>
          <w:szCs w:val="18"/>
          <w:color w:val="auto"/>
        </w:rPr>
        <w:t xml:space="preserve"> means “Debtdomain” or any other electronic website designated by the Borrower and the Agent.</w:t>
      </w:r>
    </w:p>
    <w:p>
      <w:pPr>
        <w:spacing w:after="0" w:line="225" w:lineRule="exact"/>
        <w:rPr>
          <w:rFonts w:ascii="Arial" w:cs="Arial" w:eastAsia="Arial" w:hAnsi="Arial"/>
          <w:sz w:val="18"/>
          <w:szCs w:val="18"/>
          <w:color w:val="auto"/>
        </w:rPr>
      </w:pPr>
    </w:p>
    <w:p>
      <w:pPr>
        <w:ind w:left="1280" w:hanging="579"/>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Agent will promptly on request provide access to the Deal Site to one or more representatives of each of the other Parties.</w:t>
      </w:r>
    </w:p>
    <w:p>
      <w:pPr>
        <w:spacing w:after="0" w:line="219" w:lineRule="exact"/>
        <w:rPr>
          <w:rFonts w:ascii="Arial" w:cs="Arial" w:eastAsia="Arial" w:hAnsi="Arial"/>
          <w:sz w:val="18"/>
          <w:szCs w:val="18"/>
          <w:color w:val="auto"/>
        </w:rPr>
      </w:pPr>
    </w:p>
    <w:p>
      <w:pPr>
        <w:ind w:left="1260" w:right="160" w:hanging="559"/>
        <w:spacing w:after="0" w:line="330" w:lineRule="auto"/>
        <w:tabs>
          <w:tab w:leader="none" w:pos="12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Email contact details may be for individuals or “group” addresses. However in either case, Parties must ensure that all persons to whom they give access can properly receive the information available on the Deal Site, including under the relevant information disclosure clause.</w:t>
      </w:r>
    </w:p>
    <w:p>
      <w:pPr>
        <w:spacing w:after="0" w:line="133" w:lineRule="exact"/>
        <w:rPr>
          <w:rFonts w:ascii="Arial" w:cs="Arial" w:eastAsia="Arial" w:hAnsi="Arial"/>
          <w:sz w:val="16"/>
          <w:szCs w:val="16"/>
          <w:color w:val="auto"/>
        </w:rPr>
      </w:pPr>
    </w:p>
    <w:p>
      <w:pPr>
        <w:ind w:left="1260" w:hanging="559"/>
        <w:spacing w:after="0" w:line="257" w:lineRule="auto"/>
        <w:tabs>
          <w:tab w:leader="none" w:pos="128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the Deal Site is not available for any reason, promptly following this being brought to its attention, the Agent will provide communications to the Parties by another means of communications contemplated by this clause. A Party will notify the Agent promptly if it is unable to access the Deal Site.</w:t>
      </w:r>
    </w:p>
    <w:p>
      <w:pPr>
        <w:spacing w:after="0" w:line="187" w:lineRule="exact"/>
        <w:rPr>
          <w:rFonts w:ascii="Arial" w:cs="Arial" w:eastAsia="Arial" w:hAnsi="Arial"/>
          <w:sz w:val="18"/>
          <w:szCs w:val="18"/>
          <w:color w:val="auto"/>
        </w:rPr>
      </w:pPr>
    </w:p>
    <w:p>
      <w:pPr>
        <w:jc w:val="both"/>
        <w:ind w:left="1260" w:right="360" w:hanging="559"/>
        <w:spacing w:after="0" w:line="257" w:lineRule="auto"/>
        <w:tabs>
          <w:tab w:leader="none" w:pos="127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of the other Parties agrees that the Agent is not liable for any liability, loss, damage, costs or expenses incurred or suffered by it as a result of its access or use of the Deal Site or inability to access or use the Deal Site, other than in the case of the gross negligence or wilful misconduct of the Agent.</w:t>
      </w:r>
    </w:p>
    <w:p>
      <w:pPr>
        <w:spacing w:after="0" w:line="187" w:lineRule="exact"/>
        <w:rPr>
          <w:rFonts w:ascii="Arial" w:cs="Arial" w:eastAsia="Arial" w:hAnsi="Arial"/>
          <w:sz w:val="18"/>
          <w:szCs w:val="18"/>
          <w:color w:val="auto"/>
        </w:rPr>
      </w:pPr>
    </w:p>
    <w:p>
      <w:pPr>
        <w:ind w:left="1280" w:hanging="579"/>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Agent may terminate the Deal Site after the earlier of:</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Final Repayment Date;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9" w:name="page220"/>
    <w:bookmarkEnd w:id="219"/>
    <w:p>
      <w:pPr>
        <w:ind w:right="2260" w:firstLine="1255"/>
        <w:spacing w:after="0" w:line="494" w:lineRule="auto"/>
        <w:tabs>
          <w:tab w:leader="none" w:pos="183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prepayment or cancellation in full of the Facility, unless instructed otherwise by the Majority Lenders. 18.7 </w:t>
      </w:r>
      <w:r>
        <w:rPr>
          <w:rFonts w:ascii="Arial" w:cs="Arial" w:eastAsia="Arial" w:hAnsi="Arial"/>
          <w:sz w:val="18"/>
          <w:szCs w:val="18"/>
          <w:b w:val="1"/>
          <w:bCs w:val="1"/>
          <w:color w:val="auto"/>
        </w:rPr>
        <w:t>“Know your customer” checks</w:t>
      </w:r>
    </w:p>
    <w:p>
      <w:pPr>
        <w:ind w:left="1260" w:hanging="559"/>
        <w:spacing w:after="0"/>
        <w:tabs>
          <w:tab w:leader="none" w:pos="12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w:t>
      </w:r>
    </w:p>
    <w:p>
      <w:pPr>
        <w:spacing w:after="0" w:line="219" w:lineRule="exact"/>
        <w:rPr>
          <w:rFonts w:ascii="Arial" w:cs="Arial" w:eastAsia="Arial" w:hAnsi="Arial"/>
          <w:sz w:val="18"/>
          <w:szCs w:val="18"/>
          <w:color w:val="auto"/>
        </w:rPr>
      </w:pPr>
    </w:p>
    <w:p>
      <w:pPr>
        <w:ind w:left="1800" w:right="20" w:hanging="545"/>
        <w:spacing w:after="0" w:line="257" w:lineRule="auto"/>
        <w:tabs>
          <w:tab w:leader="none" w:pos="1827"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any law or regulation (including, without limitation, any law or regulation in place as at the date of this agreement, or the introduction of, or any change in (or in the interpretation, administration or application of) any law or regulation made after the date of this agreement);</w:t>
      </w:r>
    </w:p>
    <w:p>
      <w:pPr>
        <w:spacing w:after="0" w:line="188" w:lineRule="exact"/>
        <w:rPr>
          <w:sz w:val="20"/>
          <w:szCs w:val="20"/>
          <w:color w:val="auto"/>
        </w:rPr>
      </w:pPr>
    </w:p>
    <w:p>
      <w:pPr>
        <w:ind w:left="1840" w:hanging="585"/>
        <w:spacing w:after="0"/>
        <w:tabs>
          <w:tab w:leader="none" w:pos="18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change in the status of the Borrower after the date of this agreement; or</w:t>
      </w:r>
    </w:p>
    <w:p>
      <w:pPr>
        <w:spacing w:after="0" w:line="219" w:lineRule="exact"/>
        <w:rPr>
          <w:rFonts w:ascii="Arial" w:cs="Arial" w:eastAsia="Arial" w:hAnsi="Arial"/>
          <w:sz w:val="18"/>
          <w:szCs w:val="18"/>
          <w:color w:val="auto"/>
        </w:rPr>
      </w:pPr>
    </w:p>
    <w:p>
      <w:pPr>
        <w:ind w:left="1800" w:right="420" w:hanging="545"/>
        <w:spacing w:after="0" w:line="267" w:lineRule="auto"/>
        <w:tabs>
          <w:tab w:leader="none" w:pos="184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and/or obligations under this agreement to a party that is not a Lender prior to such assignment or transfer,</w:t>
      </w:r>
    </w:p>
    <w:p>
      <w:pPr>
        <w:spacing w:after="0" w:line="179" w:lineRule="exact"/>
        <w:rPr>
          <w:sz w:val="20"/>
          <w:szCs w:val="20"/>
          <w:color w:val="auto"/>
        </w:rPr>
      </w:pPr>
    </w:p>
    <w:p>
      <w:pPr>
        <w:ind w:left="1260"/>
        <w:spacing w:after="0" w:line="281" w:lineRule="auto"/>
        <w:rPr>
          <w:sz w:val="20"/>
          <w:szCs w:val="20"/>
          <w:color w:val="auto"/>
        </w:rPr>
      </w:pPr>
      <w:r>
        <w:rPr>
          <w:rFonts w:ascii="Arial" w:cs="Arial" w:eastAsia="Arial" w:hAnsi="Arial"/>
          <w:sz w:val="16"/>
          <w:szCs w:val="16"/>
          <w:color w:val="auto"/>
        </w:rPr>
        <w:t>obliges the Agent or any Lender (or, in the case of paragraph (iii) above, any proposed assignee or transferee of any Lender) to comply with “know your customer” or similar identification procedures in circumstances where the necessary information is not already available to it, the Borrower shall promptly upon the request of the Agent supply, or procure the supply of, such documentation and other evidence as is reasonably requested by the Agent (for itself or on behalf of any Lender (including for itself or, in the case of the event described in paragraph</w:t>
      </w:r>
    </w:p>
    <w:p>
      <w:pPr>
        <w:spacing w:after="0" w:line="2" w:lineRule="exact"/>
        <w:rPr>
          <w:sz w:val="20"/>
          <w:szCs w:val="20"/>
          <w:color w:val="auto"/>
        </w:rPr>
      </w:pPr>
    </w:p>
    <w:p>
      <w:pPr>
        <w:ind w:left="1560" w:hanging="305"/>
        <w:spacing w:after="0"/>
        <w:tabs>
          <w:tab w:leader="none" w:pos="1560" w:val="left"/>
        </w:tabs>
        <w:numPr>
          <w:ilvl w:val="2"/>
          <w:numId w:val="293"/>
        </w:numPr>
        <w:rPr>
          <w:rFonts w:ascii="Arial" w:cs="Arial" w:eastAsia="Arial" w:hAnsi="Arial"/>
          <w:sz w:val="16"/>
          <w:szCs w:val="16"/>
          <w:color w:val="auto"/>
        </w:rPr>
      </w:pPr>
      <w:r>
        <w:rPr>
          <w:rFonts w:ascii="Arial" w:cs="Arial" w:eastAsia="Arial" w:hAnsi="Arial"/>
          <w:sz w:val="16"/>
          <w:szCs w:val="16"/>
          <w:color w:val="auto"/>
        </w:rPr>
        <w:t>above, on behalf of any proposed assignee or transferee of any Lender)) in order for the Agent, such Lender or, in the case of paragraph</w:t>
      </w:r>
    </w:p>
    <w:p>
      <w:pPr>
        <w:spacing w:after="0" w:line="29" w:lineRule="exact"/>
        <w:rPr>
          <w:rFonts w:ascii="Arial" w:cs="Arial" w:eastAsia="Arial" w:hAnsi="Arial"/>
          <w:sz w:val="16"/>
          <w:szCs w:val="16"/>
          <w:color w:val="auto"/>
        </w:rPr>
      </w:pPr>
    </w:p>
    <w:p>
      <w:pPr>
        <w:ind w:left="1260" w:right="540" w:hanging="5"/>
        <w:spacing w:after="0" w:line="254" w:lineRule="auto"/>
        <w:tabs>
          <w:tab w:leader="none" w:pos="1571" w:val="left"/>
        </w:tabs>
        <w:numPr>
          <w:ilvl w:val="2"/>
          <w:numId w:val="294"/>
        </w:numPr>
        <w:rPr>
          <w:rFonts w:ascii="Arial" w:cs="Arial" w:eastAsia="Arial" w:hAnsi="Arial"/>
          <w:sz w:val="18"/>
          <w:szCs w:val="18"/>
          <w:color w:val="auto"/>
        </w:rPr>
      </w:pPr>
      <w:r>
        <w:rPr>
          <w:rFonts w:ascii="Arial" w:cs="Arial" w:eastAsia="Arial" w:hAnsi="Arial"/>
          <w:sz w:val="18"/>
          <w:szCs w:val="18"/>
          <w:color w:val="auto"/>
        </w:rPr>
        <w:t>above, any proposed assignee or transferee of any Lender to conduct any “know your customer” or other similar procedures under applicable laws and regulations.</w:t>
      </w:r>
    </w:p>
    <w:p>
      <w:pPr>
        <w:spacing w:after="0" w:line="190" w:lineRule="exact"/>
        <w:rPr>
          <w:rFonts w:ascii="Arial" w:cs="Arial" w:eastAsia="Arial" w:hAnsi="Arial"/>
          <w:sz w:val="18"/>
          <w:szCs w:val="18"/>
          <w:color w:val="auto"/>
        </w:rPr>
      </w:pPr>
    </w:p>
    <w:p>
      <w:pPr>
        <w:ind w:left="1260" w:right="120" w:hanging="559"/>
        <w:spacing w:after="0" w:line="257" w:lineRule="auto"/>
        <w:tabs>
          <w:tab w:leader="none" w:pos="127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conduct any “know your customer” or other similar procedures under applicable laws and regulations.</w:t>
      </w:r>
    </w:p>
    <w:p>
      <w:pPr>
        <w:spacing w:after="0" w:line="181" w:lineRule="exact"/>
        <w:rPr>
          <w:rFonts w:ascii="Arial" w:cs="Arial" w:eastAsia="Arial" w:hAnsi="Arial"/>
          <w:sz w:val="18"/>
          <w:szCs w:val="18"/>
          <w:color w:val="auto"/>
        </w:rPr>
      </w:pPr>
    </w:p>
    <w:p>
      <w:pPr>
        <w:ind w:left="700" w:hanging="693"/>
        <w:spacing w:after="0"/>
        <w:tabs>
          <w:tab w:leader="none" w:pos="70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FINANCIAL COVENANTS</w:t>
      </w:r>
    </w:p>
    <w:p>
      <w:pPr>
        <w:spacing w:after="0" w:line="225" w:lineRule="exact"/>
        <w:rPr>
          <w:rFonts w:ascii="Arial" w:cs="Arial" w:eastAsia="Arial" w:hAnsi="Arial"/>
          <w:sz w:val="18"/>
          <w:szCs w:val="18"/>
          <w:color w:val="auto"/>
        </w:rPr>
      </w:pPr>
    </w:p>
    <w:p>
      <w:pPr>
        <w:ind w:left="700" w:right="60"/>
        <w:spacing w:after="0" w:line="267" w:lineRule="auto"/>
        <w:rPr>
          <w:rFonts w:ascii="Arial" w:cs="Arial" w:eastAsia="Arial" w:hAnsi="Arial"/>
          <w:sz w:val="18"/>
          <w:szCs w:val="18"/>
          <w:color w:val="auto"/>
        </w:rPr>
      </w:pPr>
      <w:r>
        <w:rPr>
          <w:rFonts w:ascii="Arial" w:cs="Arial" w:eastAsia="Arial" w:hAnsi="Arial"/>
          <w:sz w:val="18"/>
          <w:szCs w:val="18"/>
          <w:color w:val="auto"/>
        </w:rPr>
        <w:t>The undertakings in this Clause 19 remain in force from the date of this agreement for so long as any amount is outstanding under any of the Finance Documents or any Commitment is in force.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4"/>
          <w:szCs w:val="14"/>
          <w:b w:val="1"/>
          <w:bCs w:val="1"/>
          <w:color w:val="auto"/>
        </w:rPr>
        <w:t>Financial definitions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agreement:</w:t>
      </w:r>
    </w:p>
    <w:p>
      <w:pPr>
        <w:spacing w:after="0" w:line="213" w:lineRule="exact"/>
        <w:rPr>
          <w:sz w:val="20"/>
          <w:szCs w:val="20"/>
          <w:color w:val="auto"/>
        </w:rPr>
      </w:pPr>
    </w:p>
    <w:p>
      <w:pPr>
        <w:ind w:left="700" w:right="460"/>
        <w:spacing w:after="0" w:line="274" w:lineRule="auto"/>
        <w:rPr>
          <w:sz w:val="20"/>
          <w:szCs w:val="20"/>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color w:val="auto"/>
        </w:rPr>
        <w:t>means the aggregate outstanding principal of any indebtedness of the Group (on a consolidated basis) for or in respect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except:</w:t>
      </w:r>
    </w:p>
    <w:p>
      <w:pPr>
        <w:spacing w:after="0" w:line="173" w:lineRule="exact"/>
        <w:rPr>
          <w:sz w:val="20"/>
          <w:szCs w:val="20"/>
          <w:color w:val="auto"/>
        </w:rPr>
      </w:pPr>
    </w:p>
    <w:p>
      <w:pPr>
        <w:ind w:left="1260" w:hanging="559"/>
        <w:spacing w:after="0"/>
        <w:tabs>
          <w:tab w:leader="none" w:pos="12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Financial Indebtedness falling within paragraphs (b) and (g) of that definition;</w:t>
      </w:r>
    </w:p>
    <w:p>
      <w:pPr>
        <w:spacing w:after="0" w:line="219" w:lineRule="exact"/>
        <w:rPr>
          <w:rFonts w:ascii="Arial" w:cs="Arial" w:eastAsia="Arial" w:hAnsi="Arial"/>
          <w:sz w:val="18"/>
          <w:szCs w:val="18"/>
          <w:color w:val="auto"/>
        </w:rPr>
      </w:pPr>
    </w:p>
    <w:p>
      <w:pPr>
        <w:ind w:left="700" w:right="1440" w:firstLine="1"/>
        <w:spacing w:after="0" w:line="523" w:lineRule="auto"/>
        <w:tabs>
          <w:tab w:leader="none" w:pos="1267"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Financial Indebtedness falling within paragraph (i) of that definition (to the extent falling under paragraph (a) above), in each case, without double counting and so that no amount shall be included or excluded more than once.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220" w:name="page221"/>
    <w:bookmarkEnd w:id="220"/>
    <w:p>
      <w:pPr>
        <w:ind w:left="700"/>
        <w:spacing w:after="0"/>
        <w:rPr>
          <w:sz w:val="20"/>
          <w:szCs w:val="20"/>
          <w:color w:val="auto"/>
        </w:rPr>
      </w:pPr>
      <w:r>
        <w:rPr>
          <w:rFonts w:ascii="Arial" w:cs="Arial" w:eastAsia="Arial" w:hAnsi="Arial"/>
          <w:sz w:val="18"/>
          <w:szCs w:val="18"/>
          <w:b w:val="1"/>
          <w:bCs w:val="1"/>
          <w:color w:val="auto"/>
        </w:rPr>
        <w:t xml:space="preserve">Consolidated EBITDA </w:t>
      </w:r>
      <w:r>
        <w:rPr>
          <w:rFonts w:ascii="Arial" w:cs="Arial" w:eastAsia="Arial" w:hAnsi="Arial"/>
          <w:sz w:val="18"/>
          <w:szCs w:val="18"/>
          <w:color w:val="auto"/>
        </w:rPr>
        <w:t>means the consolidated operating profit of the Borrower:</w:t>
      </w:r>
    </w:p>
    <w:p>
      <w:pPr>
        <w:spacing w:after="0" w:line="225" w:lineRule="exact"/>
        <w:rPr>
          <w:sz w:val="20"/>
          <w:szCs w:val="20"/>
          <w:color w:val="auto"/>
        </w:rPr>
      </w:pPr>
    </w:p>
    <w:p>
      <w:pPr>
        <w:ind w:left="1260" w:hanging="559"/>
        <w:spacing w:after="0"/>
        <w:tabs>
          <w:tab w:leader="none" w:pos="1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excluding any share-based compensation of employees;</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excluding any impairment of goodwill and intangible assets;</w:t>
      </w:r>
    </w:p>
    <w:p>
      <w:pPr>
        <w:spacing w:after="0" w:line="219" w:lineRule="exact"/>
        <w:rPr>
          <w:rFonts w:ascii="Arial" w:cs="Arial" w:eastAsia="Arial" w:hAnsi="Arial"/>
          <w:sz w:val="18"/>
          <w:szCs w:val="18"/>
          <w:color w:val="auto"/>
        </w:rPr>
      </w:pPr>
    </w:p>
    <w:p>
      <w:pPr>
        <w:ind w:left="1280" w:hanging="579"/>
        <w:spacing w:after="0"/>
        <w:tabs>
          <w:tab w:leader="none" w:pos="12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before deducting any amount attributable to amortization of intangible assets and the depreciation of tangible assets; and</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before taking into account any other non-cash or non-recurring items,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each case, without double counting and so that no amount shall be included or excluded more than once.</w:t>
      </w:r>
    </w:p>
    <w:p>
      <w:pPr>
        <w:spacing w:after="0" w:line="213" w:lineRule="exact"/>
        <w:rPr>
          <w:sz w:val="20"/>
          <w:szCs w:val="20"/>
          <w:color w:val="auto"/>
        </w:rPr>
      </w:pPr>
    </w:p>
    <w:p>
      <w:pPr>
        <w:ind w:left="700" w:right="400"/>
        <w:spacing w:after="0" w:line="304" w:lineRule="auto"/>
        <w:rPr>
          <w:sz w:val="20"/>
          <w:szCs w:val="20"/>
          <w:color w:val="auto"/>
        </w:rPr>
      </w:pPr>
      <w:r>
        <w:rPr>
          <w:rFonts w:ascii="Arial" w:cs="Arial" w:eastAsia="Arial" w:hAnsi="Arial"/>
          <w:sz w:val="17"/>
          <w:szCs w:val="17"/>
          <w:b w:val="1"/>
          <w:bCs w:val="1"/>
          <w:color w:val="auto"/>
        </w:rPr>
        <w:t xml:space="preserve">Consolidated Net Worth </w:t>
      </w:r>
      <w:r>
        <w:rPr>
          <w:rFonts w:ascii="Arial" w:cs="Arial" w:eastAsia="Arial" w:hAnsi="Arial"/>
          <w:sz w:val="17"/>
          <w:szCs w:val="17"/>
          <w:color w:val="auto"/>
        </w:rPr>
        <w:t>means the amount specified on the consolidated balance sheet of the Borrower as “Total shareholders’ equity” 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attributed to minority interests specified as “Noncontrolling interests” in the Latest Consolidated Balance Sheet.</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Consolidated Total Debt </w:t>
      </w:r>
      <w:r>
        <w:rPr>
          <w:rFonts w:ascii="Arial" w:cs="Arial" w:eastAsia="Arial" w:hAnsi="Arial"/>
          <w:sz w:val="18"/>
          <w:szCs w:val="18"/>
          <w:color w:val="auto"/>
        </w:rPr>
        <w:t>means, on a date, the aggregate Borrowings of the Group as at that date.</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 xml:space="preserve">Latest Consolidated Balance Sheet </w:t>
      </w:r>
      <w:r>
        <w:rPr>
          <w:rFonts w:ascii="Arial" w:cs="Arial" w:eastAsia="Arial" w:hAnsi="Arial"/>
          <w:sz w:val="17"/>
          <w:szCs w:val="17"/>
          <w:color w:val="auto"/>
        </w:rPr>
        <w:t>means the latest audited consolidated balance sheet of the Borrower delivered to the Agent pursuant to</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18.1(a) or, until the first such balance sheet is so delivered, means the audited consolidated balance sheet of the Borrower as at 31 December 2017.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Leverage </w:t>
      </w:r>
      <w:r>
        <w:rPr>
          <w:rFonts w:ascii="Arial" w:cs="Arial" w:eastAsia="Arial" w:hAnsi="Arial"/>
          <w:sz w:val="16"/>
          <w:szCs w:val="16"/>
          <w:color w:val="auto"/>
        </w:rPr>
        <w:t>means, in respect of any period, the ratio of Consolidated Total Debt on the last day of that period to Consolidated EBITDA for that period.</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Relevant Periods </w:t>
      </w:r>
      <w:r>
        <w:rPr>
          <w:rFonts w:ascii="Arial" w:cs="Arial" w:eastAsia="Arial" w:hAnsi="Arial"/>
          <w:sz w:val="18"/>
          <w:szCs w:val="18"/>
          <w:color w:val="auto"/>
        </w:rPr>
        <w:t>means:</w:t>
      </w:r>
    </w:p>
    <w:p>
      <w:pPr>
        <w:spacing w:after="0" w:line="225" w:lineRule="exact"/>
        <w:rPr>
          <w:sz w:val="20"/>
          <w:szCs w:val="20"/>
          <w:color w:val="auto"/>
        </w:rPr>
      </w:pPr>
    </w:p>
    <w:p>
      <w:pPr>
        <w:ind w:left="1260" w:hanging="559"/>
        <w:spacing w:after="0"/>
        <w:tabs>
          <w:tab w:leader="none" w:pos="12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each period of twelve months ending on the last day of each Financial Year; and</w:t>
      </w:r>
    </w:p>
    <w:p>
      <w:pPr>
        <w:spacing w:after="0" w:line="219" w:lineRule="exact"/>
        <w:rPr>
          <w:rFonts w:ascii="Arial" w:cs="Arial" w:eastAsia="Arial" w:hAnsi="Arial"/>
          <w:sz w:val="18"/>
          <w:szCs w:val="18"/>
          <w:color w:val="auto"/>
        </w:rPr>
      </w:pPr>
    </w:p>
    <w:p>
      <w:pPr>
        <w:ind w:left="700" w:right="2460" w:firstLine="1"/>
        <w:spacing w:after="0" w:line="490" w:lineRule="auto"/>
        <w:tabs>
          <w:tab w:leader="none" w:pos="126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each period of twelve months ending on the last day of the second Financial Quarter of each Financial Year, (each a </w:t>
      </w:r>
      <w:r>
        <w:rPr>
          <w:rFonts w:ascii="Arial" w:cs="Arial" w:eastAsia="Arial" w:hAnsi="Arial"/>
          <w:sz w:val="18"/>
          <w:szCs w:val="18"/>
          <w:b w:val="1"/>
          <w:bCs w:val="1"/>
          <w:color w:val="auto"/>
        </w:rPr>
        <w:t>Relevant Period</w:t>
      </w:r>
      <w:r>
        <w:rPr>
          <w:rFonts w:ascii="Arial" w:cs="Arial" w:eastAsia="Arial" w:hAnsi="Arial"/>
          <w:sz w:val="18"/>
          <w:szCs w:val="18"/>
          <w:color w:val="auto"/>
        </w:rPr>
        <w:t>).</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b w:val="1"/>
          <w:bCs w:val="1"/>
          <w:color w:val="auto"/>
        </w:rPr>
        <w:t>Financial condition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ensure that, at all times:</w:t>
      </w:r>
    </w:p>
    <w:p>
      <w:pPr>
        <w:spacing w:after="0" w:line="219" w:lineRule="exact"/>
        <w:rPr>
          <w:sz w:val="20"/>
          <w:szCs w:val="20"/>
          <w:color w:val="auto"/>
        </w:rPr>
      </w:pPr>
    </w:p>
    <w:p>
      <w:pPr>
        <w:ind w:left="1260" w:hanging="559"/>
        <w:spacing w:after="0"/>
        <w:tabs>
          <w:tab w:leader="none" w:pos="12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Leverage in respect of each Relevant Period shall be lower than 3.75:1.00.</w:t>
      </w:r>
    </w:p>
    <w:p>
      <w:pPr>
        <w:spacing w:after="0" w:line="219" w:lineRule="exact"/>
        <w:rPr>
          <w:rFonts w:ascii="Arial" w:cs="Arial" w:eastAsia="Arial" w:hAnsi="Arial"/>
          <w:sz w:val="18"/>
          <w:szCs w:val="18"/>
          <w:color w:val="auto"/>
        </w:rPr>
      </w:pPr>
    </w:p>
    <w:p>
      <w:pPr>
        <w:ind w:right="3520" w:firstLine="701"/>
        <w:spacing w:after="0" w:line="494" w:lineRule="auto"/>
        <w:tabs>
          <w:tab w:leader="none" w:pos="126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Consolidated Net Worth is not at any time less than RMB 20,000,000,000 (or its equivalent). 19.3 </w:t>
      </w:r>
      <w:r>
        <w:rPr>
          <w:rFonts w:ascii="Arial" w:cs="Arial" w:eastAsia="Arial" w:hAnsi="Arial"/>
          <w:sz w:val="18"/>
          <w:szCs w:val="18"/>
          <w:b w:val="1"/>
          <w:bCs w:val="1"/>
          <w:color w:val="auto"/>
        </w:rPr>
        <w:t>Financial covenant testing</w:t>
      </w:r>
    </w:p>
    <w:p>
      <w:pPr>
        <w:ind w:left="700"/>
        <w:spacing w:after="0" w:line="257" w:lineRule="auto"/>
        <w:rPr>
          <w:sz w:val="20"/>
          <w:szCs w:val="20"/>
          <w:color w:val="auto"/>
        </w:rPr>
      </w:pPr>
      <w:r>
        <w:rPr>
          <w:rFonts w:ascii="Arial" w:cs="Arial" w:eastAsia="Arial" w:hAnsi="Arial"/>
          <w:sz w:val="18"/>
          <w:szCs w:val="18"/>
          <w:color w:val="auto"/>
        </w:rPr>
        <w:t>The financial covenants set out in Clause 19.2 (Financial condition) shall be calculated and tested semi-annually in respect of each Relevant Period by reference to each of the financial statements delivered under Clause 18.1 (Financial statements) and/or the Compliance Certificate relating thereto delivered pursuant to Clause 18.2 (Compliance Certificate).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21" w:name="page222"/>
    <w:bookmarkEnd w:id="221"/>
    <w:p>
      <w:pPr>
        <w:ind w:left="700" w:hanging="693"/>
        <w:spacing w:after="0"/>
        <w:tabs>
          <w:tab w:leader="none" w:pos="700"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225" w:lineRule="exact"/>
        <w:rPr>
          <w:sz w:val="20"/>
          <w:szCs w:val="20"/>
          <w:color w:val="auto"/>
        </w:rPr>
      </w:pPr>
    </w:p>
    <w:p>
      <w:pPr>
        <w:ind w:left="700" w:right="600"/>
        <w:spacing w:after="0" w:line="267" w:lineRule="auto"/>
        <w:rPr>
          <w:sz w:val="20"/>
          <w:szCs w:val="20"/>
          <w:color w:val="auto"/>
        </w:rPr>
      </w:pPr>
      <w:r>
        <w:rPr>
          <w:rFonts w:ascii="Arial" w:cs="Arial" w:eastAsia="Arial" w:hAnsi="Arial"/>
          <w:sz w:val="18"/>
          <w:szCs w:val="18"/>
          <w:color w:val="auto"/>
        </w:rPr>
        <w:t>The undertakings in this Clause 20 remain in force from the date of this agreement for so long as any amount is outstanding under the Finance Documents or any Commitment is in force.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4"/>
          <w:szCs w:val="14"/>
          <w:b w:val="1"/>
          <w:bCs w:val="1"/>
          <w:color w:val="auto"/>
        </w:rPr>
        <w:t>Authorisations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promptly:</w:t>
      </w:r>
    </w:p>
    <w:p>
      <w:pPr>
        <w:spacing w:after="0" w:line="219" w:lineRule="exact"/>
        <w:rPr>
          <w:sz w:val="20"/>
          <w:szCs w:val="20"/>
          <w:color w:val="auto"/>
        </w:rPr>
      </w:pPr>
    </w:p>
    <w:p>
      <w:pPr>
        <w:ind w:left="1260" w:hanging="559"/>
        <w:spacing w:after="0"/>
        <w:tabs>
          <w:tab w:leader="none" w:pos="12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19" w:lineRule="exact"/>
        <w:rPr>
          <w:rFonts w:ascii="Arial" w:cs="Arial" w:eastAsia="Arial" w:hAnsi="Arial"/>
          <w:sz w:val="18"/>
          <w:szCs w:val="18"/>
          <w:color w:val="auto"/>
        </w:rPr>
      </w:pPr>
    </w:p>
    <w:p>
      <w:pPr>
        <w:ind w:left="700" w:right="1500" w:firstLine="1"/>
        <w:spacing w:after="0" w:line="494" w:lineRule="auto"/>
        <w:tabs>
          <w:tab w:leader="none" w:pos="126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relation to any Authorisation falling within any of paragraphs (c) and (d) only) supply certified copies to the Agent of, any Authorisation required:</w:t>
      </w:r>
    </w:p>
    <w:p>
      <w:pPr>
        <w:ind w:left="1280" w:hanging="579"/>
        <w:spacing w:after="0"/>
        <w:tabs>
          <w:tab w:leader="none" w:pos="12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to enable it to perform its obligations under the Finance Documents; and</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to ensure the legality, validity, enforceability or admissibility in evidence in its jurisdiction of incorporation of any Finance Document; and</w:t>
      </w:r>
    </w:p>
    <w:p>
      <w:pPr>
        <w:spacing w:after="0" w:line="242" w:lineRule="exact"/>
        <w:rPr>
          <w:rFonts w:ascii="Arial" w:cs="Arial" w:eastAsia="Arial" w:hAnsi="Arial"/>
          <w:sz w:val="16"/>
          <w:szCs w:val="16"/>
          <w:color w:val="auto"/>
        </w:rPr>
      </w:pPr>
    </w:p>
    <w:p>
      <w:pPr>
        <w:ind w:left="1280" w:hanging="579"/>
        <w:spacing w:after="0"/>
        <w:tabs>
          <w:tab w:leader="none" w:pos="12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carry on its business where failure to do so would reasonably be expected to have a Material Adverse Effect.</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4"/>
          <w:szCs w:val="14"/>
          <w:b w:val="1"/>
          <w:bCs w:val="1"/>
          <w:color w:val="auto"/>
        </w:rPr>
        <w:t>Compliance with laws</w:t>
      </w:r>
    </w:p>
    <w:p>
      <w:pPr>
        <w:spacing w:after="0" w:line="225" w:lineRule="exact"/>
        <w:rPr>
          <w:sz w:val="20"/>
          <w:szCs w:val="20"/>
          <w:color w:val="auto"/>
        </w:rPr>
      </w:pPr>
    </w:p>
    <w:p>
      <w:pPr>
        <w:ind w:left="700" w:right="20"/>
        <w:spacing w:after="0" w:line="267" w:lineRule="auto"/>
        <w:rPr>
          <w:sz w:val="20"/>
          <w:szCs w:val="20"/>
          <w:color w:val="auto"/>
        </w:rPr>
      </w:pPr>
      <w:r>
        <w:rPr>
          <w:rFonts w:ascii="Arial" w:cs="Arial" w:eastAsia="Arial" w:hAnsi="Arial"/>
          <w:sz w:val="18"/>
          <w:szCs w:val="18"/>
          <w:color w:val="auto"/>
        </w:rPr>
        <w:t>The Borrower shall, and shall procure that each member of the Group will, comply in all respects with all laws to which it may be subject, if failure so to comply would, or would reasonably be expected to, have a Material Adverse Effect.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b w:val="1"/>
          <w:bCs w:val="1"/>
          <w:color w:val="auto"/>
        </w:rPr>
        <w:t>Pari passu ranking</w:t>
      </w:r>
    </w:p>
    <w:p>
      <w:pPr>
        <w:spacing w:after="0" w:line="225" w:lineRule="exact"/>
        <w:rPr>
          <w:sz w:val="20"/>
          <w:szCs w:val="20"/>
          <w:color w:val="auto"/>
        </w:rPr>
      </w:pPr>
    </w:p>
    <w:p>
      <w:pPr>
        <w:ind w:left="700" w:right="140"/>
        <w:spacing w:after="0" w:line="330" w:lineRule="auto"/>
        <w:rPr>
          <w:sz w:val="20"/>
          <w:szCs w:val="20"/>
          <w:color w:val="auto"/>
        </w:rPr>
      </w:pPr>
      <w:r>
        <w:rPr>
          <w:rFonts w:ascii="Arial" w:cs="Arial" w:eastAsia="Arial" w:hAnsi="Arial"/>
          <w:sz w:val="16"/>
          <w:szCs w:val="16"/>
          <w:color w:val="auto"/>
        </w:rPr>
        <w:t>The Borrower shall ensure that its payment obligations under the Finance Documents rank and continue to rank at least pari passu with the claims of all of its other unsecured and unsubordinated creditors, except for obligations mandatorily preferred by law applying to companies generally.</w:t>
      </w:r>
    </w:p>
    <w:p>
      <w:pPr>
        <w:spacing w:after="0" w:line="12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4"/>
          <w:szCs w:val="14"/>
          <w:b w:val="1"/>
          <w:bCs w:val="1"/>
          <w:color w:val="auto"/>
        </w:rPr>
        <w:t>Negative pledge</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In this Clause 20.4,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any arrangement or transaction described in paragraph (b) below.</w:t>
      </w:r>
    </w:p>
    <w:p>
      <w:pPr>
        <w:spacing w:after="0" w:line="225" w:lineRule="exact"/>
        <w:rPr>
          <w:sz w:val="20"/>
          <w:szCs w:val="20"/>
          <w:color w:val="auto"/>
        </w:rPr>
      </w:pPr>
    </w:p>
    <w:p>
      <w:pPr>
        <w:ind w:left="1260" w:hanging="559"/>
        <w:spacing w:after="0" w:line="267" w:lineRule="auto"/>
        <w:tabs>
          <w:tab w:leader="none" w:pos="126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Without prejudice to paragraph (d), the Borrower shall not, and the Borrower shall procure that no Material Subsidiary will, create or permit to subsist any Security over any of its assets.</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Without prejudice to paragraph (d), the Borrower shall not, and the Borrower shall procure that no Material Subsidiary will:</w:t>
      </w:r>
    </w:p>
    <w:p>
      <w:pPr>
        <w:spacing w:after="0" w:line="219" w:lineRule="exact"/>
        <w:rPr>
          <w:rFonts w:ascii="Arial" w:cs="Arial" w:eastAsia="Arial" w:hAnsi="Arial"/>
          <w:sz w:val="18"/>
          <w:szCs w:val="18"/>
          <w:color w:val="auto"/>
        </w:rPr>
      </w:pPr>
    </w:p>
    <w:p>
      <w:pPr>
        <w:ind w:left="1800" w:right="40" w:hanging="545"/>
        <w:spacing w:after="0" w:line="267" w:lineRule="auto"/>
        <w:tabs>
          <w:tab w:leader="none" w:pos="182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the Borrower or any Material Subsidiary;</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219" w:lineRule="exact"/>
        <w:rPr>
          <w:rFonts w:ascii="Arial" w:cs="Arial" w:eastAsia="Arial" w:hAnsi="Arial"/>
          <w:sz w:val="18"/>
          <w:szCs w:val="18"/>
          <w:color w:val="auto"/>
        </w:rPr>
      </w:pPr>
    </w:p>
    <w:p>
      <w:pPr>
        <w:ind w:left="1860" w:hanging="605"/>
        <w:spacing w:after="0"/>
        <w:tabs>
          <w:tab w:leader="none" w:pos="18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enter into or permit to subsist any title retention arrangement;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22" w:name="page223"/>
    <w:bookmarkEnd w:id="222"/>
    <w:p>
      <w:pPr>
        <w:ind w:left="1099" w:right="40" w:hanging="545"/>
        <w:spacing w:after="0" w:line="267" w:lineRule="auto"/>
        <w:tabs>
          <w:tab w:leader="none" w:pos="112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enter into or permit to subsist any arrangement under which money or the benefit of a bank or other account may be applied, set-off or made subject to a combination of accounts; or</w:t>
      </w:r>
    </w:p>
    <w:p>
      <w:pPr>
        <w:spacing w:after="0" w:line="178" w:lineRule="exact"/>
        <w:rPr>
          <w:rFonts w:ascii="Arial" w:cs="Arial" w:eastAsia="Arial" w:hAnsi="Arial"/>
          <w:sz w:val="18"/>
          <w:szCs w:val="18"/>
          <w:color w:val="auto"/>
        </w:rPr>
      </w:pPr>
    </w:p>
    <w:p>
      <w:pPr>
        <w:ind w:left="1119" w:hanging="565"/>
        <w:spacing w:after="0"/>
        <w:tabs>
          <w:tab w:leader="none" w:pos="111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enter into or permit to subsist any other preferential arrangement having a similar effect,</w:t>
      </w:r>
    </w:p>
    <w:p>
      <w:pPr>
        <w:spacing w:after="0" w:line="219" w:lineRule="exact"/>
        <w:rPr>
          <w:sz w:val="20"/>
          <w:szCs w:val="20"/>
          <w:color w:val="auto"/>
        </w:rPr>
      </w:pPr>
    </w:p>
    <w:p>
      <w:pPr>
        <w:ind w:left="559" w:right="120"/>
        <w:spacing w:after="0" w:line="26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79" w:lineRule="exact"/>
        <w:rPr>
          <w:sz w:val="20"/>
          <w:szCs w:val="20"/>
          <w:color w:val="auto"/>
        </w:rPr>
      </w:pPr>
    </w:p>
    <w:p>
      <w:pPr>
        <w:ind w:left="579" w:hanging="579"/>
        <w:spacing w:after="0"/>
        <w:tabs>
          <w:tab w:leader="none" w:pos="57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Subject to paragraph (d), paragraphs (a) and (b) above do not apply to:</w:t>
      </w:r>
    </w:p>
    <w:p>
      <w:pPr>
        <w:spacing w:after="0" w:line="219" w:lineRule="exact"/>
        <w:rPr>
          <w:rFonts w:ascii="Arial" w:cs="Arial" w:eastAsia="Arial" w:hAnsi="Arial"/>
          <w:sz w:val="18"/>
          <w:szCs w:val="18"/>
          <w:color w:val="auto"/>
        </w:rPr>
      </w:pPr>
    </w:p>
    <w:p>
      <w:pPr>
        <w:ind w:left="1099" w:right="460" w:hanging="545"/>
        <w:spacing w:after="0" w:line="296" w:lineRule="auto"/>
        <w:tabs>
          <w:tab w:leader="none" w:pos="1126"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any netting or set-off or cash-pooling arrangement entered into by the Borrower or any other Material Subsidiary in the ordinary course of its banking arrangements for the purpose of netting debit and credit balances of any member of Group;</w:t>
      </w:r>
    </w:p>
    <w:p>
      <w:pPr>
        <w:spacing w:after="0" w:line="157" w:lineRule="exact"/>
        <w:rPr>
          <w:rFonts w:ascii="Arial" w:cs="Arial" w:eastAsia="Arial" w:hAnsi="Arial"/>
          <w:sz w:val="17"/>
          <w:szCs w:val="17"/>
          <w:color w:val="auto"/>
        </w:rPr>
      </w:pPr>
    </w:p>
    <w:p>
      <w:pPr>
        <w:ind w:left="1099" w:right="20" w:hanging="545"/>
        <w:spacing w:after="0" w:line="267" w:lineRule="auto"/>
        <w:tabs>
          <w:tab w:leader="none" w:pos="113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payment or close out netting or set-off arrangement pursuant to any hedging transaction entered into by the Borrower or any other Material Subsidiary for the purpose of:</w:t>
      </w:r>
    </w:p>
    <w:p>
      <w:pPr>
        <w:spacing w:after="0" w:line="178" w:lineRule="exact"/>
        <w:rPr>
          <w:rFonts w:ascii="Arial" w:cs="Arial" w:eastAsia="Arial" w:hAnsi="Arial"/>
          <w:sz w:val="18"/>
          <w:szCs w:val="18"/>
          <w:color w:val="auto"/>
        </w:rPr>
      </w:pPr>
    </w:p>
    <w:p>
      <w:pPr>
        <w:ind w:left="1679" w:hanging="571"/>
        <w:spacing w:after="0"/>
        <w:tabs>
          <w:tab w:leader="none" w:pos="1679" w:val="left"/>
        </w:tabs>
        <w:numPr>
          <w:ilvl w:val="2"/>
          <w:numId w:val="305"/>
        </w:numPr>
        <w:rPr>
          <w:rFonts w:ascii="Arial" w:cs="Arial" w:eastAsia="Arial" w:hAnsi="Arial"/>
          <w:sz w:val="18"/>
          <w:szCs w:val="18"/>
          <w:color w:val="auto"/>
        </w:rPr>
      </w:pPr>
      <w:r>
        <w:rPr>
          <w:rFonts w:ascii="Arial" w:cs="Arial" w:eastAsia="Arial" w:hAnsi="Arial"/>
          <w:sz w:val="18"/>
          <w:szCs w:val="18"/>
          <w:color w:val="auto"/>
        </w:rPr>
        <w:t>hedging any risk to which it is exposed in its ordinary course of trading; or</w:t>
      </w:r>
    </w:p>
    <w:p>
      <w:pPr>
        <w:spacing w:after="0" w:line="219" w:lineRule="exact"/>
        <w:rPr>
          <w:rFonts w:ascii="Arial" w:cs="Arial" w:eastAsia="Arial" w:hAnsi="Arial"/>
          <w:sz w:val="18"/>
          <w:szCs w:val="18"/>
          <w:color w:val="auto"/>
        </w:rPr>
      </w:pPr>
    </w:p>
    <w:p>
      <w:pPr>
        <w:ind w:left="1659" w:right="480" w:hanging="551"/>
        <w:spacing w:after="0" w:line="267" w:lineRule="auto"/>
        <w:tabs>
          <w:tab w:leader="none" w:pos="1676" w:val="left"/>
        </w:tabs>
        <w:numPr>
          <w:ilvl w:val="2"/>
          <w:numId w:val="305"/>
        </w:numPr>
        <w:rPr>
          <w:rFonts w:ascii="Arial" w:cs="Arial" w:eastAsia="Arial" w:hAnsi="Arial"/>
          <w:sz w:val="18"/>
          <w:szCs w:val="18"/>
          <w:color w:val="auto"/>
        </w:rPr>
      </w:pPr>
      <w:r>
        <w:rPr>
          <w:rFonts w:ascii="Arial" w:cs="Arial" w:eastAsia="Arial" w:hAnsi="Arial"/>
          <w:sz w:val="18"/>
          <w:szCs w:val="18"/>
          <w:color w:val="auto"/>
        </w:rPr>
        <w:t>its interest rate or currency management operations which are carried out in the ordinary course of business and for non-speculative purposes only,</w:t>
      </w:r>
    </w:p>
    <w:p>
      <w:pPr>
        <w:spacing w:after="0" w:line="179" w:lineRule="exact"/>
        <w:rPr>
          <w:sz w:val="20"/>
          <w:szCs w:val="20"/>
          <w:color w:val="auto"/>
        </w:rPr>
      </w:pPr>
    </w:p>
    <w:p>
      <w:pPr>
        <w:ind w:left="1099"/>
        <w:spacing w:after="0"/>
        <w:rPr>
          <w:sz w:val="20"/>
          <w:szCs w:val="20"/>
          <w:color w:val="auto"/>
        </w:rPr>
      </w:pPr>
      <w:r>
        <w:rPr>
          <w:rFonts w:ascii="Arial" w:cs="Arial" w:eastAsia="Arial" w:hAnsi="Arial"/>
          <w:sz w:val="16"/>
          <w:szCs w:val="16"/>
          <w:color w:val="auto"/>
        </w:rPr>
        <w:t>excluding, in each case, any Security or Quasi-Security under a credit support arrangement in relation to any hedging transaction;</w:t>
      </w:r>
    </w:p>
    <w:p>
      <w:pPr>
        <w:spacing w:after="0" w:line="242" w:lineRule="exact"/>
        <w:rPr>
          <w:sz w:val="20"/>
          <w:szCs w:val="20"/>
          <w:color w:val="auto"/>
        </w:rPr>
      </w:pPr>
    </w:p>
    <w:p>
      <w:pPr>
        <w:ind w:left="1099" w:right="120" w:hanging="545"/>
        <w:spacing w:after="0" w:line="267" w:lineRule="auto"/>
        <w:tabs>
          <w:tab w:leader="none" w:pos="11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lien arising by operation of law and in the ordinary course of trading, provided that any indebtedness which is secured thereby is paid when due or contested in good faith by appropriate proceedings and properly provisioned;</w:t>
      </w:r>
    </w:p>
    <w:p>
      <w:pPr>
        <w:spacing w:after="0" w:line="178" w:lineRule="exact"/>
        <w:rPr>
          <w:rFonts w:ascii="Arial" w:cs="Arial" w:eastAsia="Arial" w:hAnsi="Arial"/>
          <w:sz w:val="18"/>
          <w:szCs w:val="18"/>
          <w:color w:val="auto"/>
        </w:rPr>
      </w:pPr>
    </w:p>
    <w:p>
      <w:pPr>
        <w:ind w:left="1099" w:right="80" w:hanging="545"/>
        <w:spacing w:after="0" w:line="267" w:lineRule="auto"/>
        <w:tabs>
          <w:tab w:leader="none" w:pos="112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Security or Quasi-Security over or affecting any asset acquired by the Borrower or any other Material Subsidiary after the date of this Agreement if:</w:t>
      </w:r>
    </w:p>
    <w:p>
      <w:pPr>
        <w:spacing w:after="0" w:line="178" w:lineRule="exact"/>
        <w:rPr>
          <w:rFonts w:ascii="Arial" w:cs="Arial" w:eastAsia="Arial" w:hAnsi="Arial"/>
          <w:sz w:val="18"/>
          <w:szCs w:val="18"/>
          <w:color w:val="auto"/>
        </w:rPr>
      </w:pPr>
    </w:p>
    <w:p>
      <w:pPr>
        <w:ind w:left="1659" w:hanging="551"/>
        <w:spacing w:after="0" w:line="267" w:lineRule="auto"/>
        <w:tabs>
          <w:tab w:leader="none" w:pos="168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that Security or Quasi-Security was not created in contemplation of the acquisition of that asset by the Borrower or, as the case may be, such Material Subsidiary;</w:t>
      </w:r>
    </w:p>
    <w:p>
      <w:pPr>
        <w:spacing w:after="0" w:line="178" w:lineRule="exact"/>
        <w:rPr>
          <w:rFonts w:ascii="Arial" w:cs="Arial" w:eastAsia="Arial" w:hAnsi="Arial"/>
          <w:sz w:val="18"/>
          <w:szCs w:val="18"/>
          <w:color w:val="auto"/>
        </w:rPr>
      </w:pPr>
    </w:p>
    <w:p>
      <w:pPr>
        <w:ind w:left="1659" w:right="140" w:hanging="551"/>
        <w:spacing w:after="0" w:line="330" w:lineRule="auto"/>
        <w:tabs>
          <w:tab w:leader="none" w:pos="167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maximum principal amount secured by that Security or to which such Quasi-Security relates has not been increased in contemplation of, or since, the acquisition of that asset by the Borrower or, as the case may be, such Material Subsidiary; and</w:t>
      </w:r>
    </w:p>
    <w:p>
      <w:pPr>
        <w:spacing w:after="0" w:line="133" w:lineRule="exact"/>
        <w:rPr>
          <w:rFonts w:ascii="Arial" w:cs="Arial" w:eastAsia="Arial" w:hAnsi="Arial"/>
          <w:sz w:val="16"/>
          <w:szCs w:val="16"/>
          <w:color w:val="auto"/>
        </w:rPr>
      </w:pPr>
    </w:p>
    <w:p>
      <w:pPr>
        <w:ind w:left="1659" w:right="560" w:hanging="551"/>
        <w:spacing w:after="0" w:line="267" w:lineRule="auto"/>
        <w:tabs>
          <w:tab w:leader="none" w:pos="167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that Security or Quasi-Security is removed or discharged within 120 days of the date of acquisition of such asset by the Borrower or, as the case may be, such Material Subsidiary;</w:t>
      </w:r>
    </w:p>
    <w:p>
      <w:pPr>
        <w:spacing w:after="0" w:line="178" w:lineRule="exact"/>
        <w:rPr>
          <w:rFonts w:ascii="Arial" w:cs="Arial" w:eastAsia="Arial" w:hAnsi="Arial"/>
          <w:sz w:val="18"/>
          <w:szCs w:val="18"/>
          <w:color w:val="auto"/>
        </w:rPr>
      </w:pPr>
    </w:p>
    <w:p>
      <w:pPr>
        <w:ind w:left="1099" w:right="180" w:hanging="545"/>
        <w:spacing w:after="0" w:line="257" w:lineRule="auto"/>
        <w:tabs>
          <w:tab w:leader="none" w:pos="111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Security or Quasi-Security over or affecting any asset of any Material Subsidiary which becomes a member of Group after the date of this Agreement, where that Security or Quasi-Security is created prior to the date on which that person becomes a member of Group, if:</w:t>
      </w:r>
    </w:p>
    <w:p>
      <w:pPr>
        <w:spacing w:after="0" w:line="188"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26948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99"/>
          </w:cols>
          <w:pgMar w:left="941" w:top="340" w:right="259" w:bottom="1440" w:gutter="0" w:footer="0" w:header="0"/>
        </w:sectPr>
      </w:pPr>
    </w:p>
    <w:bookmarkStart w:id="223" w:name="page224"/>
    <w:bookmarkEnd w:id="223"/>
    <w:p>
      <w:pPr>
        <w:ind w:left="2360" w:right="160" w:hanging="551"/>
        <w:spacing w:after="0" w:line="267" w:lineRule="auto"/>
        <w:tabs>
          <w:tab w:leader="none" w:pos="2386"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that Security or Quasi-Security was not created in contemplation of the acquisition of any interest in that Material Subsidiary by any member of Group;</w:t>
      </w:r>
    </w:p>
    <w:p>
      <w:pPr>
        <w:spacing w:after="0" w:line="178" w:lineRule="exact"/>
        <w:rPr>
          <w:rFonts w:ascii="Arial" w:cs="Arial" w:eastAsia="Arial" w:hAnsi="Arial"/>
          <w:sz w:val="18"/>
          <w:szCs w:val="18"/>
          <w:color w:val="auto"/>
        </w:rPr>
      </w:pPr>
    </w:p>
    <w:p>
      <w:pPr>
        <w:ind w:left="2360" w:right="820" w:hanging="551"/>
        <w:spacing w:after="0" w:line="330" w:lineRule="auto"/>
        <w:tabs>
          <w:tab w:leader="none" w:pos="2376" w:val="left"/>
        </w:tabs>
        <w:numPr>
          <w:ilvl w:val="2"/>
          <w:numId w:val="307"/>
        </w:numPr>
        <w:rPr>
          <w:rFonts w:ascii="Arial" w:cs="Arial" w:eastAsia="Arial" w:hAnsi="Arial"/>
          <w:sz w:val="16"/>
          <w:szCs w:val="16"/>
          <w:color w:val="auto"/>
        </w:rPr>
      </w:pPr>
      <w:r>
        <w:rPr>
          <w:rFonts w:ascii="Arial" w:cs="Arial" w:eastAsia="Arial" w:hAnsi="Arial"/>
          <w:sz w:val="16"/>
          <w:szCs w:val="16"/>
          <w:color w:val="auto"/>
        </w:rPr>
        <w:t>the maximum principal amount secured by that Security or to which that Quasi-Security relates has not increased in contemplation of or since the acquisition of any interest in that Material Subsidiary by any member of Group; and</w:t>
      </w:r>
    </w:p>
    <w:p>
      <w:pPr>
        <w:spacing w:after="0" w:line="133" w:lineRule="exact"/>
        <w:rPr>
          <w:rFonts w:ascii="Arial" w:cs="Arial" w:eastAsia="Arial" w:hAnsi="Arial"/>
          <w:sz w:val="16"/>
          <w:szCs w:val="16"/>
          <w:color w:val="auto"/>
        </w:rPr>
      </w:pPr>
    </w:p>
    <w:p>
      <w:pPr>
        <w:ind w:left="2360" w:right="200" w:hanging="551"/>
        <w:spacing w:after="0" w:line="267" w:lineRule="auto"/>
        <w:tabs>
          <w:tab w:leader="none" w:pos="2376"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that Security or Quasi-Security is removed or discharged within 120 days of that Material Subsidiary becoming a member of Group;</w:t>
      </w:r>
    </w:p>
    <w:p>
      <w:pPr>
        <w:spacing w:after="0" w:line="178" w:lineRule="exact"/>
        <w:rPr>
          <w:rFonts w:ascii="Arial" w:cs="Arial" w:eastAsia="Arial" w:hAnsi="Arial"/>
          <w:sz w:val="18"/>
          <w:szCs w:val="18"/>
          <w:color w:val="auto"/>
        </w:rPr>
      </w:pPr>
    </w:p>
    <w:p>
      <w:pPr>
        <w:ind w:left="1800" w:right="260" w:hanging="545"/>
        <w:spacing w:after="0" w:line="304" w:lineRule="auto"/>
        <w:tabs>
          <w:tab w:leader="none" w:pos="1822" w:val="left"/>
        </w:tabs>
        <w:numPr>
          <w:ilvl w:val="1"/>
          <w:numId w:val="308"/>
        </w:numPr>
        <w:rPr>
          <w:rFonts w:ascii="Arial" w:cs="Arial" w:eastAsia="Arial" w:hAnsi="Arial"/>
          <w:sz w:val="16"/>
          <w:szCs w:val="16"/>
          <w:color w:val="auto"/>
        </w:rPr>
      </w:pPr>
      <w:r>
        <w:rPr>
          <w:rFonts w:ascii="Arial" w:cs="Arial" w:eastAsia="Arial" w:hAnsi="Arial"/>
          <w:sz w:val="16"/>
          <w:szCs w:val="16"/>
          <w:color w:val="auto"/>
        </w:rPr>
        <w:t>any Security or Quasi-Security arising under any retention of title, hire purchase or conditional sale arrangement or arrangements having similar effect in respect of goods supplied to the Borrower or any other Material Subsidiary in the ordinary course of trading and on the supplier’s standard or usual terms and not arising as a result of any default or omission by any Material Subsidiary;</w:t>
      </w:r>
    </w:p>
    <w:p>
      <w:pPr>
        <w:spacing w:after="0" w:line="153" w:lineRule="exact"/>
        <w:rPr>
          <w:rFonts w:ascii="Arial" w:cs="Arial" w:eastAsia="Arial" w:hAnsi="Arial"/>
          <w:sz w:val="16"/>
          <w:szCs w:val="16"/>
          <w:color w:val="auto"/>
        </w:rPr>
      </w:pPr>
    </w:p>
    <w:p>
      <w:pPr>
        <w:ind w:left="1800" w:right="240" w:hanging="545"/>
        <w:spacing w:after="0" w:line="267" w:lineRule="auto"/>
        <w:tabs>
          <w:tab w:leader="none" w:pos="1831"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Security or Quasi-Security arising as a result of legal proceedings being contested by any Material Subsidiary in good faith and which is discharged within 30 days of such Security or Quasi-Security first arising;</w:t>
      </w:r>
    </w:p>
    <w:p>
      <w:pPr>
        <w:spacing w:after="0" w:line="178" w:lineRule="exact"/>
        <w:rPr>
          <w:rFonts w:ascii="Arial" w:cs="Arial" w:eastAsia="Arial" w:hAnsi="Arial"/>
          <w:sz w:val="18"/>
          <w:szCs w:val="18"/>
          <w:color w:val="auto"/>
        </w:rPr>
      </w:pPr>
    </w:p>
    <w:p>
      <w:pPr>
        <w:ind w:left="1800" w:right="340" w:hanging="545"/>
        <w:spacing w:after="0" w:line="296" w:lineRule="auto"/>
        <w:tabs>
          <w:tab w:leader="none" w:pos="1841"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any Security or Quasi-Security arising by operation of law in respect of Taxes being contested by any Material Subsidiary in good faith which is discharged by no later than 30 Business Days after such Security or Quasi-Security first arose;</w:t>
      </w:r>
    </w:p>
    <w:p>
      <w:pPr>
        <w:spacing w:after="0" w:line="157" w:lineRule="exact"/>
        <w:rPr>
          <w:rFonts w:ascii="Arial" w:cs="Arial" w:eastAsia="Arial" w:hAnsi="Arial"/>
          <w:sz w:val="17"/>
          <w:szCs w:val="17"/>
          <w:color w:val="auto"/>
        </w:rPr>
      </w:pPr>
    </w:p>
    <w:p>
      <w:pPr>
        <w:ind w:left="1840" w:hanging="585"/>
        <w:spacing w:after="0"/>
        <w:tabs>
          <w:tab w:leader="none" w:pos="184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any Security or Quasi-Security granted with the prior written consent of the Agent (acting on the instructions of the Majority Lenders);</w:t>
      </w:r>
    </w:p>
    <w:p>
      <w:pPr>
        <w:spacing w:after="0" w:line="242" w:lineRule="exact"/>
        <w:rPr>
          <w:rFonts w:ascii="Arial" w:cs="Arial" w:eastAsia="Arial" w:hAnsi="Arial"/>
          <w:sz w:val="16"/>
          <w:szCs w:val="16"/>
          <w:color w:val="auto"/>
        </w:rPr>
      </w:pPr>
    </w:p>
    <w:p>
      <w:pPr>
        <w:ind w:left="1820" w:hanging="565"/>
        <w:spacing w:after="0"/>
        <w:tabs>
          <w:tab w:leader="none" w:pos="182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any Security or Quasi-Security securing indebtedness the principal amount of which does not at any time exceed the lower of:</w:t>
      </w:r>
    </w:p>
    <w:p>
      <w:pPr>
        <w:spacing w:after="0" w:line="230" w:lineRule="exact"/>
        <w:rPr>
          <w:rFonts w:ascii="Arial" w:cs="Arial" w:eastAsia="Arial" w:hAnsi="Arial"/>
          <w:sz w:val="17"/>
          <w:szCs w:val="17"/>
          <w:color w:val="auto"/>
        </w:rPr>
      </w:pPr>
    </w:p>
    <w:p>
      <w:pPr>
        <w:ind w:left="2380" w:hanging="571"/>
        <w:spacing w:after="0"/>
        <w:tabs>
          <w:tab w:leader="none" w:pos="238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RMB 10,000,000,000 (or its equivalent in another currency or currencies); and</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15 per cent of the consolidated total assets of the Borrower at such time.</w:t>
      </w:r>
    </w:p>
    <w:p>
      <w:pPr>
        <w:spacing w:after="0" w:line="219" w:lineRule="exact"/>
        <w:rPr>
          <w:rFonts w:ascii="Arial" w:cs="Arial" w:eastAsia="Arial" w:hAnsi="Arial"/>
          <w:sz w:val="18"/>
          <w:szCs w:val="18"/>
          <w:color w:val="auto"/>
        </w:rPr>
      </w:pPr>
    </w:p>
    <w:p>
      <w:pPr>
        <w:ind w:left="1260" w:right="20" w:hanging="559"/>
        <w:spacing w:after="0" w:line="304" w:lineRule="auto"/>
        <w:tabs>
          <w:tab w:leader="none" w:pos="1273"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Borrower shall procure that, save with the prior written consent of the Agent (acting on the instructions of the Majority Lenders), no Security or Quasi-Security shall be created by the Borrower or any other member of the Group in respect of, or shall subsist over or affect, any Equity Interest in any Material Subsidiary or any Holding Company of any Material Subsidiary (or any interest in any such Equity Interest).</w:t>
      </w:r>
    </w:p>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4"/>
          <w:szCs w:val="14"/>
          <w:b w:val="1"/>
          <w:bCs w:val="1"/>
          <w:color w:val="auto"/>
        </w:rPr>
        <w:t>Disposals</w:t>
      </w:r>
    </w:p>
    <w:p>
      <w:pPr>
        <w:spacing w:after="0" w:line="225" w:lineRule="exact"/>
        <w:rPr>
          <w:sz w:val="20"/>
          <w:szCs w:val="20"/>
          <w:color w:val="auto"/>
        </w:rPr>
      </w:pPr>
    </w:p>
    <w:p>
      <w:pPr>
        <w:ind w:left="1260" w:right="780" w:hanging="559"/>
        <w:spacing w:after="0" w:line="330" w:lineRule="auto"/>
        <w:tabs>
          <w:tab w:leader="none" w:pos="1263"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Borrower shall not, and the Borrower shall procure that no Material Subsidiary will, enter into a single transaction or a series of transactions (whether related or not) and whether voluntary or involuntary to sell, lease, transfer or otherwise dispose of any asset.</w:t>
      </w:r>
    </w:p>
    <w:p>
      <w:pPr>
        <w:spacing w:after="0" w:line="133" w:lineRule="exact"/>
        <w:rPr>
          <w:rFonts w:ascii="Arial" w:cs="Arial" w:eastAsia="Arial" w:hAnsi="Arial"/>
          <w:sz w:val="16"/>
          <w:szCs w:val="16"/>
          <w:color w:val="auto"/>
        </w:rPr>
      </w:pPr>
    </w:p>
    <w:p>
      <w:pPr>
        <w:ind w:left="1260" w:right="180" w:hanging="559"/>
        <w:spacing w:after="0" w:line="304" w:lineRule="auto"/>
        <w:tabs>
          <w:tab w:leader="none" w:pos="1273" w:val="left"/>
        </w:tabs>
        <w:numPr>
          <w:ilvl w:val="0"/>
          <w:numId w:val="310"/>
        </w:numPr>
        <w:rPr>
          <w:rFonts w:ascii="Arial" w:cs="Arial" w:eastAsia="Arial" w:hAnsi="Arial"/>
          <w:sz w:val="16"/>
          <w:szCs w:val="16"/>
          <w:color w:val="auto"/>
        </w:rPr>
      </w:pPr>
      <w:r>
        <w:rPr>
          <w:rFonts w:ascii="Arial" w:cs="Arial" w:eastAsia="Arial" w:hAnsi="Arial"/>
          <w:sz w:val="16"/>
          <w:szCs w:val="16"/>
          <w:color w:val="auto"/>
        </w:rPr>
        <w:t>Paragraph (a) above does not apply to any sale, lease, transfer or other disposal (other than shares in NetEase (Hangzhou) Network Co., Ltd, which shall not be disposed of in any circumstances) except to the Borrower or a Material Subsidiary or to a member of the Group which is not itself a Material Subsidiary before such disposal and becomes a Material Subsidiary immediately after such disposal: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24" w:name="page225"/>
    <w:bookmarkEnd w:id="224"/>
    <w:p>
      <w:pPr>
        <w:ind w:left="1840" w:hanging="585"/>
        <w:spacing w:after="0"/>
        <w:tabs>
          <w:tab w:leader="none" w:pos="1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of assets in exchange for other assets comparable or superior as to type, value and quality;</w:t>
      </w:r>
    </w:p>
    <w:p>
      <w:pPr>
        <w:spacing w:after="0" w:line="219" w:lineRule="exact"/>
        <w:rPr>
          <w:rFonts w:ascii="Arial" w:cs="Arial" w:eastAsia="Arial" w:hAnsi="Arial"/>
          <w:sz w:val="18"/>
          <w:szCs w:val="18"/>
          <w:color w:val="auto"/>
        </w:rPr>
      </w:pPr>
    </w:p>
    <w:p>
      <w:pPr>
        <w:ind w:left="1860" w:hanging="605"/>
        <w:spacing w:after="0"/>
        <w:tabs>
          <w:tab w:leader="none" w:pos="18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made to another member of the Group;</w:t>
      </w:r>
    </w:p>
    <w:p>
      <w:pPr>
        <w:spacing w:after="0" w:line="219" w:lineRule="exact"/>
        <w:rPr>
          <w:rFonts w:ascii="Arial" w:cs="Arial" w:eastAsia="Arial" w:hAnsi="Arial"/>
          <w:sz w:val="18"/>
          <w:szCs w:val="18"/>
          <w:color w:val="auto"/>
        </w:rPr>
      </w:pPr>
    </w:p>
    <w:p>
      <w:pPr>
        <w:ind w:left="1800" w:right="60" w:hanging="545"/>
        <w:spacing w:after="0" w:line="267" w:lineRule="auto"/>
        <w:tabs>
          <w:tab w:leader="none" w:pos="181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of any asset which is a financial asset that has been classified in the latest audited consolidated financial statements of the Borrower as being available for sale;</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of any asset where:</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such asset is being disposed as part of the Group’s business strategy;</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such disposal is for good and valuable consideration; and</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no Default is continuing or would result from such disposal;</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with prior written consent of the Agent (acting on the instructions of the Majority Lenders); or</w:t>
      </w:r>
    </w:p>
    <w:p>
      <w:pPr>
        <w:spacing w:after="0" w:line="219" w:lineRule="exact"/>
        <w:rPr>
          <w:rFonts w:ascii="Arial" w:cs="Arial" w:eastAsia="Arial" w:hAnsi="Arial"/>
          <w:sz w:val="18"/>
          <w:szCs w:val="18"/>
          <w:color w:val="auto"/>
        </w:rPr>
      </w:pPr>
    </w:p>
    <w:p>
      <w:pPr>
        <w:ind w:left="1800" w:hanging="545"/>
        <w:spacing w:after="0" w:line="252" w:lineRule="auto"/>
        <w:tabs>
          <w:tab w:leader="none" w:pos="184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of any asset in any financial year of the Borrower, where the higher of the market value or consideration receivable in respect of such asset (when aggregated with the higher (in each case) of the market value or consideration receivable in respect of each other asset of the subject of any other sale, lease, transfer or other disposal by any or all of the Borrower and the Material Subsidiaries during such financial year, other than any permitted under paragraphs (b)(i) to (b)(vii) above) does not exceed US$100,000,000 (or its equivalent in another currency or currencies).</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b w:val="1"/>
          <w:bCs w:val="1"/>
          <w:color w:val="auto"/>
        </w:rPr>
        <w:t>Merger</w:t>
      </w:r>
    </w:p>
    <w:p>
      <w:pPr>
        <w:spacing w:after="0" w:line="225" w:lineRule="exact"/>
        <w:rPr>
          <w:sz w:val="20"/>
          <w:szCs w:val="20"/>
          <w:color w:val="auto"/>
        </w:rPr>
      </w:pPr>
    </w:p>
    <w:p>
      <w:pPr>
        <w:ind w:left="1260" w:right="220" w:hanging="559"/>
        <w:spacing w:after="0" w:line="267" w:lineRule="auto"/>
        <w:tabs>
          <w:tab w:leader="none" w:pos="126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Borrower shall. not, and the Borrower shall procure that no Material Subsidiary will, enter into any amalgamation, demerger, merger or corporate reconstruction.</w:t>
      </w:r>
    </w:p>
    <w:p>
      <w:pPr>
        <w:spacing w:after="0" w:line="178" w:lineRule="exact"/>
        <w:rPr>
          <w:rFonts w:ascii="Arial" w:cs="Arial" w:eastAsia="Arial" w:hAnsi="Arial"/>
          <w:sz w:val="18"/>
          <w:szCs w:val="18"/>
          <w:color w:val="auto"/>
        </w:rPr>
      </w:pPr>
    </w:p>
    <w:p>
      <w:pPr>
        <w:ind w:left="1260" w:right="500" w:hanging="559"/>
        <w:spacing w:after="0" w:line="267" w:lineRule="auto"/>
        <w:tabs>
          <w:tab w:leader="none" w:pos="127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Paragraph (a) above does not apply to any amalgamation, merger or corporate reconstruction entered into by the Borrower or a Material Subsidiary provided that:</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in the case of the Borrower:</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the Borrower is the surviving entity of such amalgamation, merger or corporate reconstruction; and</w:t>
      </w:r>
    </w:p>
    <w:p>
      <w:pPr>
        <w:spacing w:after="0" w:line="219" w:lineRule="exact"/>
        <w:rPr>
          <w:rFonts w:ascii="Arial" w:cs="Arial" w:eastAsia="Arial" w:hAnsi="Arial"/>
          <w:sz w:val="18"/>
          <w:szCs w:val="18"/>
          <w:color w:val="auto"/>
        </w:rPr>
      </w:pPr>
    </w:p>
    <w:p>
      <w:pPr>
        <w:ind w:left="2360" w:right="200" w:hanging="551"/>
        <w:spacing w:after="0" w:line="257" w:lineRule="auto"/>
        <w:tabs>
          <w:tab w:leader="none" w:pos="2376" w:val="left"/>
        </w:tabs>
        <w:numPr>
          <w:ilvl w:val="2"/>
          <w:numId w:val="312"/>
        </w:numPr>
        <w:rPr>
          <w:rFonts w:ascii="Arial" w:cs="Arial" w:eastAsia="Arial" w:hAnsi="Arial"/>
          <w:sz w:val="18"/>
          <w:szCs w:val="18"/>
          <w:color w:val="auto"/>
        </w:rPr>
      </w:pPr>
      <w:r>
        <w:rPr>
          <w:rFonts w:ascii="Arial" w:cs="Arial" w:eastAsia="Arial" w:hAnsi="Arial"/>
          <w:sz w:val="18"/>
          <w:szCs w:val="18"/>
          <w:color w:val="auto"/>
        </w:rPr>
        <w:t>such amalgamation, merger or corporate reconstruction is made on a solvent basis and does not and would not be reasonably expected to have a Material Adverse Effect and no Default is continuing or would occur as a result of such amalgamation, merger or corporate reconstruction; and</w:t>
      </w:r>
    </w:p>
    <w:p>
      <w:pPr>
        <w:spacing w:after="0" w:line="187" w:lineRule="exact"/>
        <w:rPr>
          <w:rFonts w:ascii="Arial" w:cs="Arial" w:eastAsia="Arial" w:hAnsi="Arial"/>
          <w:sz w:val="18"/>
          <w:szCs w:val="18"/>
          <w:color w:val="auto"/>
        </w:rPr>
      </w:pPr>
    </w:p>
    <w:p>
      <w:pPr>
        <w:ind w:left="1800" w:right="120" w:hanging="541"/>
        <w:spacing w:after="0" w:line="295" w:lineRule="auto"/>
        <w:tabs>
          <w:tab w:leader="none" w:pos="1827" w:val="left"/>
        </w:tabs>
        <w:numPr>
          <w:ilvl w:val="1"/>
          <w:numId w:val="312"/>
        </w:numPr>
        <w:rPr>
          <w:rFonts w:ascii="Arial" w:cs="Arial" w:eastAsia="Arial" w:hAnsi="Arial"/>
          <w:sz w:val="16"/>
          <w:szCs w:val="16"/>
          <w:color w:val="auto"/>
        </w:rPr>
      </w:pPr>
      <w:r>
        <w:rPr>
          <w:rFonts w:ascii="Arial" w:cs="Arial" w:eastAsia="Arial" w:hAnsi="Arial"/>
          <w:sz w:val="16"/>
          <w:szCs w:val="16"/>
          <w:color w:val="auto"/>
        </w:rPr>
        <w:t xml:space="preserve">in the case of a Material Subsidiary, it is a liquidation, reorganisation, merger, demerger, amalgamation, consolidation or corporate reconstruction (a </w:t>
      </w:r>
      <w:r>
        <w:rPr>
          <w:rFonts w:ascii="Arial" w:cs="Arial" w:eastAsia="Arial" w:hAnsi="Arial"/>
          <w:sz w:val="16"/>
          <w:szCs w:val="16"/>
          <w:b w:val="1"/>
          <w:bCs w:val="1"/>
          <w:color w:val="auto"/>
        </w:rPr>
        <w:t>Reorganisation</w:t>
      </w:r>
      <w:r>
        <w:rPr>
          <w:rFonts w:ascii="Arial" w:cs="Arial" w:eastAsia="Arial" w:hAnsi="Arial"/>
          <w:sz w:val="16"/>
          <w:szCs w:val="16"/>
          <w:color w:val="auto"/>
        </w:rPr>
        <w:t>) on a solvent basis of any Material Subsidiary provided that all payments and assets made, transferred or distributed as a result of such Reorganisation are made, transferred and distributed to one or more Material Subsidiaries (or an entity which will become a Material Subsidiary immediately after such transfer or distribution) and such Reorganisation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25" w:name="page226"/>
    <w:bookmarkEnd w:id="225"/>
    <w:p>
      <w:pPr>
        <w:ind w:left="1800" w:right="280"/>
        <w:spacing w:after="0" w:line="267" w:lineRule="auto"/>
        <w:rPr>
          <w:sz w:val="20"/>
          <w:szCs w:val="20"/>
          <w:color w:val="auto"/>
        </w:rPr>
      </w:pPr>
      <w:r>
        <w:rPr>
          <w:rFonts w:ascii="Arial" w:cs="Arial" w:eastAsia="Arial" w:hAnsi="Arial"/>
          <w:sz w:val="18"/>
          <w:szCs w:val="18"/>
          <w:color w:val="auto"/>
        </w:rPr>
        <w:t>does not and would not be reasonably expected to have a Material Adverse Effect and no Default is continuing or would occur as a result of such Reorganisation.</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4"/>
          <w:szCs w:val="14"/>
          <w:b w:val="1"/>
          <w:bCs w:val="1"/>
          <w:color w:val="auto"/>
        </w:rPr>
        <w:t>Change of business</w:t>
      </w:r>
    </w:p>
    <w:p>
      <w:pPr>
        <w:spacing w:after="0" w:line="225" w:lineRule="exact"/>
        <w:rPr>
          <w:sz w:val="20"/>
          <w:szCs w:val="20"/>
          <w:color w:val="auto"/>
        </w:rPr>
      </w:pPr>
    </w:p>
    <w:p>
      <w:pPr>
        <w:ind w:left="700" w:right="120"/>
        <w:spacing w:after="0" w:line="411" w:lineRule="auto"/>
        <w:rPr>
          <w:sz w:val="20"/>
          <w:szCs w:val="20"/>
          <w:color w:val="auto"/>
        </w:rPr>
      </w:pPr>
      <w:r>
        <w:rPr>
          <w:rFonts w:ascii="Arial" w:cs="Arial" w:eastAsia="Arial" w:hAnsi="Arial"/>
          <w:sz w:val="14"/>
          <w:szCs w:val="14"/>
          <w:color w:val="auto"/>
        </w:rPr>
        <w:t>The Borrower shall procure that no substantial change is made to the general nature of the business of the Group (taken as a whole) from that carried on by the Group at the date of this agreement, to the extent that such change would reasonably be expected to have a Material Adverse Effect.</w:t>
      </w:r>
    </w:p>
    <w:p>
      <w:pPr>
        <w:spacing w:after="0" w:line="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4"/>
          <w:szCs w:val="14"/>
          <w:b w:val="1"/>
          <w:bCs w:val="1"/>
          <w:color w:val="auto"/>
        </w:rPr>
        <w:t>Maintenance of corporate existence and books and records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shall, and shall procure that each Material Subsidiary will:</w:t>
      </w:r>
    </w:p>
    <w:p>
      <w:pPr>
        <w:spacing w:after="0" w:line="219" w:lineRule="exact"/>
        <w:rPr>
          <w:sz w:val="20"/>
          <w:szCs w:val="20"/>
          <w:color w:val="auto"/>
        </w:rPr>
      </w:pPr>
    </w:p>
    <w:p>
      <w:pPr>
        <w:ind w:left="1260" w:right="260" w:hanging="559"/>
        <w:spacing w:after="0" w:line="257" w:lineRule="auto"/>
        <w:tabs>
          <w:tab w:leader="none" w:pos="126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maintain its corporate existence and registration in the jurisdiction of its incorporation (other than, in the case of any Material Subsidiary, where such Material Subsidiary is not the surviving entity of any amalgamation, merger or corporate reconstruction to the extent permitted under Clause 20.6 (Merger));</w:t>
      </w:r>
    </w:p>
    <w:p>
      <w:pPr>
        <w:spacing w:after="0" w:line="187" w:lineRule="exact"/>
        <w:rPr>
          <w:rFonts w:ascii="Arial" w:cs="Arial" w:eastAsia="Arial" w:hAnsi="Arial"/>
          <w:sz w:val="18"/>
          <w:szCs w:val="18"/>
          <w:color w:val="auto"/>
        </w:rPr>
      </w:pPr>
    </w:p>
    <w:p>
      <w:pPr>
        <w:ind w:left="1260" w:hanging="559"/>
        <w:spacing w:after="0"/>
        <w:tabs>
          <w:tab w:leader="none" w:pos="12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keep and maintain proper books and records in accordance with GAAP in all material respects; and</w:t>
      </w:r>
    </w:p>
    <w:p>
      <w:pPr>
        <w:spacing w:after="0" w:line="219" w:lineRule="exact"/>
        <w:rPr>
          <w:rFonts w:ascii="Arial" w:cs="Arial" w:eastAsia="Arial" w:hAnsi="Arial"/>
          <w:sz w:val="18"/>
          <w:szCs w:val="18"/>
          <w:color w:val="auto"/>
        </w:rPr>
      </w:pPr>
    </w:p>
    <w:p>
      <w:pPr>
        <w:ind w:left="1260" w:right="40" w:hanging="559"/>
        <w:spacing w:after="0" w:line="252" w:lineRule="auto"/>
        <w:tabs>
          <w:tab w:leader="none" w:pos="127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Borrower shall permit the Agent or a representative of the Agent while a payment or financial covenant Event of Default is continuing or the Agent reasonably believe that a payment or financial covenant Event of Default is continuing, upon reasonable notice and during regular business hours only and at a time convenient to management, to visit any of its offices (in the presence of a representative of the Borrower) to inspect any of its books and records, provided that all information obtained as a result of such access shall be subject to the confidentiality restrictions set out in this Agreement.</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b w:val="1"/>
          <w:bCs w:val="1"/>
          <w:color w:val="auto"/>
        </w:rPr>
        <w:t>Anti-corruption law</w:t>
      </w:r>
    </w:p>
    <w:p>
      <w:pPr>
        <w:spacing w:after="0" w:line="225" w:lineRule="exact"/>
        <w:rPr>
          <w:sz w:val="20"/>
          <w:szCs w:val="20"/>
          <w:color w:val="auto"/>
        </w:rPr>
      </w:pPr>
    </w:p>
    <w:p>
      <w:pPr>
        <w:ind w:left="1260" w:right="80" w:hanging="559"/>
        <w:spacing w:after="0" w:line="257" w:lineRule="auto"/>
        <w:tabs>
          <w:tab w:leader="none" w:pos="126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Borrower shall not (and the Borrower shall ensure that no member of the Group will) directly or indirectly use any of the proceeds of the Facility (or any part thereof) for any purpose which would breach, or would cause any member of the Group or any Finance Party to be in breach of, any Anti-Bribery and Corruption Laws.</w:t>
      </w:r>
    </w:p>
    <w:p>
      <w:pPr>
        <w:spacing w:after="0" w:line="187" w:lineRule="exact"/>
        <w:rPr>
          <w:rFonts w:ascii="Arial" w:cs="Arial" w:eastAsia="Arial" w:hAnsi="Arial"/>
          <w:sz w:val="18"/>
          <w:szCs w:val="18"/>
          <w:color w:val="auto"/>
        </w:rPr>
      </w:pPr>
    </w:p>
    <w:p>
      <w:pPr>
        <w:ind w:left="1260" w:right="120" w:hanging="559"/>
        <w:spacing w:after="0" w:line="267" w:lineRule="auto"/>
        <w:tabs>
          <w:tab w:leader="none" w:pos="127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Borrower shall (and the Borrower shall ensure that each member of the Group will) comply in all respects, and conduct its businesses in compliance, with all applicable Anti-Bribery and Corruption Laws.</w:t>
      </w:r>
    </w:p>
    <w:p>
      <w:pPr>
        <w:spacing w:after="0" w:line="178" w:lineRule="exact"/>
        <w:rPr>
          <w:rFonts w:ascii="Arial" w:cs="Arial" w:eastAsia="Arial" w:hAnsi="Arial"/>
          <w:sz w:val="18"/>
          <w:szCs w:val="18"/>
          <w:color w:val="auto"/>
        </w:rPr>
      </w:pPr>
    </w:p>
    <w:p>
      <w:pPr>
        <w:ind w:left="1260" w:right="160" w:hanging="559"/>
        <w:spacing w:after="0" w:line="267" w:lineRule="auto"/>
        <w:tabs>
          <w:tab w:leader="none" w:pos="127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Borrower shall institute and maintain systems, controls and other arrangements designed to promote and ensure ongoing compliance by member of the Group with all applicable Anti-Bribery and Corruption Laws.</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6"/>
          <w:szCs w:val="16"/>
          <w:b w:val="1"/>
          <w:bCs w:val="1"/>
          <w:color w:val="auto"/>
        </w:rPr>
        <w:t>Sanctions, Anti-Terrorism Laws and Anti-Money Laundering Laws</w:t>
      </w:r>
    </w:p>
    <w:p>
      <w:pPr>
        <w:spacing w:after="0" w:line="225" w:lineRule="exact"/>
        <w:rPr>
          <w:sz w:val="20"/>
          <w:szCs w:val="20"/>
          <w:color w:val="auto"/>
        </w:rPr>
      </w:pPr>
    </w:p>
    <w:p>
      <w:pPr>
        <w:ind w:left="1260" w:hanging="559"/>
        <w:spacing w:after="0" w:line="252" w:lineRule="auto"/>
        <w:tabs>
          <w:tab w:leader="none" w:pos="126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Borrower shall (and the Borrower shall procure that each member of the Group will) comply with, and conduct its business in compliance with, all applicable Sanctions, Anti-Money Laundering Laws and Anti-Terrorism Laws. Without prejudice to the foregoing, the Borrower shall not, and the Borrower shall procure that no member of the Group will, knowingly engage in any transaction that violates or would violate, or would cause any member of the Group or any Finance Party to be in violation of, any of the applicable prohibitions set forth in any Sanctions, Anti-Money Laundering Laws or Anti-Terrorism Laws.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26" w:name="page227"/>
    <w:bookmarkEnd w:id="226"/>
    <w:p>
      <w:pPr>
        <w:ind w:left="1260" w:hanging="559"/>
        <w:spacing w:after="0" w:line="267" w:lineRule="auto"/>
        <w:tabs>
          <w:tab w:leader="none" w:pos="127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Borrower shall ensure that none of the funds or assets of any member of the Group that are used to repay the Facility (or any part thereof) shall constitute property of, or shall be beneficially owned directly or indirectly by, any Restricted Party.</w:t>
      </w:r>
    </w:p>
    <w:p>
      <w:pPr>
        <w:spacing w:after="0" w:line="178" w:lineRule="exact"/>
        <w:rPr>
          <w:rFonts w:ascii="Arial" w:cs="Arial" w:eastAsia="Arial" w:hAnsi="Arial"/>
          <w:sz w:val="18"/>
          <w:szCs w:val="18"/>
          <w:color w:val="auto"/>
        </w:rPr>
      </w:pPr>
    </w:p>
    <w:p>
      <w:pPr>
        <w:ind w:left="1260" w:right="60" w:hanging="559"/>
        <w:spacing w:after="0" w:line="253" w:lineRule="auto"/>
        <w:tabs>
          <w:tab w:leader="none" w:pos="127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Borrower shall not, and the Borrower shall procure that no member of the Group will, fund all or part of any payment under any Finance Document out of proceeds derived from transactions that violates or would violate, or would cause any member of the Group or any Finance Party to be in violation of, any of the applicable prohibitions set forth in any Sanctions, Anti-Money Laundering Laws or Anti-Terrorism Laws.</w:t>
      </w:r>
    </w:p>
    <w:p>
      <w:pPr>
        <w:spacing w:after="0" w:line="192" w:lineRule="exact"/>
        <w:rPr>
          <w:rFonts w:ascii="Arial" w:cs="Arial" w:eastAsia="Arial" w:hAnsi="Arial"/>
          <w:sz w:val="18"/>
          <w:szCs w:val="18"/>
          <w:color w:val="auto"/>
        </w:rPr>
      </w:pPr>
    </w:p>
    <w:p>
      <w:pPr>
        <w:ind w:left="1260" w:right="60" w:hanging="559"/>
        <w:spacing w:after="0" w:line="304" w:lineRule="auto"/>
        <w:tabs>
          <w:tab w:leader="none" w:pos="1273"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Borrower shall not, and the Borrower shall procure that no member of the Group will, directly or indirectly, use or allow to be used lend, invest, contribute or otherwise make available, the proceeds of the Facility (or any part thereof) or other transaction(s) contemplated by any Finance Document, to any member of the Group, any director or officer, or any employee, agent, or affiliate, of a member of the Group:</w:t>
      </w:r>
    </w:p>
    <w:p>
      <w:pPr>
        <w:spacing w:after="0" w:line="153" w:lineRule="exact"/>
        <w:rPr>
          <w:rFonts w:ascii="Arial" w:cs="Arial" w:eastAsia="Arial" w:hAnsi="Arial"/>
          <w:sz w:val="16"/>
          <w:szCs w:val="16"/>
          <w:color w:val="auto"/>
        </w:rPr>
      </w:pPr>
    </w:p>
    <w:p>
      <w:pPr>
        <w:ind w:left="1800" w:right="200" w:hanging="545"/>
        <w:spacing w:after="0" w:line="267" w:lineRule="auto"/>
        <w:tabs>
          <w:tab w:leader="none" w:pos="182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in favour of or for the benefit of, or for financing any activities of, or funding any trade, business or other activities involving or for the benefit of, any Restricted Party;</w:t>
      </w:r>
    </w:p>
    <w:p>
      <w:pPr>
        <w:spacing w:after="0" w:line="178" w:lineRule="exact"/>
        <w:rPr>
          <w:rFonts w:ascii="Arial" w:cs="Arial" w:eastAsia="Arial" w:hAnsi="Arial"/>
          <w:sz w:val="18"/>
          <w:szCs w:val="18"/>
          <w:color w:val="auto"/>
        </w:rPr>
      </w:pPr>
    </w:p>
    <w:p>
      <w:pPr>
        <w:ind w:left="1800" w:right="180" w:hanging="545"/>
        <w:spacing w:after="0" w:line="253" w:lineRule="auto"/>
        <w:tabs>
          <w:tab w:leader="none" w:pos="183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in any manner or for any purpose which would or might violate, or cause any member of the Group, any Finance Party or any other person participating in the Facility (whether as underwriter, advisor, investor or otherwise) to be in violation of, any applicable Sanctions, Anti-Money Laundering Laws or Anti-Terrorism Laws or Anti-Bribery and Corruption Laws or becoming a Restricted Party; or</w:t>
      </w:r>
    </w:p>
    <w:p>
      <w:pPr>
        <w:spacing w:after="0" w:line="192" w:lineRule="exact"/>
        <w:rPr>
          <w:rFonts w:ascii="Arial" w:cs="Arial" w:eastAsia="Arial" w:hAnsi="Arial"/>
          <w:sz w:val="18"/>
          <w:szCs w:val="18"/>
          <w:color w:val="auto"/>
        </w:rPr>
      </w:pPr>
    </w:p>
    <w:p>
      <w:pPr>
        <w:ind w:left="1800" w:hanging="545"/>
        <w:spacing w:after="0" w:line="257" w:lineRule="auto"/>
        <w:tabs>
          <w:tab w:leader="none" w:pos="1845" w:val="left"/>
        </w:tabs>
        <w:numPr>
          <w:ilvl w:val="1"/>
          <w:numId w:val="316"/>
        </w:numPr>
        <w:rPr>
          <w:rFonts w:ascii="Arial" w:cs="Arial" w:eastAsia="Arial" w:hAnsi="Arial"/>
          <w:sz w:val="18"/>
          <w:szCs w:val="18"/>
          <w:color w:val="auto"/>
        </w:rPr>
      </w:pPr>
      <w:r>
        <w:rPr>
          <w:rFonts w:ascii="Arial" w:cs="Arial" w:eastAsia="Arial" w:hAnsi="Arial"/>
          <w:sz w:val="18"/>
          <w:szCs w:val="18"/>
          <w:color w:val="auto"/>
        </w:rPr>
        <w:t>for business activities relating to any Sanctioned Jurisdiction, including any business activities involving persons or entities named on any Sanctions List in any manner which would violate, or cause any member of the Group or any Finance Party to be in violation of, any applicable Sanctions.</w:t>
      </w:r>
    </w:p>
    <w:p>
      <w:pPr>
        <w:spacing w:after="0" w:line="187" w:lineRule="exact"/>
        <w:rPr>
          <w:rFonts w:ascii="Arial" w:cs="Arial" w:eastAsia="Arial" w:hAnsi="Arial"/>
          <w:sz w:val="18"/>
          <w:szCs w:val="18"/>
          <w:color w:val="auto"/>
        </w:rPr>
      </w:pPr>
    </w:p>
    <w:p>
      <w:pPr>
        <w:ind w:left="1260" w:right="380" w:hanging="559"/>
        <w:spacing w:after="0" w:line="296" w:lineRule="auto"/>
        <w:tabs>
          <w:tab w:leader="none" w:pos="1276"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Borrower shall continue to institute and maintain systems, controls and other arrangements designed to promote and ensure ongoing compliance by the Group with all applicable Sanctions, Anti-Money Laundering Laws and Anti-Terrorism Laws.</w:t>
      </w:r>
    </w:p>
    <w:p>
      <w:pPr>
        <w:spacing w:after="0" w:line="1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ind w:left="700" w:right="40"/>
        <w:spacing w:after="0" w:line="349" w:lineRule="auto"/>
        <w:rPr>
          <w:sz w:val="20"/>
          <w:szCs w:val="20"/>
          <w:color w:val="auto"/>
        </w:rPr>
      </w:pPr>
      <w:r>
        <w:rPr>
          <w:rFonts w:ascii="Arial" w:cs="Arial" w:eastAsia="Arial" w:hAnsi="Arial"/>
          <w:sz w:val="14"/>
          <w:szCs w:val="14"/>
          <w:color w:val="auto"/>
        </w:rPr>
        <w:t>The Borrower shall (and the Borrower shall ensure each Material Subsidiary will) pay or procure payment of all Taxes and lodge all tax filings when due and payable or when required to be lodged (as the case may be), other than any Tax being contested in good faith by appropriate proceedings and where failure to pay or discharge would have or is likely to have a Material Adverse Effect and if the dispute in respect of such Taxes is likely to be adversely determined, adequate reserves have been set aside and such Taxes are paid promptly on final determination or settlement of the contest.</w:t>
      </w:r>
    </w:p>
    <w:p>
      <w:pPr>
        <w:spacing w:after="0" w:line="1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6"/>
          <w:szCs w:val="16"/>
          <w:b w:val="1"/>
          <w:bCs w:val="1"/>
          <w:color w:val="auto"/>
        </w:rPr>
        <w:t>Further Assurance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w:t>
      </w:r>
    </w:p>
    <w:p>
      <w:pPr>
        <w:spacing w:after="0" w:line="219" w:lineRule="exact"/>
        <w:rPr>
          <w:sz w:val="20"/>
          <w:szCs w:val="20"/>
          <w:color w:val="auto"/>
        </w:rPr>
      </w:pPr>
    </w:p>
    <w:p>
      <w:pPr>
        <w:ind w:left="1260" w:right="120" w:hanging="559"/>
        <w:spacing w:after="0" w:line="257" w:lineRule="auto"/>
        <w:tabs>
          <w:tab w:leader="none" w:pos="126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notifies the Borrower that it becomes aware that NDRC accepts the filing or registration of this agreement or the Facility with NDRC as required under the laws or regulations in the PRC applicable to the transactions contemplated under this agreement or the Facility; or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40" w:right="299" w:bottom="1440" w:gutter="0" w:footer="0" w:header="0"/>
        </w:sectPr>
      </w:pPr>
    </w:p>
    <w:bookmarkStart w:id="227" w:name="page228"/>
    <w:bookmarkEnd w:id="227"/>
    <w:p>
      <w:pPr>
        <w:ind w:left="1260" w:right="140" w:hanging="559"/>
        <w:spacing w:after="0" w:line="296" w:lineRule="auto"/>
        <w:tabs>
          <w:tab w:leader="none" w:pos="1273"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Borrower becomes aware that NDRC accepts the filing or registration of this agreement or the Facility with NDRC as required under the laws or regulations in the PRC applicable to the transactions contemplated under this agreement or the Facility,</w:t>
      </w:r>
    </w:p>
    <w:p>
      <w:pPr>
        <w:spacing w:after="0" w:line="157" w:lineRule="exact"/>
        <w:rPr>
          <w:sz w:val="20"/>
          <w:szCs w:val="20"/>
          <w:color w:val="auto"/>
        </w:rPr>
      </w:pPr>
    </w:p>
    <w:p>
      <w:pPr>
        <w:ind w:left="700" w:right="200"/>
        <w:spacing w:after="0" w:line="257" w:lineRule="auto"/>
        <w:rPr>
          <w:sz w:val="20"/>
          <w:szCs w:val="20"/>
          <w:color w:val="auto"/>
        </w:rPr>
      </w:pPr>
      <w:r>
        <w:rPr>
          <w:rFonts w:ascii="Arial" w:cs="Arial" w:eastAsia="Arial" w:hAnsi="Arial"/>
          <w:sz w:val="18"/>
          <w:szCs w:val="18"/>
          <w:color w:val="auto"/>
        </w:rPr>
        <w:t>the Borrower shall, as soon as reasonably practicable after receipt of the Agent’s notice under paragraph (a) or the Borrower becoming aware of the acceptance of filing or registration by NDRC under paragraph (b) use reasonable endeavours to make such filing or registration with NDRC and deliver evidence to the Agent that it has made such filing or registration.</w:t>
      </w:r>
    </w:p>
    <w:p>
      <w:pPr>
        <w:spacing w:after="0" w:line="182" w:lineRule="exact"/>
        <w:rPr>
          <w:sz w:val="20"/>
          <w:szCs w:val="20"/>
          <w:color w:val="auto"/>
        </w:rPr>
      </w:pPr>
    </w:p>
    <w:p>
      <w:pPr>
        <w:ind w:left="700" w:hanging="693"/>
        <w:spacing w:after="0"/>
        <w:tabs>
          <w:tab w:leader="none" w:pos="700"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225" w:lineRule="exact"/>
        <w:rPr>
          <w:rFonts w:ascii="Arial" w:cs="Arial" w:eastAsia="Arial" w:hAnsi="Arial"/>
          <w:sz w:val="18"/>
          <w:szCs w:val="18"/>
          <w:color w:val="auto"/>
        </w:rPr>
      </w:pPr>
    </w:p>
    <w:p>
      <w:pPr>
        <w:ind w:left="700" w:right="400"/>
        <w:spacing w:after="0" w:line="267" w:lineRule="auto"/>
        <w:rPr>
          <w:rFonts w:ascii="Arial" w:cs="Arial" w:eastAsia="Arial" w:hAnsi="Arial"/>
          <w:sz w:val="18"/>
          <w:szCs w:val="18"/>
          <w:color w:val="auto"/>
        </w:rPr>
      </w:pPr>
      <w:r>
        <w:rPr>
          <w:rFonts w:ascii="Arial" w:cs="Arial" w:eastAsia="Arial" w:hAnsi="Arial"/>
          <w:sz w:val="18"/>
          <w:szCs w:val="18"/>
          <w:color w:val="auto"/>
        </w:rPr>
        <w:t>Each of the events or circumstances set out in the following sub-clauses of this Clause 21 (other than Clause 21.14 (Acceleration)) is an Event of Default.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4"/>
          <w:szCs w:val="14"/>
          <w:b w:val="1"/>
          <w:bCs w:val="1"/>
          <w:color w:val="auto"/>
        </w:rPr>
        <w:t>Non-payment</w:t>
      </w:r>
    </w:p>
    <w:p>
      <w:pPr>
        <w:spacing w:after="0" w:line="225" w:lineRule="exact"/>
        <w:rPr>
          <w:sz w:val="20"/>
          <w:szCs w:val="20"/>
          <w:color w:val="auto"/>
        </w:rPr>
      </w:pPr>
    </w:p>
    <w:p>
      <w:pPr>
        <w:ind w:left="700" w:right="380"/>
        <w:spacing w:after="0" w:line="267" w:lineRule="auto"/>
        <w:rPr>
          <w:sz w:val="20"/>
          <w:szCs w:val="20"/>
          <w:color w:val="auto"/>
        </w:rPr>
      </w:pPr>
      <w:r>
        <w:rPr>
          <w:rFonts w:ascii="Arial" w:cs="Arial" w:eastAsia="Arial" w:hAnsi="Arial"/>
          <w:sz w:val="18"/>
          <w:szCs w:val="18"/>
          <w:color w:val="auto"/>
        </w:rPr>
        <w:t>The Borrower does not pay on the due date any amount payable pursuant to a Finance Document at the place at and in the currency in which it is expressed to be payable unless:</w:t>
      </w:r>
    </w:p>
    <w:p>
      <w:pPr>
        <w:spacing w:after="0" w:line="179" w:lineRule="exact"/>
        <w:rPr>
          <w:sz w:val="20"/>
          <w:szCs w:val="20"/>
          <w:color w:val="auto"/>
        </w:rPr>
      </w:pPr>
    </w:p>
    <w:p>
      <w:pPr>
        <w:ind w:left="1260" w:hanging="559"/>
        <w:spacing w:after="0"/>
        <w:tabs>
          <w:tab w:leader="none" w:pos="12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19" w:lineRule="exact"/>
        <w:rPr>
          <w:rFonts w:ascii="Arial" w:cs="Arial" w:eastAsia="Arial" w:hAnsi="Arial"/>
          <w:sz w:val="18"/>
          <w:szCs w:val="18"/>
          <w:color w:val="auto"/>
        </w:rPr>
      </w:pPr>
    </w:p>
    <w:p>
      <w:pPr>
        <w:ind w:right="5920" w:firstLine="701"/>
        <w:spacing w:after="0" w:line="494" w:lineRule="auto"/>
        <w:tabs>
          <w:tab w:leader="none" w:pos="126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payment is made within five Business Days of its due date. 21.2 </w:t>
      </w:r>
      <w:r>
        <w:rPr>
          <w:rFonts w:ascii="Arial" w:cs="Arial" w:eastAsia="Arial" w:hAnsi="Arial"/>
          <w:sz w:val="18"/>
          <w:szCs w:val="18"/>
          <w:b w:val="1"/>
          <w:bCs w:val="1"/>
          <w:color w:val="auto"/>
        </w:rPr>
        <w:t>Financial covenants</w:t>
      </w:r>
    </w:p>
    <w:p>
      <w:pPr>
        <w:ind w:left="700"/>
        <w:spacing w:after="0"/>
        <w:rPr>
          <w:sz w:val="20"/>
          <w:szCs w:val="20"/>
          <w:color w:val="auto"/>
        </w:rPr>
      </w:pPr>
      <w:r>
        <w:rPr>
          <w:rFonts w:ascii="Arial" w:cs="Arial" w:eastAsia="Arial" w:hAnsi="Arial"/>
          <w:sz w:val="18"/>
          <w:szCs w:val="18"/>
          <w:color w:val="auto"/>
        </w:rPr>
        <w:t>Any requirement of Clause 19 (Financial Covenants) is not satisfied.</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4"/>
          <w:szCs w:val="14"/>
          <w:b w:val="1"/>
          <w:bCs w:val="1"/>
          <w:color w:val="auto"/>
        </w:rPr>
        <w:t>Other obligations</w:t>
      </w:r>
    </w:p>
    <w:p>
      <w:pPr>
        <w:spacing w:after="0" w:line="225" w:lineRule="exact"/>
        <w:rPr>
          <w:sz w:val="20"/>
          <w:szCs w:val="20"/>
          <w:color w:val="auto"/>
        </w:rPr>
      </w:pPr>
    </w:p>
    <w:p>
      <w:pPr>
        <w:ind w:left="1260" w:right="80" w:hanging="559"/>
        <w:spacing w:after="0" w:line="267" w:lineRule="auto"/>
        <w:tabs>
          <w:tab w:leader="none" w:pos="126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Borrower does not comply with any provision of the Finance Documents (other than those referred to in Clause 21.1 (Non-payment) and Clause 21.2 (Financial covenants)).</w:t>
      </w:r>
    </w:p>
    <w:p>
      <w:pPr>
        <w:spacing w:after="0" w:line="178" w:lineRule="exact"/>
        <w:rPr>
          <w:rFonts w:ascii="Arial" w:cs="Arial" w:eastAsia="Arial" w:hAnsi="Arial"/>
          <w:sz w:val="18"/>
          <w:szCs w:val="18"/>
          <w:color w:val="auto"/>
        </w:rPr>
      </w:pPr>
    </w:p>
    <w:p>
      <w:pPr>
        <w:ind w:left="1260" w:right="240" w:hanging="559"/>
        <w:spacing w:after="0" w:line="330" w:lineRule="auto"/>
        <w:tabs>
          <w:tab w:leader="none" w:pos="1273" w:val="left"/>
        </w:tabs>
        <w:numPr>
          <w:ilvl w:val="0"/>
          <w:numId w:val="321"/>
        </w:numPr>
        <w:rPr>
          <w:rFonts w:ascii="Arial" w:cs="Arial" w:eastAsia="Arial" w:hAnsi="Arial"/>
          <w:sz w:val="16"/>
          <w:szCs w:val="16"/>
          <w:color w:val="auto"/>
        </w:rPr>
      </w:pPr>
      <w:r>
        <w:rPr>
          <w:rFonts w:ascii="Arial" w:cs="Arial" w:eastAsia="Arial" w:hAnsi="Arial"/>
          <w:sz w:val="16"/>
          <w:szCs w:val="16"/>
          <w:color w:val="auto"/>
        </w:rPr>
        <w:t>No Event of Default under paragraph (a) above will occur if the failure to comply is capable of remedy and is remedied within 20 Business Days of the earlier of (A) the Agent giving written notice to the Borrower or (B) the Borrower becoming aware of the failure to comply.</w:t>
      </w:r>
    </w:p>
    <w:p>
      <w:pPr>
        <w:spacing w:after="0" w:line="12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Misrepresentation</w:t>
      </w:r>
    </w:p>
    <w:p>
      <w:pPr>
        <w:spacing w:after="0" w:line="225"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Any representation or statement made or deemed to be made by the Borrower in any or all of the Finance Documents or any other document delivered by or on behalf of the Borrower under or in connection with any Finance Document is or proves to have been incorrect or misleading in any material respect when made or deemed to be made, unless the underlying circumstances (if capable of remedy) are remedied within 20 Business Days of the earlier to occur of:</w:t>
      </w:r>
    </w:p>
    <w:p>
      <w:pPr>
        <w:spacing w:after="0" w:line="193" w:lineRule="exact"/>
        <w:rPr>
          <w:sz w:val="20"/>
          <w:szCs w:val="20"/>
          <w:color w:val="auto"/>
        </w:rPr>
      </w:pPr>
    </w:p>
    <w:p>
      <w:pPr>
        <w:ind w:left="1260" w:hanging="559"/>
        <w:spacing w:after="0"/>
        <w:tabs>
          <w:tab w:leader="none" w:pos="12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Agent giving written notice to the Borrower; or</w:t>
      </w:r>
    </w:p>
    <w:p>
      <w:pPr>
        <w:spacing w:after="0" w:line="219" w:lineRule="exact"/>
        <w:rPr>
          <w:rFonts w:ascii="Arial" w:cs="Arial" w:eastAsia="Arial" w:hAnsi="Arial"/>
          <w:sz w:val="18"/>
          <w:szCs w:val="18"/>
          <w:color w:val="auto"/>
        </w:rPr>
      </w:pPr>
    </w:p>
    <w:p>
      <w:pPr>
        <w:ind w:left="5620" w:right="5480" w:hanging="4919"/>
        <w:spacing w:after="0" w:line="608" w:lineRule="auto"/>
        <w:tabs>
          <w:tab w:leader="none" w:pos="126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Borrower becoming aware of such underlying circumstances.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6948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28" w:name="page229"/>
    <w:bookmarkEnd w:id="228"/>
    <w:p>
      <w:pPr>
        <w:jc w:val="center"/>
        <w:ind w:right="9700"/>
        <w:spacing w:after="0"/>
        <w:tabs>
          <w:tab w:leader="none" w:pos="3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4"/>
          <w:szCs w:val="14"/>
          <w:b w:val="1"/>
          <w:bCs w:val="1"/>
          <w:color w:val="auto"/>
        </w:rPr>
        <w:t>Cross default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w:t>
      </w:r>
    </w:p>
    <w:p>
      <w:pPr>
        <w:spacing w:after="0" w:line="219" w:lineRule="exact"/>
        <w:rPr>
          <w:sz w:val="20"/>
          <w:szCs w:val="20"/>
          <w:color w:val="auto"/>
        </w:rPr>
      </w:pPr>
    </w:p>
    <w:p>
      <w:pPr>
        <w:ind w:left="1260" w:hanging="559"/>
        <w:spacing w:after="0"/>
        <w:tabs>
          <w:tab w:leader="none" w:pos="12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Financial Indebtedness of the Borrower or any Material Subsidiary is not paid when due nor within any originally applicable grace period;</w:t>
      </w:r>
    </w:p>
    <w:p>
      <w:pPr>
        <w:spacing w:after="0" w:line="242" w:lineRule="exact"/>
        <w:rPr>
          <w:rFonts w:ascii="Arial" w:cs="Arial" w:eastAsia="Arial" w:hAnsi="Arial"/>
          <w:sz w:val="16"/>
          <w:szCs w:val="16"/>
          <w:color w:val="auto"/>
        </w:rPr>
      </w:pPr>
    </w:p>
    <w:p>
      <w:pPr>
        <w:ind w:left="1260" w:right="120" w:hanging="559"/>
        <w:spacing w:after="0" w:line="267" w:lineRule="auto"/>
        <w:tabs>
          <w:tab w:leader="none" w:pos="127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Financial Indebtedness the Borrower or any Material Subsidiary is declared to be or otherwise becomes due and payable prior to its specified maturity as a result of an event of default (however described);</w:t>
      </w:r>
    </w:p>
    <w:p>
      <w:pPr>
        <w:spacing w:after="0" w:line="178" w:lineRule="exact"/>
        <w:rPr>
          <w:rFonts w:ascii="Arial" w:cs="Arial" w:eastAsia="Arial" w:hAnsi="Arial"/>
          <w:sz w:val="18"/>
          <w:szCs w:val="18"/>
          <w:color w:val="auto"/>
        </w:rPr>
      </w:pPr>
    </w:p>
    <w:p>
      <w:pPr>
        <w:ind w:left="1260" w:right="640" w:hanging="559"/>
        <w:spacing w:after="0" w:line="267" w:lineRule="auto"/>
        <w:tabs>
          <w:tab w:leader="none" w:pos="127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commitment for any Financial Indebtedness of the Borrower or any Material Subsidiary is cancelled or suspended by a creditor of the Borrower or any other Material Subsidiary as a result of an event of default (however described); or</w:t>
      </w:r>
    </w:p>
    <w:p>
      <w:pPr>
        <w:spacing w:after="0" w:line="178" w:lineRule="exact"/>
        <w:rPr>
          <w:rFonts w:ascii="Arial" w:cs="Arial" w:eastAsia="Arial" w:hAnsi="Arial"/>
          <w:sz w:val="18"/>
          <w:szCs w:val="18"/>
          <w:color w:val="auto"/>
        </w:rPr>
      </w:pPr>
    </w:p>
    <w:p>
      <w:pPr>
        <w:ind w:left="1260" w:right="180" w:hanging="559"/>
        <w:spacing w:after="0" w:line="296" w:lineRule="auto"/>
        <w:tabs>
          <w:tab w:leader="none" w:pos="1273" w:val="left"/>
        </w:tabs>
        <w:numPr>
          <w:ilvl w:val="0"/>
          <w:numId w:val="323"/>
        </w:numPr>
        <w:rPr>
          <w:rFonts w:ascii="Arial" w:cs="Arial" w:eastAsia="Arial" w:hAnsi="Arial"/>
          <w:sz w:val="17"/>
          <w:szCs w:val="17"/>
          <w:color w:val="auto"/>
        </w:rPr>
      </w:pPr>
      <w:r>
        <w:rPr>
          <w:rFonts w:ascii="Arial" w:cs="Arial" w:eastAsia="Arial" w:hAnsi="Arial"/>
          <w:sz w:val="17"/>
          <w:szCs w:val="17"/>
          <w:color w:val="auto"/>
        </w:rPr>
        <w:t>creditor of the Borrower or any Material Subsidiary becomes entitled to declare any Financial Indebtedness of the Borrower or any Material Subsidiary due and payable prior to its specified maturity as a result of an event of default (however described),</w:t>
      </w:r>
    </w:p>
    <w:p>
      <w:pPr>
        <w:spacing w:after="0" w:line="151" w:lineRule="exact"/>
        <w:rPr>
          <w:sz w:val="20"/>
          <w:szCs w:val="20"/>
          <w:color w:val="auto"/>
        </w:rPr>
      </w:pPr>
    </w:p>
    <w:p>
      <w:pPr>
        <w:ind w:left="700" w:right="160"/>
        <w:spacing w:after="0" w:line="285" w:lineRule="auto"/>
        <w:rPr>
          <w:sz w:val="20"/>
          <w:szCs w:val="20"/>
          <w:color w:val="auto"/>
        </w:rPr>
      </w:pP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(i) paragraphs (a) to (d) above shall not apply to any Financial Indebtedness that is owing to a member of the Group and (ii) no Event</w:t>
      </w:r>
      <w:r>
        <w:rPr>
          <w:rFonts w:ascii="Arial" w:cs="Arial" w:eastAsia="Arial" w:hAnsi="Arial"/>
          <w:sz w:val="16"/>
          <w:szCs w:val="16"/>
          <w:b w:val="1"/>
          <w:bCs w:val="1"/>
          <w:color w:val="auto"/>
        </w:rPr>
        <w:t xml:space="preserve"> </w:t>
      </w:r>
      <w:r>
        <w:rPr>
          <w:rFonts w:ascii="Arial" w:cs="Arial" w:eastAsia="Arial" w:hAnsi="Arial"/>
          <w:sz w:val="16"/>
          <w:szCs w:val="16"/>
          <w:color w:val="auto"/>
        </w:rPr>
        <w:t>of Default will occur under this Clause 21.5 if at all times the aggregate amount of Financial Indebtedness and/or commitment for Financial Indebtedness falling within paragraphs (a) to (d) above (for any and all of the Borrower and the Material Subsidiaries) is less than the higher of</w:t>
      </w:r>
    </w:p>
    <w:p>
      <w:pPr>
        <w:spacing w:after="0" w:line="1" w:lineRule="exact"/>
        <w:rPr>
          <w:sz w:val="20"/>
          <w:szCs w:val="20"/>
          <w:color w:val="auto"/>
        </w:rPr>
      </w:pPr>
    </w:p>
    <w:p>
      <w:pPr>
        <w:ind w:right="620" w:firstLine="701"/>
        <w:spacing w:after="0" w:line="487" w:lineRule="auto"/>
        <w:tabs>
          <w:tab w:leader="none" w:pos="94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US$100,000,000 (or its equivalent in any other currency or currencies) and (y) 2.5 per cent of the Consolidated Net Worth as at such time. 21.6 </w:t>
      </w:r>
      <w:r>
        <w:rPr>
          <w:rFonts w:ascii="Arial" w:cs="Arial" w:eastAsia="Arial" w:hAnsi="Arial"/>
          <w:sz w:val="18"/>
          <w:szCs w:val="18"/>
          <w:b w:val="1"/>
          <w:bCs w:val="1"/>
          <w:color w:val="auto"/>
        </w:rPr>
        <w:t>Insolvency</w:t>
      </w:r>
    </w:p>
    <w:p>
      <w:pPr>
        <w:spacing w:after="0" w:line="1" w:lineRule="exact"/>
        <w:rPr>
          <w:sz w:val="20"/>
          <w:szCs w:val="20"/>
          <w:color w:val="auto"/>
        </w:rPr>
      </w:pPr>
    </w:p>
    <w:p>
      <w:pPr>
        <w:jc w:val="both"/>
        <w:ind w:left="1260" w:right="100" w:hanging="559"/>
        <w:spacing w:after="0" w:line="304" w:lineRule="auto"/>
        <w:tabs>
          <w:tab w:leader="none" w:pos="1263"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Borrower or a Material Subsidiary is or is presumed or deemed to be unable or admits inability to pay its debts as they fall due, suspends making payments on any of its debts or, by reason of actual or anticipated financial difficulties, commences negotiations with one or more of its creditors (excluding any Finance Party in its capacity as such) with a view to rescheduling any of its indebtedness.</w:t>
      </w:r>
    </w:p>
    <w:p>
      <w:pPr>
        <w:spacing w:after="0" w:line="153" w:lineRule="exact"/>
        <w:rPr>
          <w:rFonts w:ascii="Arial" w:cs="Arial" w:eastAsia="Arial" w:hAnsi="Arial"/>
          <w:sz w:val="16"/>
          <w:szCs w:val="16"/>
          <w:color w:val="auto"/>
        </w:rPr>
      </w:pPr>
    </w:p>
    <w:p>
      <w:pPr>
        <w:ind w:left="1260" w:right="240" w:hanging="559"/>
        <w:spacing w:after="0" w:line="267" w:lineRule="auto"/>
        <w:tabs>
          <w:tab w:leader="none" w:pos="127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value of the assets of the Borrower or any Material Subsidiary is less than its liabilities (taking into account contingent and prospective liabilities).</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the Borrower or any Material Subsidiary.</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4"/>
          <w:szCs w:val="14"/>
          <w:b w:val="1"/>
          <w:bCs w:val="1"/>
          <w:color w:val="auto"/>
        </w:rPr>
        <w:t>Insolvency proceedings</w:t>
      </w:r>
    </w:p>
    <w:p>
      <w:pPr>
        <w:spacing w:after="0" w:line="225" w:lineRule="exact"/>
        <w:rPr>
          <w:sz w:val="20"/>
          <w:szCs w:val="20"/>
          <w:color w:val="auto"/>
        </w:rPr>
      </w:pPr>
    </w:p>
    <w:p>
      <w:pPr>
        <w:ind w:left="1260" w:hanging="559"/>
        <w:spacing w:after="0"/>
        <w:tabs>
          <w:tab w:leader="none" w:pos="12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corporate action, legal proceedings or other formal procedure or step is taken or occurs in relation to:</w:t>
      </w:r>
    </w:p>
    <w:p>
      <w:pPr>
        <w:spacing w:after="0" w:line="219" w:lineRule="exact"/>
        <w:rPr>
          <w:rFonts w:ascii="Arial" w:cs="Arial" w:eastAsia="Arial" w:hAnsi="Arial"/>
          <w:sz w:val="18"/>
          <w:szCs w:val="18"/>
          <w:color w:val="auto"/>
        </w:rPr>
      </w:pPr>
    </w:p>
    <w:p>
      <w:pPr>
        <w:ind w:left="1800" w:hanging="545"/>
        <w:spacing w:after="0" w:line="273" w:lineRule="auto"/>
        <w:tabs>
          <w:tab w:leader="none" w:pos="1827"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suspension of payments, a moratorium of any indebtedness, winding-up, dissolution, striking-off, administration, provisional supervision or reorganisation (by way of voluntary arrangement, scheme of arrangement or otherwise) of the Borrower or any Material Subsidiary (other than a solvent liquidation or reorganisation constituted by any amalgamation, merger or corporate reconstruction entered into by any Material Subsidiary in each case, to the extent permitted under Clause 20.6 (Merger));</w:t>
      </w:r>
    </w:p>
    <w:p>
      <w:pPr>
        <w:spacing w:after="0" w:line="176" w:lineRule="exact"/>
        <w:rPr>
          <w:rFonts w:ascii="Arial" w:cs="Arial" w:eastAsia="Arial" w:hAnsi="Arial"/>
          <w:sz w:val="17"/>
          <w:szCs w:val="17"/>
          <w:color w:val="auto"/>
        </w:rPr>
      </w:pPr>
    </w:p>
    <w:p>
      <w:pPr>
        <w:ind w:left="1800" w:right="540" w:hanging="545"/>
        <w:spacing w:after="0" w:line="267" w:lineRule="auto"/>
        <w:tabs>
          <w:tab w:leader="none" w:pos="183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composition or arrangement with any creditor of the Borrower or any Material Subsidiary, or an assignment for the benefit of creditors generally of the Borrower or any Material Subsidiary or a class of such creditors;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29" w:name="page230"/>
    <w:bookmarkEnd w:id="229"/>
    <w:p>
      <w:pPr>
        <w:ind w:left="1800" w:right="120" w:hanging="545"/>
        <w:spacing w:after="0" w:line="253" w:lineRule="auto"/>
        <w:tabs>
          <w:tab w:leader="none" w:pos="184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provisional supervisor or other similar officer in respect of the Borrower or any Material Subsidiary or any of its assets (other than any solvent liquidation of any Material Subsidiary constituted by any amalgamation, merger or corporate reconstruction entered into by such Material Subsidiary, in each case, to the extent permitted under Clause 20.6 (Merger)); or</w:t>
      </w:r>
    </w:p>
    <w:p>
      <w:pPr>
        <w:spacing w:after="0" w:line="192" w:lineRule="exact"/>
        <w:rPr>
          <w:rFonts w:ascii="Arial" w:cs="Arial" w:eastAsia="Arial" w:hAnsi="Arial"/>
          <w:sz w:val="18"/>
          <w:szCs w:val="18"/>
          <w:color w:val="auto"/>
        </w:rPr>
      </w:pPr>
    </w:p>
    <w:p>
      <w:pPr>
        <w:ind w:left="1800" w:hanging="545"/>
        <w:spacing w:after="0" w:line="253" w:lineRule="auto"/>
        <w:tabs>
          <w:tab w:leader="none" w:pos="182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enforcement of any Security over any assets of the Borrower or any other Material Subsidiary where the aggregate value of any and all of the assets of the Borrower and the Material Subsidiaries that are subject to any or all events and/or circumstances of enforcement of Security is not less than the higher of US$100,000,000 (or its equivalent in any other currency or currencies) and 2.5 per cent of Consolidated Net Worth at such time,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any analogous procedure or step is taken in any jurisdiction; or</w:t>
      </w:r>
    </w:p>
    <w:p>
      <w:pPr>
        <w:spacing w:after="0" w:line="219" w:lineRule="exact"/>
        <w:rPr>
          <w:sz w:val="20"/>
          <w:szCs w:val="20"/>
          <w:color w:val="auto"/>
        </w:rPr>
      </w:pPr>
    </w:p>
    <w:p>
      <w:pPr>
        <w:ind w:left="1260" w:hanging="559"/>
        <w:spacing w:after="0" w:line="249" w:lineRule="auto"/>
        <w:tabs>
          <w:tab w:leader="none" w:pos="127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proceeding or case is commenced seeking the Borrower’s or any Material Subsidiary’s reorganisation, liquidation, dissolution, arrangement or winding-up or the composition or re-adjustment of the Borrower’s or any Material Subsidiary’s debts under the US Bankruptcy Code or other debtor relief laws of the United States, with consent of the Borrower or any Material Subsidiary (or without the consent of the Borrower or any Material Subsidiary which (A) results in the entry of any order of relief or any order, judgment, decree, adjudication or appointment approving, ordering or giving effecting to the Borrower’s or any Material Subsidiary’s reorganisation, liquidation, dissolution, arrangement or winding-up or the composition or re-adjustment of the Borrower’s or any Material Subsidiary’s debts under the US Bankruptcy Code or other debtor relief laws of the United States or (B) remains undismissed or undischarged for a period of 90 days of commencement).</w:t>
      </w:r>
    </w:p>
    <w:p>
      <w:pPr>
        <w:spacing w:after="0" w:line="200" w:lineRule="exact"/>
        <w:rPr>
          <w:sz w:val="20"/>
          <w:szCs w:val="20"/>
          <w:color w:val="auto"/>
        </w:rPr>
      </w:pPr>
    </w:p>
    <w:p>
      <w:pPr>
        <w:jc w:val="both"/>
        <w:ind w:left="700" w:right="160"/>
        <w:spacing w:after="0" w:line="304" w:lineRule="auto"/>
        <w:rPr>
          <w:sz w:val="20"/>
          <w:szCs w:val="20"/>
          <w:color w:val="auto"/>
        </w:rPr>
      </w:pPr>
      <w:r>
        <w:rPr>
          <w:rFonts w:ascii="Arial" w:cs="Arial" w:eastAsia="Arial" w:hAnsi="Arial"/>
          <w:sz w:val="16"/>
          <w:szCs w:val="16"/>
          <w:color w:val="auto"/>
        </w:rPr>
        <w:t>This Clause 21.7 shall not apply to any corporate action, legal proceedings or other procedure or step (brought by any person that is not a member of the Group) in relation to the winding-up, administration or dissolution or any analogous procedure or step in any jurisdiction of the Borrower or any Material Subsidiary which is frivolous or vexatious and is discharged, dismissed or struck out within 90 days of commencement.</w:t>
      </w:r>
    </w:p>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4"/>
          <w:szCs w:val="14"/>
          <w:b w:val="1"/>
          <w:bCs w:val="1"/>
          <w:color w:val="auto"/>
        </w:rPr>
        <w:t>Creditors’ process</w:t>
      </w:r>
    </w:p>
    <w:p>
      <w:pPr>
        <w:spacing w:after="0" w:line="225" w:lineRule="exact"/>
        <w:rPr>
          <w:sz w:val="20"/>
          <w:szCs w:val="20"/>
          <w:color w:val="auto"/>
        </w:rPr>
      </w:pPr>
    </w:p>
    <w:p>
      <w:pPr>
        <w:ind w:left="700" w:right="140"/>
        <w:spacing w:after="0" w:line="270" w:lineRule="auto"/>
        <w:rPr>
          <w:sz w:val="20"/>
          <w:szCs w:val="20"/>
          <w:color w:val="auto"/>
        </w:rPr>
      </w:pPr>
      <w:r>
        <w:rPr>
          <w:rFonts w:ascii="Arial" w:cs="Arial" w:eastAsia="Arial" w:hAnsi="Arial"/>
          <w:sz w:val="17"/>
          <w:szCs w:val="17"/>
          <w:color w:val="auto"/>
        </w:rPr>
        <w:t>Any expropriation, attachment, sequestration, distress or execution (or any analogous process in any jurisdiction) affects any asset or assets of the Borrower or any Material Subsidiary and is not discharged within 20 Business Days, and the aggregate value of any and all of the assets of the Borrower and the Material Subsidiaries that are subject to any or all events and/or circumstances of expropriation, attachment, sequestration, distress and/or execution (and/or any analogous process in any jurisdiction) is not less than the higher of US$100,000,000 (or its equivalent in any other currency or currencies) and 2.5 per cent of Consolidated Net Worth at such time.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Unlawfulness and invalidity</w:t>
      </w:r>
    </w:p>
    <w:p>
      <w:pPr>
        <w:spacing w:after="0" w:line="225" w:lineRule="exact"/>
        <w:rPr>
          <w:sz w:val="20"/>
          <w:szCs w:val="20"/>
          <w:color w:val="auto"/>
        </w:rPr>
      </w:pPr>
    </w:p>
    <w:p>
      <w:pPr>
        <w:ind w:left="1260" w:hanging="559"/>
        <w:spacing w:after="0"/>
        <w:tabs>
          <w:tab w:leader="none" w:pos="1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It is or becomes unlawful for the Borrower to perform any of its obligations under the Finance Documents.</w:t>
      </w:r>
    </w:p>
    <w:p>
      <w:pPr>
        <w:spacing w:after="0" w:line="219" w:lineRule="exact"/>
        <w:rPr>
          <w:rFonts w:ascii="Arial" w:cs="Arial" w:eastAsia="Arial" w:hAnsi="Arial"/>
          <w:sz w:val="18"/>
          <w:szCs w:val="18"/>
          <w:color w:val="auto"/>
        </w:rPr>
      </w:pPr>
    </w:p>
    <w:p>
      <w:pPr>
        <w:ind w:left="1260" w:right="40" w:hanging="559"/>
        <w:spacing w:after="0" w:line="257" w:lineRule="auto"/>
        <w:tabs>
          <w:tab w:leader="none" w:pos="127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Subject to the Legal Reservations, any obligation or obligations of the Borrower under any Finance Document are not or cease to be legal, valid, binding or enforceable and such illegality, invalidity, non-binding nature or unenforceability individually or cumulatively materially and adversely affects the interests of the Finance Parties under the Finance Documents.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0" w:name="page231"/>
    <w:bookmarkEnd w:id="230"/>
    <w:p>
      <w:pPr>
        <w:ind w:right="5240" w:firstLine="701"/>
        <w:spacing w:after="0" w:line="494" w:lineRule="auto"/>
        <w:tabs>
          <w:tab w:leader="none" w:pos="126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Any Finance Document is not or ceases to be in full force and effect. 21.10 </w:t>
      </w:r>
      <w:r>
        <w:rPr>
          <w:rFonts w:ascii="Arial" w:cs="Arial" w:eastAsia="Arial" w:hAnsi="Arial"/>
          <w:sz w:val="18"/>
          <w:szCs w:val="18"/>
          <w:b w:val="1"/>
          <w:bCs w:val="1"/>
          <w:color w:val="auto"/>
        </w:rPr>
        <w:t>Repudiation</w:t>
      </w:r>
    </w:p>
    <w:p>
      <w:pPr>
        <w:ind w:left="700" w:right="380"/>
        <w:spacing w:after="0" w:line="267" w:lineRule="auto"/>
        <w:rPr>
          <w:sz w:val="20"/>
          <w:szCs w:val="20"/>
          <w:color w:val="auto"/>
        </w:rPr>
      </w:pPr>
      <w:r>
        <w:rPr>
          <w:rFonts w:ascii="Arial" w:cs="Arial" w:eastAsia="Arial" w:hAnsi="Arial"/>
          <w:sz w:val="18"/>
          <w:szCs w:val="18"/>
          <w:color w:val="auto"/>
        </w:rPr>
        <w:t>The Borrower rescinds or purports to rescind or repudiates or purports to repudiate any Finance Document or evidences an intention to rescind or repudiate any Finance Document.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4"/>
          <w:szCs w:val="14"/>
          <w:b w:val="1"/>
          <w:bCs w:val="1"/>
          <w:color w:val="auto"/>
        </w:rPr>
        <w:t>Cessation of business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suspends or ceases to carry on all or substantially all of its business or of the business of the Group taken as a whole.</w:t>
      </w: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b w:val="1"/>
          <w:bCs w:val="1"/>
          <w:color w:val="auto"/>
        </w:rPr>
        <w:t>Material adverse change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Any event or circumstance occurs (whether individually or together with other events or circumstances) which has a Material Adverse Effect.</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4"/>
          <w:szCs w:val="14"/>
          <w:b w:val="1"/>
          <w:bCs w:val="1"/>
          <w:color w:val="auto"/>
        </w:rPr>
        <w:t>Delisting or suspension of Borrower’s shares</w:t>
      </w:r>
    </w:p>
    <w:p>
      <w:pPr>
        <w:spacing w:after="0" w:line="225" w:lineRule="exact"/>
        <w:rPr>
          <w:sz w:val="20"/>
          <w:szCs w:val="20"/>
          <w:color w:val="auto"/>
        </w:rPr>
      </w:pPr>
    </w:p>
    <w:p>
      <w:pPr>
        <w:ind w:left="1260" w:hanging="559"/>
        <w:spacing w:after="0"/>
        <w:tabs>
          <w:tab w:leader="none" w:pos="12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shares in the Borrower cease to be listed on the Nasdaq Global Select Market; or</w:t>
      </w:r>
    </w:p>
    <w:p>
      <w:pPr>
        <w:spacing w:after="0" w:line="219" w:lineRule="exact"/>
        <w:rPr>
          <w:rFonts w:ascii="Arial" w:cs="Arial" w:eastAsia="Arial" w:hAnsi="Arial"/>
          <w:sz w:val="18"/>
          <w:szCs w:val="18"/>
          <w:color w:val="auto"/>
        </w:rPr>
      </w:pPr>
    </w:p>
    <w:p>
      <w:pPr>
        <w:jc w:val="both"/>
        <w:ind w:left="1260" w:right="380" w:hanging="559"/>
        <w:spacing w:after="0" w:line="364" w:lineRule="auto"/>
        <w:tabs>
          <w:tab w:leader="none" w:pos="1273" w:val="left"/>
        </w:tabs>
        <w:numPr>
          <w:ilvl w:val="0"/>
          <w:numId w:val="331"/>
        </w:numPr>
        <w:rPr>
          <w:rFonts w:ascii="Arial" w:cs="Arial" w:eastAsia="Arial" w:hAnsi="Arial"/>
          <w:sz w:val="14"/>
          <w:szCs w:val="14"/>
          <w:color w:val="auto"/>
        </w:rPr>
      </w:pPr>
      <w:r>
        <w:rPr>
          <w:rFonts w:ascii="Arial" w:cs="Arial" w:eastAsia="Arial" w:hAnsi="Arial"/>
          <w:sz w:val="14"/>
          <w:szCs w:val="14"/>
          <w:color w:val="auto"/>
        </w:rPr>
        <w:t>the trading of the shares in the Borrower on the Nasdaq Global Select Market is suspended for a period of at least 20 consecutive Trading Days (or such longer period as may be agreed between the Borrower and the Agent (acting on the instructions of the Majority Lenders)), unless such suspension is solely caused by administrative or technical reasons in the system of the NASDAQ Global Select Market.</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In this clause 21.13,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(other than a Saturday or Sunday) on which the Nasdaq Global Select Market is open for trading.</w:t>
      </w:r>
    </w:p>
    <w:p>
      <w:pPr>
        <w:spacing w:after="0" w:line="2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4"/>
          <w:szCs w:val="14"/>
          <w:b w:val="1"/>
          <w:bCs w:val="1"/>
          <w:color w:val="auto"/>
        </w:rPr>
        <w:t>Acceleration</w:t>
      </w:r>
    </w:p>
    <w:p>
      <w:pPr>
        <w:spacing w:after="0" w:line="225" w:lineRule="exact"/>
        <w:rPr>
          <w:sz w:val="20"/>
          <w:szCs w:val="20"/>
          <w:color w:val="auto"/>
        </w:rPr>
      </w:pPr>
    </w:p>
    <w:p>
      <w:pPr>
        <w:ind w:left="700" w:right="20"/>
        <w:spacing w:after="0" w:line="26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Majority Lenders, by notice to the Borrower:</w:t>
      </w:r>
    </w:p>
    <w:p>
      <w:pPr>
        <w:spacing w:after="0" w:line="179" w:lineRule="exact"/>
        <w:rPr>
          <w:sz w:val="20"/>
          <w:szCs w:val="20"/>
          <w:color w:val="auto"/>
        </w:rPr>
      </w:pPr>
    </w:p>
    <w:p>
      <w:pPr>
        <w:ind w:left="1260" w:hanging="559"/>
        <w:spacing w:after="0"/>
        <w:tabs>
          <w:tab w:leader="none" w:pos="12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without prejudice to the participations of any or all of the Lenders in any Loans then outstanding:</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cancel the Commitments (and reduce them to zero), whereupon they shall immediately be cancelled (and reduced to zero); or</w:t>
      </w:r>
    </w:p>
    <w:p>
      <w:pPr>
        <w:spacing w:after="0" w:line="230" w:lineRule="exact"/>
        <w:rPr>
          <w:rFonts w:ascii="Arial" w:cs="Arial" w:eastAsia="Arial" w:hAnsi="Arial"/>
          <w:sz w:val="17"/>
          <w:szCs w:val="17"/>
          <w:color w:val="auto"/>
        </w:rPr>
      </w:pPr>
    </w:p>
    <w:p>
      <w:pPr>
        <w:ind w:left="1800" w:right="240" w:hanging="545"/>
        <w:spacing w:after="0" w:line="267" w:lineRule="auto"/>
        <w:tabs>
          <w:tab w:leader="none" w:pos="183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cancel any part of any Commitment (and reduce such Commitment accordingly), whereupon the relevant part shall immediately be cancelled (and the relevant Commitment shall be immediately reduced accordingly); and/or</w:t>
      </w:r>
    </w:p>
    <w:p>
      <w:pPr>
        <w:spacing w:after="0" w:line="178" w:lineRule="exact"/>
        <w:rPr>
          <w:rFonts w:ascii="Arial" w:cs="Arial" w:eastAsia="Arial" w:hAnsi="Arial"/>
          <w:sz w:val="18"/>
          <w:szCs w:val="18"/>
          <w:color w:val="auto"/>
        </w:rPr>
      </w:pPr>
    </w:p>
    <w:p>
      <w:pPr>
        <w:ind w:left="1260" w:hanging="559"/>
        <w:spacing w:after="0" w:line="267" w:lineRule="auto"/>
        <w:tabs>
          <w:tab w:leader="none" w:pos="127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78" w:lineRule="exact"/>
        <w:rPr>
          <w:rFonts w:ascii="Arial" w:cs="Arial" w:eastAsia="Arial" w:hAnsi="Arial"/>
          <w:sz w:val="18"/>
          <w:szCs w:val="18"/>
          <w:color w:val="auto"/>
        </w:rPr>
      </w:pPr>
    </w:p>
    <w:p>
      <w:pPr>
        <w:ind w:left="1260" w:hanging="559"/>
        <w:spacing w:after="0" w:line="267" w:lineRule="auto"/>
        <w:tabs>
          <w:tab w:leader="none" w:pos="127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Majority Lenders; and/or</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declare that no Rollover Loan shall be made,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31" w:name="page232"/>
    <w:bookmarkEnd w:id="231"/>
    <w:p>
      <w:pPr>
        <w:ind w:left="700"/>
        <w:spacing w:after="0" w:line="252" w:lineRule="auto"/>
        <w:rPr>
          <w:sz w:val="20"/>
          <w:szCs w:val="20"/>
          <w:color w:val="auto"/>
        </w:rPr>
      </w:pPr>
      <w:r>
        <w:rPr>
          <w:rFonts w:ascii="Arial" w:cs="Arial" w:eastAsia="Arial" w:hAnsi="Arial"/>
          <w:sz w:val="18"/>
          <w:szCs w:val="18"/>
          <w:color w:val="auto"/>
        </w:rPr>
        <w:t>provided that, if an Event of Default under Clause 21.7 (Insolvency proceedings) shall occur in respect of the Borrower in a US court of competent jurisdiction, then without notice to the Borrower or any other person or any other act by the Agent or any other person, the Commitments of the Lenders shall be automatically cancelled and reduced to zero, and all of the Loans, together with accrued interest, and all other amounts accrued or outstanding under the Finance Documents shall automatically become immediately due and payable without presentment, demand, protest or notice of any kind, all of which are expressly waived.</w:t>
      </w:r>
    </w:p>
    <w:p>
      <w:pPr>
        <w:spacing w:after="0" w:line="186" w:lineRule="exact"/>
        <w:rPr>
          <w:sz w:val="20"/>
          <w:szCs w:val="20"/>
          <w:color w:val="auto"/>
        </w:rPr>
      </w:pPr>
    </w:p>
    <w:p>
      <w:pPr>
        <w:ind w:left="700" w:hanging="693"/>
        <w:spacing w:after="0"/>
        <w:tabs>
          <w:tab w:leader="none" w:pos="700"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4"/>
          <w:szCs w:val="14"/>
          <w:b w:val="1"/>
          <w:bCs w:val="1"/>
          <w:color w:val="auto"/>
        </w:rPr>
        <w:t>Assignments and transfers by the Lenders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Subject to this Clause 22,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225" w:lineRule="exact"/>
        <w:rPr>
          <w:sz w:val="20"/>
          <w:szCs w:val="20"/>
          <w:color w:val="auto"/>
        </w:rPr>
      </w:pPr>
    </w:p>
    <w:p>
      <w:pPr>
        <w:ind w:left="1260" w:hanging="559"/>
        <w:spacing w:after="0"/>
        <w:tabs>
          <w:tab w:leader="none" w:pos="1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219"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 xml:space="preserve">under the Finance Documents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 without the prior consent of the Borrower.</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4"/>
          <w:szCs w:val="14"/>
          <w:b w:val="1"/>
          <w:bCs w:val="1"/>
          <w:color w:val="auto"/>
        </w:rPr>
        <w:t>Conditions of assignment or transfer</w:t>
      </w:r>
    </w:p>
    <w:p>
      <w:pPr>
        <w:spacing w:after="0" w:line="225" w:lineRule="exact"/>
        <w:rPr>
          <w:sz w:val="20"/>
          <w:szCs w:val="20"/>
          <w:color w:val="auto"/>
        </w:rPr>
      </w:pPr>
    </w:p>
    <w:p>
      <w:pPr>
        <w:ind w:left="1260" w:right="140" w:hanging="559"/>
        <w:spacing w:after="0" w:line="267" w:lineRule="auto"/>
        <w:tabs>
          <w:tab w:leader="none" w:pos="126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Subject to paragraph (b), a Lender may assign, novate, create any interest in, or otherwise deal with, all or any of its rights under the Finance Documents to another bank or financial institution.</w:t>
      </w:r>
    </w:p>
    <w:p>
      <w:pPr>
        <w:spacing w:after="0" w:line="178" w:lineRule="exact"/>
        <w:rPr>
          <w:rFonts w:ascii="Arial" w:cs="Arial" w:eastAsia="Arial" w:hAnsi="Arial"/>
          <w:sz w:val="18"/>
          <w:szCs w:val="18"/>
          <w:color w:val="auto"/>
        </w:rPr>
      </w:pPr>
    </w:p>
    <w:p>
      <w:pPr>
        <w:ind w:left="1260" w:right="160" w:hanging="559"/>
        <w:spacing w:after="0" w:line="267" w:lineRule="auto"/>
        <w:tabs>
          <w:tab w:leader="none" w:pos="127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Unless an Event of Default is subsisting, a Lender may not at any time assign, novate, create any interest in enter into a Voting Participation, or otherwise deal with, all or any of its rights under the Finance Documents to:</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 Conflicted Lender;</w:t>
      </w:r>
    </w:p>
    <w:p>
      <w:pPr>
        <w:spacing w:after="0" w:line="219" w:lineRule="exact"/>
        <w:rPr>
          <w:rFonts w:ascii="Arial" w:cs="Arial" w:eastAsia="Arial" w:hAnsi="Arial"/>
          <w:sz w:val="18"/>
          <w:szCs w:val="18"/>
          <w:color w:val="auto"/>
        </w:rPr>
      </w:pPr>
    </w:p>
    <w:p>
      <w:pPr>
        <w:ind w:left="1800" w:right="280" w:hanging="545"/>
        <w:spacing w:after="0" w:line="296" w:lineRule="auto"/>
        <w:tabs>
          <w:tab w:leader="none" w:pos="1836" w:val="left"/>
        </w:tabs>
        <w:numPr>
          <w:ilvl w:val="1"/>
          <w:numId w:val="335"/>
        </w:numPr>
        <w:rPr>
          <w:rFonts w:ascii="Arial" w:cs="Arial" w:eastAsia="Arial" w:hAnsi="Arial"/>
          <w:sz w:val="17"/>
          <w:szCs w:val="17"/>
          <w:color w:val="auto"/>
        </w:rPr>
      </w:pPr>
      <w:r>
        <w:rPr>
          <w:rFonts w:ascii="Arial" w:cs="Arial" w:eastAsia="Arial" w:hAnsi="Arial"/>
          <w:sz w:val="17"/>
          <w:szCs w:val="17"/>
          <w:color w:val="auto"/>
        </w:rPr>
        <w:t>a loan-to-own fund, vulture fund, distressed debt fund, hedge fund or any other entity (including a business group within a bank or financial institution) which is established for or principally invests in distressed debt (or any similar fund or entity); or</w:t>
      </w:r>
    </w:p>
    <w:p>
      <w:pPr>
        <w:spacing w:after="0" w:line="157" w:lineRule="exact"/>
        <w:rPr>
          <w:rFonts w:ascii="Arial" w:cs="Arial" w:eastAsia="Arial" w:hAnsi="Arial"/>
          <w:sz w:val="17"/>
          <w:szCs w:val="17"/>
          <w:color w:val="auto"/>
        </w:rPr>
      </w:pPr>
    </w:p>
    <w:p>
      <w:pPr>
        <w:ind w:left="1260" w:hanging="559"/>
        <w:spacing w:after="0" w:line="270" w:lineRule="auto"/>
        <w:tabs>
          <w:tab w:leader="none" w:pos="127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Unless an Event of Default is subsisting or the Borrower provides its prior consent (such consent not being unreasonably withheld or delayed), a New Lender must have a credit rating of at least BBB- by Standard &amp; Poor or an equivalent rating from another rating agency. For the avoidance of doubt, it will not be unreasonable for the Borrower to withheld or delay its consent under this paragraph if a potential New Lender that is not rated is not able to demonstrate to the satisfaction of the Borrower (acting reasonably) that its creditworthiness is not worse than BBB- by Standard &amp; Poor or an equivalent rating from another rating agency.</w:t>
      </w:r>
    </w:p>
    <w:p>
      <w:pPr>
        <w:spacing w:after="0" w:line="179" w:lineRule="exact"/>
        <w:rPr>
          <w:rFonts w:ascii="Arial" w:cs="Arial" w:eastAsia="Arial" w:hAnsi="Arial"/>
          <w:sz w:val="17"/>
          <w:szCs w:val="17"/>
          <w:color w:val="auto"/>
        </w:rPr>
      </w:pPr>
    </w:p>
    <w:p>
      <w:pPr>
        <w:ind w:left="1260" w:hanging="559"/>
        <w:spacing w:after="0"/>
        <w:tabs>
          <w:tab w:leader="none" w:pos="12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 transfer will be effective only if the procedure set out in Clause 22.5 (Procedure for transfer) is complied with.</w:t>
      </w:r>
    </w:p>
    <w:p>
      <w:pPr>
        <w:spacing w:after="0" w:line="219" w:lineRule="exact"/>
        <w:rPr>
          <w:rFonts w:ascii="Arial" w:cs="Arial" w:eastAsia="Arial" w:hAnsi="Arial"/>
          <w:sz w:val="18"/>
          <w:szCs w:val="18"/>
          <w:color w:val="auto"/>
        </w:rPr>
      </w:pPr>
    </w:p>
    <w:p>
      <w:pPr>
        <w:ind w:left="1280" w:hanging="579"/>
        <w:spacing w:after="0"/>
        <w:tabs>
          <w:tab w:leader="none" w:pos="12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 assignment will be effective only if the procedure and conditions set out in Clause 22.6 (Procedure for assignment) are complied with.</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32" w:name="page233"/>
    <w:bookmarkEnd w:id="232"/>
    <w:p>
      <w:pPr>
        <w:ind w:left="1260" w:hanging="559"/>
        <w:spacing w:after="0"/>
        <w:tabs>
          <w:tab w:leader="none" w:pos="1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w:t>
      </w:r>
    </w:p>
    <w:p>
      <w:pPr>
        <w:spacing w:after="0" w:line="219" w:lineRule="exact"/>
        <w:rPr>
          <w:rFonts w:ascii="Arial" w:cs="Arial" w:eastAsia="Arial" w:hAnsi="Arial"/>
          <w:sz w:val="18"/>
          <w:szCs w:val="18"/>
          <w:color w:val="auto"/>
        </w:rPr>
      </w:pPr>
    </w:p>
    <w:p>
      <w:pPr>
        <w:ind w:left="1920" w:hanging="635"/>
        <w:spacing w:after="0"/>
        <w:tabs>
          <w:tab w:leader="none" w:pos="192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a Lender assigns or transfers any of its rights or obligations under the Finance Documents or changes its Facility Office; and</w:t>
      </w:r>
    </w:p>
    <w:p>
      <w:pPr>
        <w:spacing w:after="0" w:line="230" w:lineRule="exact"/>
        <w:rPr>
          <w:rFonts w:ascii="Arial" w:cs="Arial" w:eastAsia="Arial" w:hAnsi="Arial"/>
          <w:sz w:val="17"/>
          <w:szCs w:val="17"/>
          <w:color w:val="auto"/>
        </w:rPr>
      </w:pPr>
    </w:p>
    <w:p>
      <w:pPr>
        <w:ind w:left="1920" w:right="140" w:hanging="635"/>
        <w:spacing w:after="0" w:line="257" w:lineRule="auto"/>
        <w:tabs>
          <w:tab w:leader="none" w:pos="192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the Borrower would be obliged to make a payment to the New Lender or Lender acting through its new Facility Office under Clause 12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or paragraph (a) of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of this Agreement,</w:t>
      </w:r>
    </w:p>
    <w:p>
      <w:pPr>
        <w:spacing w:after="0" w:line="188" w:lineRule="exact"/>
        <w:rPr>
          <w:sz w:val="20"/>
          <w:szCs w:val="20"/>
          <w:color w:val="auto"/>
        </w:rPr>
      </w:pPr>
    </w:p>
    <w:p>
      <w:pPr>
        <w:jc w:val="both"/>
        <w:ind w:left="1260" w:right="340"/>
        <w:spacing w:after="0" w:line="257"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in respect of those circumstances to the same extent as the Existing Lender or Lender acting through its previous Facility Office would have been if the assignment, transfer or change had not occurred.</w:t>
      </w:r>
    </w:p>
    <w:p>
      <w:pPr>
        <w:spacing w:after="0" w:line="188" w:lineRule="exact"/>
        <w:rPr>
          <w:sz w:val="20"/>
          <w:szCs w:val="20"/>
          <w:color w:val="auto"/>
        </w:rPr>
      </w:pPr>
    </w:p>
    <w:p>
      <w:pPr>
        <w:jc w:val="both"/>
        <w:ind w:left="1280" w:hanging="582"/>
        <w:spacing w:after="0" w:line="279" w:lineRule="auto"/>
        <w:tabs>
          <w:tab w:leader="none" w:pos="1298"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An Existing Lender may not assign or transfer any of its rights or obligations under the Finance Documents or change its Facility Office, if the New Lender or the Existing Lender acting through its new Facility Office would be entitled to exercise any rights under Clause 7.1 (</w:t>
      </w:r>
      <w:r>
        <w:rPr>
          <w:rFonts w:ascii="Arial" w:cs="Arial" w:eastAsia="Arial" w:hAnsi="Arial"/>
          <w:sz w:val="17"/>
          <w:szCs w:val="17"/>
          <w:i w:val="1"/>
          <w:iCs w:val="1"/>
          <w:color w:val="auto"/>
        </w:rPr>
        <w:t>Illegality</w:t>
      </w:r>
      <w:r>
        <w:rPr>
          <w:rFonts w:ascii="Arial" w:cs="Arial" w:eastAsia="Arial" w:hAnsi="Arial"/>
          <w:sz w:val="17"/>
          <w:szCs w:val="17"/>
          <w:color w:val="auto"/>
        </w:rPr>
        <w:t>) as a result of circumstances existing at the date the assignment or transfer is proposed to occur.</w:t>
      </w:r>
    </w:p>
    <w:p>
      <w:pPr>
        <w:spacing w:after="0" w:line="170" w:lineRule="exact"/>
        <w:rPr>
          <w:rFonts w:ascii="Arial" w:cs="Arial" w:eastAsia="Arial" w:hAnsi="Arial"/>
          <w:sz w:val="17"/>
          <w:szCs w:val="17"/>
          <w:color w:val="auto"/>
        </w:rPr>
      </w:pPr>
    </w:p>
    <w:p>
      <w:pPr>
        <w:ind w:left="1280" w:right="320" w:hanging="582"/>
        <w:spacing w:after="0" w:line="330" w:lineRule="auto"/>
        <w:tabs>
          <w:tab w:leader="none" w:pos="128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Unless agreed with a New Lender, an Existing Lender must bear its own fees, costs and expenses in connection with, or resulting from, an assignment or transfer including, without limitation, any legal fees, taxes, notarial and security registration or perfection fees.</w:t>
      </w:r>
    </w:p>
    <w:p>
      <w:pPr>
        <w:spacing w:after="0" w:line="12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4"/>
          <w:szCs w:val="14"/>
          <w:b w:val="1"/>
          <w:bCs w:val="1"/>
          <w:color w:val="auto"/>
        </w:rPr>
        <w:t>Assignment or transfer fee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New Lender shall, on the date upon which an assignment or transfer takes effect, pay to the Agent (for its own account) a fee of US$5,000.</w:t>
      </w:r>
    </w:p>
    <w:p>
      <w:pPr>
        <w:spacing w:after="0" w:line="2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225" w:lineRule="exact"/>
        <w:rPr>
          <w:sz w:val="20"/>
          <w:szCs w:val="20"/>
          <w:color w:val="auto"/>
        </w:rPr>
      </w:pPr>
    </w:p>
    <w:p>
      <w:pPr>
        <w:ind w:left="1260" w:right="480" w:hanging="559"/>
        <w:spacing w:after="0" w:line="267" w:lineRule="auto"/>
        <w:tabs>
          <w:tab w:leader="none" w:pos="122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78" w:lineRule="exact"/>
        <w:rPr>
          <w:rFonts w:ascii="Arial" w:cs="Arial" w:eastAsia="Arial" w:hAnsi="Arial"/>
          <w:sz w:val="18"/>
          <w:szCs w:val="18"/>
          <w:color w:val="auto"/>
        </w:rPr>
      </w:pPr>
    </w:p>
    <w:p>
      <w:pPr>
        <w:ind w:left="1800" w:hanging="541"/>
        <w:spacing w:after="0"/>
        <w:tabs>
          <w:tab w:leader="none" w:pos="18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19" w:lineRule="exact"/>
        <w:rPr>
          <w:rFonts w:ascii="Arial" w:cs="Arial" w:eastAsia="Arial" w:hAnsi="Arial"/>
          <w:sz w:val="18"/>
          <w:szCs w:val="18"/>
          <w:color w:val="auto"/>
        </w:rPr>
      </w:pPr>
    </w:p>
    <w:p>
      <w:pPr>
        <w:ind w:left="1800" w:hanging="541"/>
        <w:spacing w:after="0"/>
        <w:tabs>
          <w:tab w:leader="none" w:pos="18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financial condition of any member of the Group or any Affiliate of any member of the Group;</w:t>
      </w:r>
    </w:p>
    <w:p>
      <w:pPr>
        <w:spacing w:after="0" w:line="219" w:lineRule="exact"/>
        <w:rPr>
          <w:rFonts w:ascii="Arial" w:cs="Arial" w:eastAsia="Arial" w:hAnsi="Arial"/>
          <w:sz w:val="18"/>
          <w:szCs w:val="18"/>
          <w:color w:val="auto"/>
        </w:rPr>
      </w:pPr>
    </w:p>
    <w:p>
      <w:pPr>
        <w:ind w:left="1820" w:hanging="561"/>
        <w:spacing w:after="0"/>
        <w:tabs>
          <w:tab w:leader="none" w:pos="182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performance and observance by the Borrower of its obligations under the Finance Documents or any other documents; or</w:t>
      </w:r>
    </w:p>
    <w:p>
      <w:pPr>
        <w:spacing w:after="0" w:line="230" w:lineRule="exact"/>
        <w:rPr>
          <w:rFonts w:ascii="Arial" w:cs="Arial" w:eastAsia="Arial" w:hAnsi="Arial"/>
          <w:sz w:val="17"/>
          <w:szCs w:val="17"/>
          <w:color w:val="auto"/>
        </w:rPr>
      </w:pPr>
    </w:p>
    <w:p>
      <w:pPr>
        <w:ind w:left="1260" w:right="100" w:hanging="1"/>
        <w:spacing w:after="0" w:line="494" w:lineRule="auto"/>
        <w:tabs>
          <w:tab w:leader="none" w:pos="180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 and any representations or warranties implied by law are excluded.</w:t>
      </w:r>
    </w:p>
    <w:p>
      <w:pPr>
        <w:ind w:left="1220" w:hanging="519"/>
        <w:spacing w:after="0"/>
        <w:tabs>
          <w:tab w:leader="none" w:pos="12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19" w:lineRule="exact"/>
        <w:rPr>
          <w:rFonts w:ascii="Arial" w:cs="Arial" w:eastAsia="Arial" w:hAnsi="Arial"/>
          <w:sz w:val="18"/>
          <w:szCs w:val="18"/>
          <w:color w:val="auto"/>
        </w:rPr>
      </w:pPr>
    </w:p>
    <w:p>
      <w:pPr>
        <w:ind w:left="1800" w:right="240" w:hanging="541"/>
        <w:spacing w:after="0" w:line="257" w:lineRule="auto"/>
        <w:tabs>
          <w:tab w:leader="none" w:pos="179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the Borrower, members of the Group and their related entities in connection with its participation in this agreement and/or the other Finance Documents has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3" w:name="page234"/>
    <w:bookmarkEnd w:id="233"/>
    <w:p>
      <w:pPr>
        <w:ind w:left="1800"/>
        <w:spacing w:after="0"/>
        <w:rPr>
          <w:sz w:val="20"/>
          <w:szCs w:val="20"/>
          <w:color w:val="auto"/>
        </w:rPr>
      </w:pPr>
      <w:r>
        <w:rPr>
          <w:rFonts w:ascii="Arial" w:cs="Arial" w:eastAsia="Arial" w:hAnsi="Arial"/>
          <w:sz w:val="17"/>
          <w:szCs w:val="17"/>
          <w:color w:val="auto"/>
        </w:rPr>
        <w:t>relied exclusively on any information provided to it by the Existing Lender in connection with any Finance Document; and</w:t>
      </w:r>
    </w:p>
    <w:p>
      <w:pPr>
        <w:spacing w:after="0" w:line="231" w:lineRule="exact"/>
        <w:rPr>
          <w:sz w:val="20"/>
          <w:szCs w:val="20"/>
          <w:color w:val="auto"/>
        </w:rPr>
      </w:pPr>
    </w:p>
    <w:p>
      <w:pPr>
        <w:ind w:left="1800" w:right="200" w:hanging="545"/>
        <w:spacing w:after="0" w:line="296" w:lineRule="auto"/>
        <w:tabs>
          <w:tab w:leader="none" w:pos="1809" w:val="left"/>
        </w:tabs>
        <w:numPr>
          <w:ilvl w:val="1"/>
          <w:numId w:val="339"/>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the Borrower, members of the Group and its related entities whilst any amount is or may be outstanding under the Finance Documents or any Commitment is in force.</w:t>
      </w:r>
    </w:p>
    <w:p>
      <w:pPr>
        <w:spacing w:after="0" w:line="157" w:lineRule="exact"/>
        <w:rPr>
          <w:rFonts w:ascii="Arial" w:cs="Arial" w:eastAsia="Arial" w:hAnsi="Arial"/>
          <w:sz w:val="17"/>
          <w:szCs w:val="17"/>
          <w:color w:val="auto"/>
        </w:rPr>
      </w:pPr>
    </w:p>
    <w:p>
      <w:pPr>
        <w:ind w:left="1280" w:hanging="579"/>
        <w:spacing w:after="0"/>
        <w:tabs>
          <w:tab w:leader="none" w:pos="12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19" w:lineRule="exact"/>
        <w:rPr>
          <w:rFonts w:ascii="Arial" w:cs="Arial" w:eastAsia="Arial" w:hAnsi="Arial"/>
          <w:sz w:val="18"/>
          <w:szCs w:val="18"/>
          <w:color w:val="auto"/>
        </w:rPr>
      </w:pPr>
    </w:p>
    <w:p>
      <w:pPr>
        <w:ind w:left="1800" w:hanging="545"/>
        <w:spacing w:after="0" w:line="267" w:lineRule="auto"/>
        <w:tabs>
          <w:tab w:leader="none" w:pos="18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22; or</w:t>
      </w:r>
    </w:p>
    <w:p>
      <w:pPr>
        <w:spacing w:after="0" w:line="179" w:lineRule="exact"/>
        <w:rPr>
          <w:sz w:val="20"/>
          <w:szCs w:val="20"/>
          <w:color w:val="auto"/>
        </w:rPr>
      </w:pPr>
    </w:p>
    <w:p>
      <w:pPr>
        <w:ind w:left="1800" w:right="560" w:hanging="545"/>
        <w:spacing w:after="0" w:line="267" w:lineRule="auto"/>
        <w:tabs>
          <w:tab w:leader="none" w:pos="180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the Borrower of its obligations under the Finance Documents or otherwise.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b w:val="1"/>
          <w:bCs w:val="1"/>
          <w:color w:val="auto"/>
        </w:rPr>
        <w:t>Procedure for transfer</w:t>
      </w:r>
    </w:p>
    <w:p>
      <w:pPr>
        <w:spacing w:after="0" w:line="225" w:lineRule="exact"/>
        <w:rPr>
          <w:sz w:val="20"/>
          <w:szCs w:val="20"/>
          <w:color w:val="auto"/>
        </w:rPr>
      </w:pPr>
    </w:p>
    <w:p>
      <w:pPr>
        <w:ind w:left="1260" w:hanging="559"/>
        <w:spacing w:after="0"/>
        <w:tabs>
          <w:tab w:leader="none" w:pos="126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Subject to the conditions set out in Clause 22.2 (Conditions of assignment or transfer), a transfer is effected in accordance with paragraph</w:t>
      </w:r>
    </w:p>
    <w:p>
      <w:pPr>
        <w:spacing w:after="0" w:line="40"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(c) below when:</w:t>
      </w:r>
    </w:p>
    <w:p>
      <w:pPr>
        <w:spacing w:after="0" w:line="208" w:lineRule="exact"/>
        <w:rPr>
          <w:sz w:val="20"/>
          <w:szCs w:val="20"/>
          <w:color w:val="auto"/>
        </w:rPr>
      </w:pPr>
    </w:p>
    <w:p>
      <w:pPr>
        <w:ind w:left="1800" w:right="40" w:hanging="545"/>
        <w:spacing w:after="0" w:line="253" w:lineRule="auto"/>
        <w:tabs>
          <w:tab w:leader="none" w:pos="18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 or</w:t>
      </w:r>
    </w:p>
    <w:p>
      <w:pPr>
        <w:spacing w:after="0" w:line="192" w:lineRule="exact"/>
        <w:rPr>
          <w:rFonts w:ascii="Arial" w:cs="Arial" w:eastAsia="Arial" w:hAnsi="Arial"/>
          <w:sz w:val="18"/>
          <w:szCs w:val="18"/>
          <w:color w:val="auto"/>
        </w:rPr>
      </w:pPr>
    </w:p>
    <w:p>
      <w:pPr>
        <w:ind w:left="1800" w:hanging="545"/>
        <w:spacing w:after="0" w:line="267" w:lineRule="auto"/>
        <w:tabs>
          <w:tab w:leader="none" w:pos="1809" w:val="left"/>
        </w:tabs>
        <w:numPr>
          <w:ilvl w:val="1"/>
          <w:numId w:val="343"/>
        </w:numPr>
        <w:rPr>
          <w:rFonts w:ascii="Arial" w:cs="Arial" w:eastAsia="Arial" w:hAnsi="Arial"/>
          <w:sz w:val="18"/>
          <w:szCs w:val="18"/>
          <w:color w:val="auto"/>
        </w:rPr>
      </w:pPr>
      <w:r>
        <w:rPr>
          <w:rFonts w:ascii="Arial" w:cs="Arial" w:eastAsia="Arial" w:hAnsi="Arial"/>
          <w:sz w:val="18"/>
          <w:szCs w:val="18"/>
          <w:color w:val="auto"/>
        </w:rPr>
        <w:t>for the purposes of the primary syndication of the Facility, a syndication agreement is entered into, substantially in the form set out in Schedule 8 (Form of Syndication Agreement) (</w:t>
      </w:r>
      <w:r>
        <w:rPr>
          <w:rFonts w:ascii="Arial" w:cs="Arial" w:eastAsia="Arial" w:hAnsi="Arial"/>
          <w:sz w:val="18"/>
          <w:szCs w:val="18"/>
          <w:b w:val="1"/>
          <w:bCs w:val="1"/>
          <w:color w:val="auto"/>
        </w:rPr>
        <w:t>Syndication Agreement</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1260" w:right="260" w:hanging="559"/>
        <w:spacing w:after="0" w:line="257" w:lineRule="auto"/>
        <w:tabs>
          <w:tab w:leader="none" w:pos="123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Agent shall not be obliged to execute a Syndication Agreement or a Transfer Certificate delivered to it by the Existing Lender and the New Lender unless it is satisfied that it has completed all “know your customer” and other similar procedures that it is required (or deems desirable) to conduct in relation to the transfer to the relevant New Lender(s).</w:t>
      </w:r>
    </w:p>
    <w:p>
      <w:pPr>
        <w:spacing w:after="0" w:line="187" w:lineRule="exact"/>
        <w:rPr>
          <w:rFonts w:ascii="Arial" w:cs="Arial" w:eastAsia="Arial" w:hAnsi="Arial"/>
          <w:sz w:val="18"/>
          <w:szCs w:val="18"/>
          <w:color w:val="auto"/>
        </w:rPr>
      </w:pPr>
    </w:p>
    <w:p>
      <w:pPr>
        <w:ind w:left="1280" w:hanging="579"/>
        <w:spacing w:after="0"/>
        <w:tabs>
          <w:tab w:leader="none" w:pos="12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respect of a transfer which is effected pursuant to paragraph (a)(i):</w:t>
      </w:r>
    </w:p>
    <w:p>
      <w:pPr>
        <w:spacing w:after="0" w:line="219" w:lineRule="exact"/>
        <w:rPr>
          <w:rFonts w:ascii="Arial" w:cs="Arial" w:eastAsia="Arial" w:hAnsi="Arial"/>
          <w:sz w:val="18"/>
          <w:szCs w:val="18"/>
          <w:color w:val="auto"/>
        </w:rPr>
      </w:pPr>
    </w:p>
    <w:p>
      <w:pPr>
        <w:ind w:left="2360" w:right="100" w:hanging="551"/>
        <w:spacing w:after="0" w:line="253" w:lineRule="auto"/>
        <w:tabs>
          <w:tab w:leader="none" w:pos="2360" w:val="left"/>
        </w:tabs>
        <w:numPr>
          <w:ilvl w:val="2"/>
          <w:numId w:val="344"/>
        </w:numPr>
        <w:rPr>
          <w:rFonts w:ascii="Arial" w:cs="Arial" w:eastAsia="Arial" w:hAnsi="Arial"/>
          <w:sz w:val="18"/>
          <w:szCs w:val="18"/>
          <w:color w:val="auto"/>
        </w:rPr>
      </w:pPr>
      <w:r>
        <w:rPr>
          <w:rFonts w:ascii="Arial" w:cs="Arial" w:eastAsia="Arial" w:hAnsi="Arial"/>
          <w:sz w:val="18"/>
          <w:szCs w:val="18"/>
          <w:color w:val="auto"/>
        </w:rPr>
        <w:t xml:space="preserve">to the extent that in the Transfer Certificate the Existing Lender seeks to transfer by novation its rights and obligations under the Finance Documents each of the Borrower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2360" w:right="340" w:hanging="551"/>
        <w:spacing w:after="0" w:line="279" w:lineRule="auto"/>
        <w:tabs>
          <w:tab w:leader="none" w:pos="2350" w:val="left"/>
        </w:tabs>
        <w:numPr>
          <w:ilvl w:val="2"/>
          <w:numId w:val="344"/>
        </w:numPr>
        <w:rPr>
          <w:rFonts w:ascii="Arial" w:cs="Arial" w:eastAsia="Arial" w:hAnsi="Arial"/>
          <w:sz w:val="17"/>
          <w:szCs w:val="17"/>
          <w:color w:val="auto"/>
        </w:rPr>
      </w:pPr>
      <w:r>
        <w:rPr>
          <w:rFonts w:ascii="Arial" w:cs="Arial" w:eastAsia="Arial" w:hAnsi="Arial"/>
          <w:sz w:val="17"/>
          <w:szCs w:val="17"/>
          <w:color w:val="auto"/>
        </w:rPr>
        <w:t>each of the Borrower and the New Lender shall assume obligations towards one another and/or acquire rights against one another which differ from the Discharged Rights and Obligations only insofar as the Borrower and the New Lender have assumed and/or acquired the same in place of the Borrower and the Existing Lender;</w:t>
      </w:r>
    </w:p>
    <w:p>
      <w:pPr>
        <w:spacing w:after="0" w:line="170" w:lineRule="exact"/>
        <w:rPr>
          <w:rFonts w:ascii="Arial" w:cs="Arial" w:eastAsia="Arial" w:hAnsi="Arial"/>
          <w:sz w:val="17"/>
          <w:szCs w:val="17"/>
          <w:color w:val="auto"/>
        </w:rPr>
      </w:pPr>
    </w:p>
    <w:p>
      <w:pPr>
        <w:ind w:left="2360" w:right="320" w:hanging="551"/>
        <w:spacing w:after="0" w:line="267" w:lineRule="auto"/>
        <w:tabs>
          <w:tab w:leader="none" w:pos="2350" w:val="left"/>
        </w:tabs>
        <w:numPr>
          <w:ilvl w:val="2"/>
          <w:numId w:val="344"/>
        </w:numPr>
        <w:rPr>
          <w:rFonts w:ascii="Arial" w:cs="Arial" w:eastAsia="Arial" w:hAnsi="Arial"/>
          <w:sz w:val="18"/>
          <w:szCs w:val="18"/>
          <w:color w:val="auto"/>
        </w:rPr>
      </w:pPr>
      <w:r>
        <w:rPr>
          <w:rFonts w:ascii="Arial" w:cs="Arial" w:eastAsia="Arial" w:hAnsi="Arial"/>
          <w:sz w:val="18"/>
          <w:szCs w:val="18"/>
          <w:color w:val="auto"/>
        </w:rPr>
        <w:t>the Agent, the MLABs, the New Lender and other Lenders shall acquire the same rights and assume the same obligations between</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00"/>
          </w:cols>
          <w:pgMar w:left="240" w:top="340" w:right="359" w:bottom="1440" w:gutter="0" w:footer="0" w:header="0"/>
        </w:sectPr>
      </w:pPr>
    </w:p>
    <w:bookmarkStart w:id="234" w:name="page235"/>
    <w:bookmarkEnd w:id="234"/>
    <w:p>
      <w:pPr>
        <w:jc w:val="both"/>
        <w:ind w:left="2360" w:right="400"/>
        <w:spacing w:after="0" w:line="304" w:lineRule="auto"/>
        <w:rPr>
          <w:sz w:val="20"/>
          <w:szCs w:val="20"/>
          <w:color w:val="auto"/>
        </w:rPr>
      </w:pPr>
      <w:r>
        <w:rPr>
          <w:rFonts w:ascii="Arial" w:cs="Arial" w:eastAsia="Arial" w:hAnsi="Arial"/>
          <w:sz w:val="16"/>
          <w:szCs w:val="16"/>
          <w:color w:val="auto"/>
        </w:rPr>
        <w:t>themselves as they would have acquired and assumed had the New Lender been an Original Lender with the rights and/or obligations acquired or assumed by it as a result of the transfer and to that extent the Agent, the MLABs and the Existing Lender shall each be released from further obligations to each other under the Finance Documents; and</w:t>
      </w:r>
    </w:p>
    <w:p>
      <w:pPr>
        <w:spacing w:after="0" w:line="147" w:lineRule="exact"/>
        <w:rPr>
          <w:sz w:val="20"/>
          <w:szCs w:val="20"/>
          <w:color w:val="auto"/>
        </w:rPr>
      </w:pPr>
    </w:p>
    <w:p>
      <w:pPr>
        <w:ind w:left="2380" w:hanging="571"/>
        <w:spacing w:after="0"/>
        <w:tabs>
          <w:tab w:leader="none" w:pos="23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the New Lender shall become a Party as a </w:t>
      </w:r>
      <w:r>
        <w:rPr>
          <w:rFonts w:ascii="Arial" w:cs="Arial" w:eastAsia="Arial" w:hAnsi="Arial"/>
          <w:sz w:val="18"/>
          <w:szCs w:val="18"/>
          <w:b w:val="1"/>
          <w:bCs w:val="1"/>
          <w:color w:val="auto"/>
        </w:rPr>
        <w:t>Lender</w:t>
      </w:r>
      <w:r>
        <w:rPr>
          <w:rFonts w:ascii="Arial" w:cs="Arial" w:eastAsia="Arial" w:hAnsi="Arial"/>
          <w:sz w:val="18"/>
          <w:szCs w:val="18"/>
          <w:color w:val="auto"/>
        </w:rPr>
        <w:t>; and</w:t>
      </w:r>
    </w:p>
    <w:p>
      <w:pPr>
        <w:spacing w:after="0" w:line="219" w:lineRule="exact"/>
        <w:rPr>
          <w:rFonts w:ascii="Arial" w:cs="Arial" w:eastAsia="Arial" w:hAnsi="Arial"/>
          <w:sz w:val="18"/>
          <w:szCs w:val="18"/>
          <w:color w:val="auto"/>
        </w:rPr>
      </w:pPr>
    </w:p>
    <w:p>
      <w:pPr>
        <w:ind w:left="1800" w:right="800" w:hanging="545"/>
        <w:spacing w:after="0" w:line="274" w:lineRule="auto"/>
        <w:tabs>
          <w:tab w:leader="none" w:pos="180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in respect of a transfer which is effected pursuant to paragraph (a)(ii), the New Lender shall become a Party as a </w:t>
      </w:r>
      <w:r>
        <w:rPr>
          <w:rFonts w:ascii="Arial" w:cs="Arial" w:eastAsia="Arial" w:hAnsi="Arial"/>
          <w:sz w:val="18"/>
          <w:szCs w:val="18"/>
          <w:b w:val="1"/>
          <w:bCs w:val="1"/>
          <w:color w:val="auto"/>
        </w:rPr>
        <w:t>Lender</w:t>
      </w:r>
      <w:r>
        <w:rPr>
          <w:rFonts w:ascii="Arial" w:cs="Arial" w:eastAsia="Arial" w:hAnsi="Arial"/>
          <w:sz w:val="18"/>
          <w:szCs w:val="18"/>
          <w:color w:val="auto"/>
        </w:rPr>
        <w:t xml:space="preserve"> in accordance with the terms of the Syndication Agreement.</w:t>
      </w:r>
    </w:p>
    <w:p>
      <w:pPr>
        <w:spacing w:after="0" w:line="16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4"/>
          <w:szCs w:val="14"/>
          <w:b w:val="1"/>
          <w:bCs w:val="1"/>
          <w:color w:val="auto"/>
        </w:rPr>
        <w:t>Procedure for assignment</w:t>
      </w:r>
    </w:p>
    <w:p>
      <w:pPr>
        <w:spacing w:after="0" w:line="225" w:lineRule="exact"/>
        <w:rPr>
          <w:sz w:val="20"/>
          <w:szCs w:val="20"/>
          <w:color w:val="auto"/>
        </w:rPr>
      </w:pPr>
    </w:p>
    <w:p>
      <w:pPr>
        <w:ind w:left="1260" w:right="80" w:hanging="559"/>
        <w:spacing w:after="0" w:line="252" w:lineRule="auto"/>
        <w:tabs>
          <w:tab w:leader="none" w:pos="122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the conditions set out in Clause 22.2 (Conditions of assignment or transfer),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92" w:lineRule="exact"/>
        <w:rPr>
          <w:rFonts w:ascii="Arial" w:cs="Arial" w:eastAsia="Arial" w:hAnsi="Arial"/>
          <w:sz w:val="18"/>
          <w:szCs w:val="18"/>
          <w:color w:val="auto"/>
        </w:rPr>
      </w:pPr>
    </w:p>
    <w:p>
      <w:pPr>
        <w:ind w:left="1260" w:right="300" w:hanging="559"/>
        <w:spacing w:after="0" w:line="257" w:lineRule="auto"/>
        <w:tabs>
          <w:tab w:leader="none" w:pos="123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Agent shall not be obliged to execute an Assignment Agreement delivered to it by the Existing Lender and the New Lender unless it is satisfied that it has completed all “know your customer” and other similar procedures that it is required (or deems desirable) to conduct in relation to the transfer to such New Lender.</w:t>
      </w:r>
    </w:p>
    <w:p>
      <w:pPr>
        <w:spacing w:after="0" w:line="187" w:lineRule="exact"/>
        <w:rPr>
          <w:rFonts w:ascii="Arial" w:cs="Arial" w:eastAsia="Arial" w:hAnsi="Arial"/>
          <w:sz w:val="18"/>
          <w:szCs w:val="18"/>
          <w:color w:val="auto"/>
        </w:rPr>
      </w:pPr>
    </w:p>
    <w:p>
      <w:pPr>
        <w:ind w:left="1240" w:hanging="539"/>
        <w:spacing w:after="0"/>
        <w:tabs>
          <w:tab w:leader="none" w:pos="12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219" w:lineRule="exact"/>
        <w:rPr>
          <w:rFonts w:ascii="Arial" w:cs="Arial" w:eastAsia="Arial" w:hAnsi="Arial"/>
          <w:sz w:val="18"/>
          <w:szCs w:val="18"/>
          <w:color w:val="auto"/>
        </w:rPr>
      </w:pPr>
    </w:p>
    <w:p>
      <w:pPr>
        <w:ind w:left="1800" w:right="220" w:hanging="545"/>
        <w:spacing w:after="0" w:line="267" w:lineRule="auto"/>
        <w:tabs>
          <w:tab w:leader="none" w:pos="180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172" w:lineRule="exact"/>
        <w:rPr>
          <w:rFonts w:ascii="Arial" w:cs="Arial" w:eastAsia="Arial" w:hAnsi="Arial"/>
          <w:sz w:val="18"/>
          <w:szCs w:val="18"/>
          <w:color w:val="auto"/>
        </w:rPr>
      </w:pPr>
    </w:p>
    <w:p>
      <w:pPr>
        <w:ind w:left="1800" w:right="400" w:hanging="545"/>
        <w:spacing w:after="0" w:line="274" w:lineRule="auto"/>
        <w:tabs>
          <w:tab w:leader="none" w:pos="180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the Borrower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Assignment Agreement; and</w:t>
      </w:r>
    </w:p>
    <w:p>
      <w:pPr>
        <w:spacing w:after="0" w:line="172" w:lineRule="exact"/>
        <w:rPr>
          <w:rFonts w:ascii="Arial" w:cs="Arial" w:eastAsia="Arial" w:hAnsi="Arial"/>
          <w:sz w:val="18"/>
          <w:szCs w:val="18"/>
          <w:color w:val="auto"/>
        </w:rPr>
      </w:pPr>
    </w:p>
    <w:p>
      <w:pPr>
        <w:ind w:left="1820" w:hanging="565"/>
        <w:spacing w:after="0"/>
        <w:tabs>
          <w:tab w:leader="none" w:pos="18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the New Lender shall become a Party as a “Lender” and will be bound by obligations equivalent to the Relevant Obligations.</w:t>
      </w:r>
    </w:p>
    <w:p>
      <w:pPr>
        <w:spacing w:after="0" w:line="230" w:lineRule="exact"/>
        <w:rPr>
          <w:rFonts w:ascii="Arial" w:cs="Arial" w:eastAsia="Arial" w:hAnsi="Arial"/>
          <w:sz w:val="17"/>
          <w:szCs w:val="17"/>
          <w:color w:val="auto"/>
        </w:rPr>
      </w:pPr>
    </w:p>
    <w:p>
      <w:pPr>
        <w:ind w:left="1260" w:hanging="559"/>
        <w:spacing w:after="0" w:line="273" w:lineRule="auto"/>
        <w:tabs>
          <w:tab w:leader="none" w:pos="1233"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An Existing Lender may utilise procedures other than those set out in this Clause 22.6 to assign its rights under the Finance Documents (but not, without the consent of the Borrower or unless in accordance with Clause 22.5 (Procedure for transfer), to obtain a release by the Borrower from the obligations owed to the Borrower by that Existing Lender nor the assumption of equivalent obligations by a New Lender) provided that they comply with the conditions set out in Clause 22.2 (Conditions of assignment or transfer).</w:t>
      </w:r>
    </w:p>
    <w:p>
      <w:pPr>
        <w:spacing w:after="0" w:line="176" w:lineRule="exact"/>
        <w:rPr>
          <w:rFonts w:ascii="Arial" w:cs="Arial" w:eastAsia="Arial" w:hAnsi="Arial"/>
          <w:sz w:val="17"/>
          <w:szCs w:val="17"/>
          <w:color w:val="auto"/>
        </w:rPr>
      </w:pPr>
    </w:p>
    <w:p>
      <w:pPr>
        <w:ind w:left="1260" w:hanging="559"/>
        <w:spacing w:after="0" w:line="252" w:lineRule="auto"/>
        <w:tabs>
          <w:tab w:leader="none" w:pos="123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procedure set out in this Clause 22.6 shall not apply to any right or obligation under any Finance Document (other than this agreement) if and to the extent its terms, or any laws or regulations applicable thereto, provide for or require a different means of assignment of such right or release or assumption of such obligation or prohibit or restrict any assignment of such right or release or assumption of such obligation, unless such prohibition or restriction shall not be applicable to the relevant assignment, release or assumption or each condition of any applicable restriction shall have been satisfied.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35" w:name="page236"/>
    <w:bookmarkEnd w:id="235"/>
    <w:p>
      <w:pPr>
        <w:spacing w:after="0"/>
        <w:tabs>
          <w:tab w:leader="none" w:pos="6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b w:val="1"/>
          <w:bCs w:val="1"/>
          <w:color w:val="auto"/>
        </w:rPr>
        <w:t>Copy of Transfer Certificate or Assignment Agreement to Borrower</w:t>
      </w:r>
    </w:p>
    <w:p>
      <w:pPr>
        <w:spacing w:after="0" w:line="225" w:lineRule="exact"/>
        <w:rPr>
          <w:sz w:val="20"/>
          <w:szCs w:val="20"/>
          <w:color w:val="auto"/>
        </w:rPr>
      </w:pPr>
    </w:p>
    <w:p>
      <w:pPr>
        <w:ind w:left="640" w:right="280"/>
        <w:spacing w:after="0" w:line="267" w:lineRule="auto"/>
        <w:rPr>
          <w:sz w:val="20"/>
          <w:szCs w:val="20"/>
          <w:color w:val="auto"/>
        </w:rPr>
      </w:pPr>
      <w:r>
        <w:rPr>
          <w:rFonts w:ascii="Arial" w:cs="Arial" w:eastAsia="Arial" w:hAnsi="Arial"/>
          <w:sz w:val="18"/>
          <w:szCs w:val="18"/>
          <w:color w:val="auto"/>
        </w:rPr>
        <w:t>The Agent shall, as soon as reasonably practicable after it has executed a Transfer Certificate or an Assignment Agreement, send to the Borrower a copy of that Transfer Certificate or Assignment Agreement.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4"/>
          <w:szCs w:val="14"/>
          <w:b w:val="1"/>
          <w:bCs w:val="1"/>
          <w:color w:val="auto"/>
        </w:rPr>
        <w:t>Breach of Conditions of Assignment or Transfer</w:t>
      </w:r>
    </w:p>
    <w:p>
      <w:pPr>
        <w:spacing w:after="0" w:line="225" w:lineRule="exact"/>
        <w:rPr>
          <w:sz w:val="20"/>
          <w:szCs w:val="20"/>
          <w:color w:val="auto"/>
        </w:rPr>
      </w:pPr>
    </w:p>
    <w:p>
      <w:pPr>
        <w:ind w:left="640" w:right="120"/>
        <w:spacing w:after="0" w:line="253" w:lineRule="auto"/>
        <w:rPr>
          <w:sz w:val="20"/>
          <w:szCs w:val="20"/>
          <w:color w:val="auto"/>
        </w:rPr>
      </w:pPr>
      <w:r>
        <w:rPr>
          <w:rFonts w:ascii="Arial" w:cs="Arial" w:eastAsia="Arial" w:hAnsi="Arial"/>
          <w:sz w:val="18"/>
          <w:szCs w:val="18"/>
          <w:color w:val="auto"/>
        </w:rPr>
        <w:t>If any Transfer is executed and purported to have effect in breach of the restrictions on transfers set forth in this Clause 22 (Changes to the Lenders) that transfer shall be void and deemed not to have occurred, until such time as there has been compliance with the assignment and transfer provisions of this Clause 22 (Changes to the Lenders). Any Transfer Certificate may (if required by the Existing Lender) contain an indemnity from the New Lender.</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4"/>
          <w:szCs w:val="14"/>
          <w:b w:val="1"/>
          <w:bCs w:val="1"/>
          <w:color w:val="auto"/>
        </w:rPr>
        <w:t>Existing consents and waivers</w:t>
      </w:r>
    </w:p>
    <w:p>
      <w:pPr>
        <w:spacing w:after="0" w:line="225" w:lineRule="exact"/>
        <w:rPr>
          <w:sz w:val="20"/>
          <w:szCs w:val="20"/>
          <w:color w:val="auto"/>
        </w:rPr>
      </w:pPr>
    </w:p>
    <w:p>
      <w:pPr>
        <w:ind w:left="640" w:right="80"/>
        <w:spacing w:after="0" w:line="267" w:lineRule="auto"/>
        <w:rPr>
          <w:sz w:val="20"/>
          <w:szCs w:val="20"/>
          <w:color w:val="auto"/>
        </w:rPr>
      </w:pPr>
      <w:r>
        <w:rPr>
          <w:rFonts w:ascii="Arial" w:cs="Arial" w:eastAsia="Arial" w:hAnsi="Arial"/>
          <w:sz w:val="18"/>
          <w:szCs w:val="18"/>
          <w:color w:val="auto"/>
        </w:rPr>
        <w:t>Each New Lender shall be bound by any consent, waiver, election or decision given or made by the relevant Existing Lender under or pursuant to any Finance Document prior to the coming into effect of the relevant assignment or transfer to such New Lender.</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b w:val="1"/>
          <w:bCs w:val="1"/>
          <w:color w:val="auto"/>
        </w:rPr>
        <w:t>Exclusion of Agent’s liability</w:t>
      </w:r>
    </w:p>
    <w:p>
      <w:pPr>
        <w:spacing w:after="0" w:line="225" w:lineRule="exact"/>
        <w:rPr>
          <w:sz w:val="20"/>
          <w:szCs w:val="20"/>
          <w:color w:val="auto"/>
        </w:rPr>
      </w:pPr>
    </w:p>
    <w:p>
      <w:pPr>
        <w:ind w:left="700"/>
        <w:spacing w:after="0" w:line="267" w:lineRule="auto"/>
        <w:rPr>
          <w:sz w:val="20"/>
          <w:szCs w:val="20"/>
          <w:color w:val="auto"/>
        </w:rPr>
      </w:pPr>
      <w:r>
        <w:rPr>
          <w:rFonts w:ascii="Arial" w:cs="Arial" w:eastAsia="Arial" w:hAnsi="Arial"/>
          <w:sz w:val="18"/>
          <w:szCs w:val="18"/>
          <w:color w:val="auto"/>
        </w:rPr>
        <w:t>In relation to any assignment or transfer pursuant to this Clause 22, each Party acknowledges and agrees that the Agent shall not be obliged to enquire as to the accuracy of any representation or warranty made by a New Lender in respect of its eligibility as a Lender.</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b w:val="1"/>
          <w:bCs w:val="1"/>
          <w:color w:val="auto"/>
        </w:rPr>
        <w:t>Sub-participation</w:t>
      </w:r>
    </w:p>
    <w:p>
      <w:pPr>
        <w:spacing w:after="0" w:line="225"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For the avoidance of doubt, each Lender may, other than a Voting Participation restricted under Clause 22.2(b) (Conditions of assignment or transfer), grant sub-participations in respect of any or all of its rights and/or obligations under any Finance Document to any person and no consent of the Borrower shall be required in respect of any such sub-participations.</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4"/>
          <w:szCs w:val="14"/>
          <w:b w:val="1"/>
          <w:bCs w:val="1"/>
          <w:color w:val="auto"/>
        </w:rPr>
        <w:t>Assignments and transfers to members of the Group</w:t>
      </w:r>
    </w:p>
    <w:p>
      <w:pPr>
        <w:spacing w:after="0" w:line="225" w:lineRule="exact"/>
        <w:rPr>
          <w:sz w:val="20"/>
          <w:szCs w:val="20"/>
          <w:color w:val="auto"/>
        </w:rPr>
      </w:pPr>
    </w:p>
    <w:p>
      <w:pPr>
        <w:jc w:val="both"/>
        <w:ind w:left="700" w:right="100"/>
        <w:spacing w:after="0" w:line="257" w:lineRule="auto"/>
        <w:rPr>
          <w:sz w:val="20"/>
          <w:szCs w:val="20"/>
          <w:color w:val="auto"/>
        </w:rPr>
      </w:pPr>
      <w:r>
        <w:rPr>
          <w:rFonts w:ascii="Arial" w:cs="Arial" w:eastAsia="Arial" w:hAnsi="Arial"/>
          <w:sz w:val="18"/>
          <w:szCs w:val="18"/>
          <w:color w:val="auto"/>
        </w:rPr>
        <w:t>A Lender may not assign or transfer to any of its rights and/or obligations under any Finance Document to any member of the Group or any Affiliate of any member of the Group any of such Lender’s rights or obligations under any Finance Document, except with the prior written consent of all the Lenders.</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b w:val="1"/>
          <w:bCs w:val="1"/>
          <w:color w:val="auto"/>
        </w:rPr>
        <w:t>Security over Lenders’ rights</w:t>
      </w:r>
    </w:p>
    <w:p>
      <w:pPr>
        <w:spacing w:after="0" w:line="225" w:lineRule="exact"/>
        <w:rPr>
          <w:sz w:val="20"/>
          <w:szCs w:val="20"/>
          <w:color w:val="auto"/>
        </w:rPr>
      </w:pPr>
    </w:p>
    <w:p>
      <w:pPr>
        <w:ind w:left="700" w:right="160"/>
        <w:spacing w:after="0" w:line="257" w:lineRule="auto"/>
        <w:rPr>
          <w:sz w:val="20"/>
          <w:szCs w:val="20"/>
          <w:color w:val="auto"/>
        </w:rPr>
      </w:pPr>
      <w:r>
        <w:rPr>
          <w:rFonts w:ascii="Arial" w:cs="Arial" w:eastAsia="Arial" w:hAnsi="Arial"/>
          <w:sz w:val="18"/>
          <w:szCs w:val="18"/>
          <w:color w:val="auto"/>
        </w:rPr>
        <w:t>In addition to the other rights provided to Lenders under this Clause 22, each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w:t>
      </w:r>
    </w:p>
    <w:p>
      <w:pPr>
        <w:spacing w:after="0" w:line="188" w:lineRule="exact"/>
        <w:rPr>
          <w:sz w:val="20"/>
          <w:szCs w:val="20"/>
          <w:color w:val="auto"/>
        </w:rPr>
      </w:pPr>
    </w:p>
    <w:p>
      <w:pPr>
        <w:ind w:left="1240" w:hanging="539"/>
        <w:spacing w:after="0"/>
        <w:tabs>
          <w:tab w:leader="none" w:pos="12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219" w:lineRule="exact"/>
        <w:rPr>
          <w:rFonts w:ascii="Arial" w:cs="Arial" w:eastAsia="Arial" w:hAnsi="Arial"/>
          <w:sz w:val="18"/>
          <w:szCs w:val="18"/>
          <w:color w:val="auto"/>
        </w:rPr>
      </w:pPr>
    </w:p>
    <w:p>
      <w:pPr>
        <w:ind w:left="1260" w:right="320" w:hanging="559"/>
        <w:spacing w:after="0" w:line="296" w:lineRule="auto"/>
        <w:tabs>
          <w:tab w:leader="none" w:pos="124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36" w:name="page237"/>
    <w:bookmarkEnd w:id="236"/>
    <w:p>
      <w:pPr>
        <w:ind w:left="700"/>
        <w:spacing w:after="0"/>
        <w:rPr>
          <w:sz w:val="20"/>
          <w:szCs w:val="20"/>
          <w:color w:val="auto"/>
        </w:rPr>
      </w:pPr>
      <w:r>
        <w:rPr>
          <w:rFonts w:ascii="Arial" w:cs="Arial" w:eastAsia="Arial" w:hAnsi="Arial"/>
          <w:sz w:val="18"/>
          <w:szCs w:val="18"/>
          <w:color w:val="auto"/>
        </w:rPr>
        <w:t>except that no such charge, assignment or Security shall:</w:t>
      </w:r>
    </w:p>
    <w:p>
      <w:pPr>
        <w:spacing w:after="0" w:line="219" w:lineRule="exact"/>
        <w:rPr>
          <w:sz w:val="20"/>
          <w:szCs w:val="20"/>
          <w:color w:val="auto"/>
        </w:rPr>
      </w:pPr>
    </w:p>
    <w:p>
      <w:pPr>
        <w:ind w:left="1800" w:right="640" w:hanging="545"/>
        <w:spacing w:after="0" w:line="267" w:lineRule="auto"/>
        <w:tabs>
          <w:tab w:leader="none" w:pos="18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178" w:lineRule="exact"/>
        <w:rPr>
          <w:rFonts w:ascii="Arial" w:cs="Arial" w:eastAsia="Arial" w:hAnsi="Arial"/>
          <w:sz w:val="18"/>
          <w:szCs w:val="18"/>
          <w:color w:val="auto"/>
        </w:rPr>
      </w:pPr>
    </w:p>
    <w:p>
      <w:pPr>
        <w:ind w:left="1800" w:right="240" w:hanging="545"/>
        <w:spacing w:after="0" w:line="267" w:lineRule="auto"/>
        <w:tabs>
          <w:tab w:leader="none" w:pos="180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require any payments to be made by the Borrower other than or in excess of, or grant to any person any more extensive rights than, those required to be made or granted to the relevant Lender under the Finance Documents.</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4"/>
          <w:szCs w:val="14"/>
          <w:b w:val="1"/>
          <w:bCs w:val="1"/>
          <w:color w:val="auto"/>
        </w:rPr>
        <w:t>Assignments and transfers by the Borrower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213" w:lineRule="exact"/>
        <w:rPr>
          <w:sz w:val="20"/>
          <w:szCs w:val="20"/>
          <w:color w:val="auto"/>
        </w:rPr>
      </w:pPr>
    </w:p>
    <w:p>
      <w:pPr>
        <w:ind w:left="700" w:hanging="693"/>
        <w:spacing w:after="0"/>
        <w:tabs>
          <w:tab w:leader="none" w:pos="70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ROLE OF THE ADMINISTRATIVE PARTIES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4"/>
          <w:szCs w:val="14"/>
          <w:b w:val="1"/>
          <w:bCs w:val="1"/>
          <w:color w:val="auto"/>
        </w:rPr>
        <w:t>Appointment of the Agent</w:t>
      </w:r>
    </w:p>
    <w:p>
      <w:pPr>
        <w:spacing w:after="0" w:line="225" w:lineRule="exact"/>
        <w:rPr>
          <w:sz w:val="20"/>
          <w:szCs w:val="20"/>
          <w:color w:val="auto"/>
        </w:rPr>
      </w:pPr>
    </w:p>
    <w:p>
      <w:pPr>
        <w:ind w:left="1240" w:hanging="539"/>
        <w:spacing w:after="0"/>
        <w:tabs>
          <w:tab w:leader="none" w:pos="124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Each of the MLABs and the Lenders appoints the Agent to act as its agent under and in connection with the Finance Documents.</w:t>
      </w:r>
    </w:p>
    <w:p>
      <w:pPr>
        <w:spacing w:after="0" w:line="230" w:lineRule="exact"/>
        <w:rPr>
          <w:rFonts w:ascii="Arial" w:cs="Arial" w:eastAsia="Arial" w:hAnsi="Arial"/>
          <w:sz w:val="17"/>
          <w:szCs w:val="17"/>
          <w:color w:val="auto"/>
        </w:rPr>
      </w:pPr>
    </w:p>
    <w:p>
      <w:pPr>
        <w:ind w:left="1260" w:hanging="559"/>
        <w:spacing w:after="0" w:line="257" w:lineRule="auto"/>
        <w:tabs>
          <w:tab w:leader="none" w:pos="124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of the MLABs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4"/>
          <w:szCs w:val="14"/>
          <w:b w:val="1"/>
          <w:bCs w:val="1"/>
          <w:color w:val="auto"/>
        </w:rPr>
        <w:t>Instructions</w:t>
      </w:r>
    </w:p>
    <w:p>
      <w:pPr>
        <w:spacing w:after="0" w:line="225" w:lineRule="exact"/>
        <w:rPr>
          <w:sz w:val="20"/>
          <w:szCs w:val="20"/>
          <w:color w:val="auto"/>
        </w:rPr>
      </w:pPr>
    </w:p>
    <w:p>
      <w:pPr>
        <w:ind w:left="1220" w:hanging="519"/>
        <w:spacing w:after="0"/>
        <w:tabs>
          <w:tab w:leader="none" w:pos="12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19" w:lineRule="exact"/>
        <w:rPr>
          <w:rFonts w:ascii="Arial" w:cs="Arial" w:eastAsia="Arial" w:hAnsi="Arial"/>
          <w:sz w:val="18"/>
          <w:szCs w:val="18"/>
          <w:color w:val="auto"/>
        </w:rPr>
      </w:pPr>
    </w:p>
    <w:p>
      <w:pPr>
        <w:ind w:left="1800" w:right="640" w:hanging="545"/>
        <w:spacing w:after="0" w:line="267" w:lineRule="auto"/>
        <w:tabs>
          <w:tab w:leader="none" w:pos="18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78" w:lineRule="exact"/>
        <w:rPr>
          <w:rFonts w:ascii="Arial" w:cs="Arial" w:eastAsia="Arial" w:hAnsi="Arial"/>
          <w:sz w:val="18"/>
          <w:szCs w:val="18"/>
          <w:color w:val="auto"/>
        </w:rPr>
      </w:pPr>
    </w:p>
    <w:p>
      <w:pPr>
        <w:ind w:left="2380" w:hanging="571"/>
        <w:spacing w:after="0"/>
        <w:tabs>
          <w:tab w:leader="none" w:pos="2380" w:val="left"/>
        </w:tabs>
        <w:numPr>
          <w:ilvl w:val="2"/>
          <w:numId w:val="352"/>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all-Lender decision; and</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2"/>
          <w:numId w:val="352"/>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19" w:lineRule="exact"/>
        <w:rPr>
          <w:rFonts w:ascii="Arial" w:cs="Arial" w:eastAsia="Arial" w:hAnsi="Arial"/>
          <w:sz w:val="18"/>
          <w:szCs w:val="18"/>
          <w:color w:val="auto"/>
        </w:rPr>
      </w:pPr>
    </w:p>
    <w:p>
      <w:pPr>
        <w:ind w:left="1820" w:hanging="565"/>
        <w:spacing w:after="0"/>
        <w:tabs>
          <w:tab w:leader="none" w:pos="18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19" w:lineRule="exact"/>
        <w:rPr>
          <w:rFonts w:ascii="Arial" w:cs="Arial" w:eastAsia="Arial" w:hAnsi="Arial"/>
          <w:sz w:val="18"/>
          <w:szCs w:val="18"/>
          <w:color w:val="auto"/>
        </w:rPr>
      </w:pPr>
    </w:p>
    <w:p>
      <w:pPr>
        <w:ind w:left="1260" w:hanging="559"/>
        <w:spacing w:after="0" w:line="273" w:lineRule="auto"/>
        <w:tabs>
          <w:tab w:leader="none" w:pos="123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76" w:lineRule="exact"/>
        <w:rPr>
          <w:rFonts w:ascii="Arial" w:cs="Arial" w:eastAsia="Arial" w:hAnsi="Arial"/>
          <w:sz w:val="17"/>
          <w:szCs w:val="17"/>
          <w:color w:val="auto"/>
        </w:rPr>
      </w:pPr>
    </w:p>
    <w:p>
      <w:pPr>
        <w:ind w:left="1260" w:right="200" w:hanging="559"/>
        <w:spacing w:after="0" w:line="279" w:lineRule="auto"/>
        <w:tabs>
          <w:tab w:leader="none" w:pos="1236" w:val="left"/>
        </w:tabs>
        <w:numPr>
          <w:ilvl w:val="0"/>
          <w:numId w:val="352"/>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7" w:name="page238"/>
    <w:bookmarkEnd w:id="237"/>
    <w:p>
      <w:pPr>
        <w:ind w:left="1260" w:hanging="559"/>
        <w:spacing w:after="0" w:line="304" w:lineRule="auto"/>
        <w:tabs>
          <w:tab w:leader="none" w:pos="1233"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53" w:lineRule="exact"/>
        <w:rPr>
          <w:rFonts w:ascii="Arial" w:cs="Arial" w:eastAsia="Arial" w:hAnsi="Arial"/>
          <w:sz w:val="16"/>
          <w:szCs w:val="16"/>
          <w:color w:val="auto"/>
        </w:rPr>
      </w:pPr>
    </w:p>
    <w:p>
      <w:pPr>
        <w:ind w:left="1240" w:hanging="539"/>
        <w:spacing w:after="0"/>
        <w:tabs>
          <w:tab w:leader="none" w:pos="124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Lenders.</w:t>
      </w:r>
    </w:p>
    <w:p>
      <w:pPr>
        <w:spacing w:after="0" w:line="230" w:lineRule="exact"/>
        <w:rPr>
          <w:rFonts w:ascii="Arial" w:cs="Arial" w:eastAsia="Arial" w:hAnsi="Arial"/>
          <w:sz w:val="17"/>
          <w:szCs w:val="17"/>
          <w:color w:val="auto"/>
        </w:rPr>
      </w:pPr>
    </w:p>
    <w:p>
      <w:pPr>
        <w:ind w:left="1260" w:right="100" w:hanging="559"/>
        <w:spacing w:after="0" w:line="267" w:lineRule="auto"/>
        <w:tabs>
          <w:tab w:leader="none" w:pos="123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4"/>
          <w:szCs w:val="14"/>
          <w:b w:val="1"/>
          <w:bCs w:val="1"/>
          <w:color w:val="auto"/>
        </w:rPr>
        <w:t>Duties of the Agent</w:t>
      </w:r>
    </w:p>
    <w:p>
      <w:pPr>
        <w:spacing w:after="0" w:line="225" w:lineRule="exact"/>
        <w:rPr>
          <w:sz w:val="20"/>
          <w:szCs w:val="20"/>
          <w:color w:val="auto"/>
        </w:rPr>
      </w:pPr>
    </w:p>
    <w:p>
      <w:pPr>
        <w:ind w:left="1220" w:hanging="519"/>
        <w:spacing w:after="0"/>
        <w:tabs>
          <w:tab w:leader="none" w:pos="12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19" w:lineRule="exact"/>
        <w:rPr>
          <w:rFonts w:ascii="Arial" w:cs="Arial" w:eastAsia="Arial" w:hAnsi="Arial"/>
          <w:sz w:val="18"/>
          <w:szCs w:val="18"/>
          <w:color w:val="auto"/>
        </w:rPr>
      </w:pPr>
    </w:p>
    <w:p>
      <w:pPr>
        <w:ind w:left="1260" w:right="200" w:hanging="559"/>
        <w:spacing w:after="0" w:line="267" w:lineRule="auto"/>
        <w:tabs>
          <w:tab w:leader="none" w:pos="123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178" w:lineRule="exact"/>
        <w:rPr>
          <w:rFonts w:ascii="Arial" w:cs="Arial" w:eastAsia="Arial" w:hAnsi="Arial"/>
          <w:sz w:val="18"/>
          <w:szCs w:val="18"/>
          <w:color w:val="auto"/>
        </w:rPr>
      </w:pPr>
    </w:p>
    <w:p>
      <w:pPr>
        <w:ind w:left="1240" w:hanging="539"/>
        <w:spacing w:after="0"/>
        <w:tabs>
          <w:tab w:leader="none" w:pos="12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Without prejudice to Clause 22.7, paragraph (b) above shall not apply to any Transfer Certificate or any Assignment Agreement.</w:t>
      </w:r>
    </w:p>
    <w:p>
      <w:pPr>
        <w:spacing w:after="0" w:line="230" w:lineRule="exact"/>
        <w:rPr>
          <w:rFonts w:ascii="Arial" w:cs="Arial" w:eastAsia="Arial" w:hAnsi="Arial"/>
          <w:sz w:val="17"/>
          <w:szCs w:val="17"/>
          <w:color w:val="auto"/>
        </w:rPr>
      </w:pPr>
    </w:p>
    <w:p>
      <w:pPr>
        <w:ind w:left="1260" w:right="380" w:hanging="559"/>
        <w:spacing w:after="0" w:line="267" w:lineRule="auto"/>
        <w:tabs>
          <w:tab w:leader="none" w:pos="123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78" w:lineRule="exact"/>
        <w:rPr>
          <w:rFonts w:ascii="Arial" w:cs="Arial" w:eastAsia="Arial" w:hAnsi="Arial"/>
          <w:sz w:val="18"/>
          <w:szCs w:val="18"/>
          <w:color w:val="auto"/>
        </w:rPr>
      </w:pPr>
    </w:p>
    <w:p>
      <w:pPr>
        <w:ind w:left="1260" w:right="420" w:hanging="559"/>
        <w:spacing w:after="0" w:line="267" w:lineRule="auto"/>
        <w:tabs>
          <w:tab w:leader="none" w:pos="123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78" w:lineRule="exact"/>
        <w:rPr>
          <w:rFonts w:ascii="Arial" w:cs="Arial" w:eastAsia="Arial" w:hAnsi="Arial"/>
          <w:sz w:val="18"/>
          <w:szCs w:val="18"/>
          <w:color w:val="auto"/>
        </w:rPr>
      </w:pPr>
    </w:p>
    <w:p>
      <w:pPr>
        <w:ind w:left="1260" w:right="120" w:hanging="559"/>
        <w:spacing w:after="0" w:line="267" w:lineRule="auto"/>
        <w:tabs>
          <w:tab w:leader="none" w:pos="123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to any Administrative Party) under this agreement, it shall promptly notify the other Finance Parties.</w:t>
      </w:r>
    </w:p>
    <w:p>
      <w:pPr>
        <w:spacing w:after="0" w:line="178" w:lineRule="exact"/>
        <w:rPr>
          <w:rFonts w:ascii="Arial" w:cs="Arial" w:eastAsia="Arial" w:hAnsi="Arial"/>
          <w:sz w:val="18"/>
          <w:szCs w:val="18"/>
          <w:color w:val="auto"/>
        </w:rPr>
      </w:pPr>
    </w:p>
    <w:p>
      <w:pPr>
        <w:ind w:left="1260" w:right="60" w:hanging="559"/>
        <w:spacing w:after="0" w:line="267" w:lineRule="auto"/>
        <w:tabs>
          <w:tab w:leader="none" w:pos="124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b w:val="1"/>
          <w:bCs w:val="1"/>
          <w:color w:val="auto"/>
        </w:rPr>
        <w:t>Role of the MLABs</w:t>
      </w:r>
    </w:p>
    <w:p>
      <w:pPr>
        <w:spacing w:after="0" w:line="225" w:lineRule="exact"/>
        <w:rPr>
          <w:sz w:val="20"/>
          <w:szCs w:val="20"/>
          <w:color w:val="auto"/>
        </w:rPr>
      </w:pPr>
    </w:p>
    <w:p>
      <w:pPr>
        <w:ind w:left="700" w:right="20"/>
        <w:spacing w:after="0" w:line="267" w:lineRule="auto"/>
        <w:rPr>
          <w:sz w:val="20"/>
          <w:szCs w:val="20"/>
          <w:color w:val="auto"/>
        </w:rPr>
      </w:pPr>
      <w:r>
        <w:rPr>
          <w:rFonts w:ascii="Arial" w:cs="Arial" w:eastAsia="Arial" w:hAnsi="Arial"/>
          <w:sz w:val="18"/>
          <w:szCs w:val="18"/>
          <w:color w:val="auto"/>
        </w:rPr>
        <w:t>Except as specifically provided in the Finance Documents, the MLABs have no obligations of any kind to any other Party under or in connection with any Finance Document.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4"/>
          <w:szCs w:val="14"/>
          <w:b w:val="1"/>
          <w:bCs w:val="1"/>
          <w:color w:val="auto"/>
        </w:rPr>
        <w:t>No fiduciary duties</w:t>
      </w:r>
    </w:p>
    <w:p>
      <w:pPr>
        <w:spacing w:after="0" w:line="225" w:lineRule="exact"/>
        <w:rPr>
          <w:sz w:val="20"/>
          <w:szCs w:val="20"/>
          <w:color w:val="auto"/>
        </w:rPr>
      </w:pPr>
    </w:p>
    <w:p>
      <w:pPr>
        <w:ind w:left="1220" w:hanging="519"/>
        <w:spacing w:after="0"/>
        <w:tabs>
          <w:tab w:leader="none" w:pos="12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Nothing in any Finance Document constitutes any Administrative Party as a trustee or fiduciary of any other person.</w:t>
      </w:r>
    </w:p>
    <w:p>
      <w:pPr>
        <w:spacing w:after="0" w:line="219" w:lineRule="exact"/>
        <w:rPr>
          <w:rFonts w:ascii="Arial" w:cs="Arial" w:eastAsia="Arial" w:hAnsi="Arial"/>
          <w:sz w:val="18"/>
          <w:szCs w:val="18"/>
          <w:color w:val="auto"/>
        </w:rPr>
      </w:pPr>
    </w:p>
    <w:p>
      <w:pPr>
        <w:ind w:left="1260" w:right="460" w:hanging="559"/>
        <w:spacing w:after="0" w:line="267" w:lineRule="auto"/>
        <w:tabs>
          <w:tab w:leader="none" w:pos="123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No Administrative Party shall be bound to account to any Lender for any sum or the profit element of any sum received by it for its own account.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4"/>
          <w:szCs w:val="14"/>
          <w:b w:val="1"/>
          <w:bCs w:val="1"/>
          <w:color w:val="auto"/>
        </w:rPr>
        <w:t>Business with the Group</w:t>
      </w:r>
    </w:p>
    <w:p>
      <w:pPr>
        <w:spacing w:after="0" w:line="225" w:lineRule="exact"/>
        <w:rPr>
          <w:sz w:val="20"/>
          <w:szCs w:val="20"/>
          <w:color w:val="auto"/>
        </w:rPr>
      </w:pPr>
    </w:p>
    <w:p>
      <w:pPr>
        <w:ind w:left="700" w:right="140"/>
        <w:spacing w:after="0" w:line="267" w:lineRule="auto"/>
        <w:rPr>
          <w:sz w:val="20"/>
          <w:szCs w:val="20"/>
          <w:color w:val="auto"/>
        </w:rPr>
      </w:pPr>
      <w:r>
        <w:rPr>
          <w:rFonts w:ascii="Arial" w:cs="Arial" w:eastAsia="Arial" w:hAnsi="Arial"/>
          <w:sz w:val="18"/>
          <w:szCs w:val="18"/>
          <w:color w:val="auto"/>
        </w:rPr>
        <w:t>Any Administrative Party may accept deposits from, lend money to and generally engage in any kind of banking or other business with any member of the Group.</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8" w:name="page239"/>
    <w:bookmarkEnd w:id="238"/>
    <w:p>
      <w:pPr>
        <w:spacing w:after="0"/>
        <w:tabs>
          <w:tab w:leader="none" w:pos="68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4"/>
          <w:szCs w:val="14"/>
          <w:b w:val="1"/>
          <w:bCs w:val="1"/>
          <w:color w:val="auto"/>
        </w:rPr>
        <w:t>Rights and discretions of the Agent</w:t>
      </w:r>
    </w:p>
    <w:p>
      <w:pPr>
        <w:spacing w:after="0" w:line="225" w:lineRule="exact"/>
        <w:rPr>
          <w:sz w:val="20"/>
          <w:szCs w:val="20"/>
          <w:color w:val="auto"/>
        </w:rPr>
      </w:pPr>
    </w:p>
    <w:p>
      <w:pPr>
        <w:ind w:left="1220" w:hanging="519"/>
        <w:spacing w:after="0"/>
        <w:tabs>
          <w:tab w:leader="none" w:pos="12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19" w:lineRule="exact"/>
        <w:rPr>
          <w:rFonts w:ascii="Arial" w:cs="Arial" w:eastAsia="Arial" w:hAnsi="Arial"/>
          <w:sz w:val="18"/>
          <w:szCs w:val="18"/>
          <w:color w:val="auto"/>
        </w:rPr>
      </w:pPr>
    </w:p>
    <w:p>
      <w:pPr>
        <w:ind w:left="1800" w:hanging="545"/>
        <w:spacing w:after="0"/>
        <w:tabs>
          <w:tab w:leader="none" w:pos="180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242" w:lineRule="exact"/>
        <w:rPr>
          <w:rFonts w:ascii="Arial" w:cs="Arial" w:eastAsia="Arial" w:hAnsi="Arial"/>
          <w:sz w:val="16"/>
          <w:szCs w:val="16"/>
          <w:color w:val="auto"/>
        </w:rPr>
      </w:pPr>
    </w:p>
    <w:p>
      <w:pPr>
        <w:ind w:left="1820" w:hanging="565"/>
        <w:spacing w:after="0"/>
        <w:tabs>
          <w:tab w:leader="none" w:pos="18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19" w:lineRule="exact"/>
        <w:rPr>
          <w:rFonts w:ascii="Arial" w:cs="Arial" w:eastAsia="Arial" w:hAnsi="Arial"/>
          <w:sz w:val="18"/>
          <w:szCs w:val="18"/>
          <w:color w:val="auto"/>
        </w:rPr>
      </w:pPr>
    </w:p>
    <w:p>
      <w:pPr>
        <w:ind w:left="2360" w:right="240" w:hanging="551"/>
        <w:spacing w:after="0" w:line="267" w:lineRule="auto"/>
        <w:tabs>
          <w:tab w:leader="none" w:pos="236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 or any group of Lenders are duly given in accordance with the terms of the Finance Documents; and</w:t>
      </w:r>
    </w:p>
    <w:p>
      <w:pPr>
        <w:spacing w:after="0" w:line="178" w:lineRule="exact"/>
        <w:rPr>
          <w:rFonts w:ascii="Arial" w:cs="Arial" w:eastAsia="Arial" w:hAnsi="Arial"/>
          <w:sz w:val="18"/>
          <w:szCs w:val="18"/>
          <w:color w:val="auto"/>
        </w:rPr>
      </w:pPr>
    </w:p>
    <w:p>
      <w:pPr>
        <w:ind w:left="2360" w:hanging="551"/>
        <w:spacing w:after="0"/>
        <w:tabs>
          <w:tab w:leader="none" w:pos="236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unless it has received notice of revocation, those instructions have not been revoked; and</w:t>
      </w:r>
    </w:p>
    <w:p>
      <w:pPr>
        <w:spacing w:after="0" w:line="219" w:lineRule="exact"/>
        <w:rPr>
          <w:rFonts w:ascii="Arial" w:cs="Arial" w:eastAsia="Arial" w:hAnsi="Arial"/>
          <w:sz w:val="18"/>
          <w:szCs w:val="18"/>
          <w:color w:val="auto"/>
        </w:rPr>
      </w:pPr>
    </w:p>
    <w:p>
      <w:pPr>
        <w:ind w:left="1820" w:hanging="565"/>
        <w:spacing w:after="0"/>
        <w:tabs>
          <w:tab w:leader="none" w:pos="18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19" w:lineRule="exact"/>
        <w:rPr>
          <w:rFonts w:ascii="Arial" w:cs="Arial" w:eastAsia="Arial" w:hAnsi="Arial"/>
          <w:sz w:val="18"/>
          <w:szCs w:val="18"/>
          <w:color w:val="auto"/>
        </w:rPr>
      </w:pPr>
    </w:p>
    <w:p>
      <w:pPr>
        <w:ind w:left="2360" w:hanging="551"/>
        <w:spacing w:after="0"/>
        <w:tabs>
          <w:tab w:leader="none" w:pos="2360" w:val="left"/>
        </w:tabs>
        <w:numPr>
          <w:ilvl w:val="2"/>
          <w:numId w:val="356"/>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42" w:lineRule="exact"/>
        <w:rPr>
          <w:rFonts w:ascii="Arial" w:cs="Arial" w:eastAsia="Arial" w:hAnsi="Arial"/>
          <w:sz w:val="16"/>
          <w:szCs w:val="16"/>
          <w:color w:val="auto"/>
        </w:rPr>
      </w:pPr>
    </w:p>
    <w:p>
      <w:pPr>
        <w:ind w:left="2360" w:hanging="551"/>
        <w:spacing w:after="0"/>
        <w:tabs>
          <w:tab w:leader="none" w:pos="236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19" w:lineRule="exact"/>
        <w:rPr>
          <w:sz w:val="20"/>
          <w:szCs w:val="20"/>
          <w:color w:val="auto"/>
        </w:rPr>
      </w:pPr>
    </w:p>
    <w:p>
      <w:pPr>
        <w:ind w:left="1800" w:right="760"/>
        <w:spacing w:after="0" w:line="26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79" w:lineRule="exact"/>
        <w:rPr>
          <w:sz w:val="20"/>
          <w:szCs w:val="20"/>
          <w:color w:val="auto"/>
        </w:rPr>
      </w:pPr>
    </w:p>
    <w:p>
      <w:pPr>
        <w:ind w:left="1220" w:hanging="519"/>
        <w:spacing w:after="0"/>
        <w:tabs>
          <w:tab w:leader="none" w:pos="12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219" w:lineRule="exact"/>
        <w:rPr>
          <w:rFonts w:ascii="Arial" w:cs="Arial" w:eastAsia="Arial" w:hAnsi="Arial"/>
          <w:sz w:val="18"/>
          <w:szCs w:val="18"/>
          <w:color w:val="auto"/>
        </w:rPr>
      </w:pPr>
    </w:p>
    <w:p>
      <w:pPr>
        <w:ind w:left="1800" w:hanging="545"/>
        <w:spacing w:after="0"/>
        <w:tabs>
          <w:tab w:leader="none" w:pos="18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21.1 (Non-payment)); and</w:t>
      </w:r>
    </w:p>
    <w:p>
      <w:pPr>
        <w:spacing w:after="0" w:line="219" w:lineRule="exact"/>
        <w:rPr>
          <w:rFonts w:ascii="Arial" w:cs="Arial" w:eastAsia="Arial" w:hAnsi="Arial"/>
          <w:sz w:val="18"/>
          <w:szCs w:val="18"/>
          <w:color w:val="auto"/>
        </w:rPr>
      </w:pPr>
    </w:p>
    <w:p>
      <w:pPr>
        <w:ind w:left="1820" w:hanging="565"/>
        <w:spacing w:after="0"/>
        <w:tabs>
          <w:tab w:leader="none" w:pos="18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w:t>
      </w:r>
    </w:p>
    <w:p>
      <w:pPr>
        <w:spacing w:after="0" w:line="219" w:lineRule="exact"/>
        <w:rPr>
          <w:rFonts w:ascii="Arial" w:cs="Arial" w:eastAsia="Arial" w:hAnsi="Arial"/>
          <w:sz w:val="18"/>
          <w:szCs w:val="18"/>
          <w:color w:val="auto"/>
        </w:rPr>
      </w:pPr>
    </w:p>
    <w:p>
      <w:pPr>
        <w:ind w:left="1260" w:hanging="559"/>
        <w:spacing w:after="0" w:line="267" w:lineRule="auto"/>
        <w:tabs>
          <w:tab w:leader="none" w:pos="123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178" w:lineRule="exact"/>
        <w:rPr>
          <w:rFonts w:ascii="Arial" w:cs="Arial" w:eastAsia="Arial" w:hAnsi="Arial"/>
          <w:sz w:val="18"/>
          <w:szCs w:val="18"/>
          <w:color w:val="auto"/>
        </w:rPr>
      </w:pPr>
    </w:p>
    <w:p>
      <w:pPr>
        <w:ind w:left="1260" w:right="160" w:hanging="559"/>
        <w:spacing w:after="0" w:line="257" w:lineRule="auto"/>
        <w:tabs>
          <w:tab w:leader="none" w:pos="123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7" w:lineRule="exact"/>
        <w:rPr>
          <w:rFonts w:ascii="Arial" w:cs="Arial" w:eastAsia="Arial" w:hAnsi="Arial"/>
          <w:sz w:val="18"/>
          <w:szCs w:val="18"/>
          <w:color w:val="auto"/>
        </w:rPr>
      </w:pPr>
    </w:p>
    <w:p>
      <w:pPr>
        <w:ind w:left="1260" w:right="40" w:hanging="559"/>
        <w:spacing w:after="0" w:line="257" w:lineRule="auto"/>
        <w:tabs>
          <w:tab w:leader="none" w:pos="123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87" w:lineRule="exact"/>
        <w:rPr>
          <w:rFonts w:ascii="Arial" w:cs="Arial" w:eastAsia="Arial" w:hAnsi="Arial"/>
          <w:sz w:val="18"/>
          <w:szCs w:val="18"/>
          <w:color w:val="auto"/>
        </w:rPr>
      </w:pPr>
    </w:p>
    <w:p>
      <w:pPr>
        <w:ind w:left="1220" w:hanging="519"/>
        <w:spacing w:after="0"/>
        <w:tabs>
          <w:tab w:leader="none" w:pos="12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219" w:lineRule="exact"/>
        <w:rPr>
          <w:rFonts w:ascii="Arial" w:cs="Arial" w:eastAsia="Arial" w:hAnsi="Arial"/>
          <w:sz w:val="18"/>
          <w:szCs w:val="18"/>
          <w:color w:val="auto"/>
        </w:rPr>
      </w:pPr>
    </w:p>
    <w:p>
      <w:pPr>
        <w:ind w:left="1260" w:right="160" w:hanging="559"/>
        <w:spacing w:after="0" w:line="267" w:lineRule="auto"/>
        <w:tabs>
          <w:tab w:leader="none" w:pos="124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78" w:lineRule="exact"/>
        <w:rPr>
          <w:rFonts w:ascii="Arial" w:cs="Arial" w:eastAsia="Arial" w:hAnsi="Arial"/>
          <w:sz w:val="18"/>
          <w:szCs w:val="18"/>
          <w:color w:val="auto"/>
        </w:rPr>
      </w:pPr>
    </w:p>
    <w:p>
      <w:pPr>
        <w:ind w:left="1240" w:right="60" w:hanging="543"/>
        <w:spacing w:after="0" w:line="267" w:lineRule="auto"/>
        <w:tabs>
          <w:tab w:leader="none" w:pos="121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no Administrative Party is obliged to do or omit to do anything if it would or might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39" w:name="page240"/>
    <w:bookmarkEnd w:id="239"/>
    <w:p>
      <w:pPr>
        <w:ind w:left="1240"/>
        <w:spacing w:after="0"/>
        <w:rPr>
          <w:sz w:val="20"/>
          <w:szCs w:val="20"/>
          <w:color w:val="auto"/>
        </w:rPr>
      </w:pPr>
      <w:r>
        <w:rPr>
          <w:rFonts w:ascii="Arial" w:cs="Arial" w:eastAsia="Arial" w:hAnsi="Arial"/>
          <w:sz w:val="18"/>
          <w:szCs w:val="18"/>
          <w:color w:val="auto"/>
        </w:rPr>
        <w:t>its reasonable opinion constitute a breach of any law or regulation or a breach of a fiduciary duty or duty of confidentiality.</w:t>
      </w:r>
    </w:p>
    <w:p>
      <w:pPr>
        <w:spacing w:after="0" w:line="219" w:lineRule="exact"/>
        <w:rPr>
          <w:sz w:val="20"/>
          <w:szCs w:val="20"/>
          <w:color w:val="auto"/>
        </w:rPr>
      </w:pPr>
    </w:p>
    <w:p>
      <w:pPr>
        <w:ind w:left="1260" w:hanging="559"/>
        <w:spacing w:after="0" w:line="253" w:lineRule="auto"/>
        <w:tabs>
          <w:tab w:leader="none" w:pos="124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4"/>
          <w:szCs w:val="14"/>
          <w:b w:val="1"/>
          <w:bCs w:val="1"/>
          <w:color w:val="auto"/>
        </w:rPr>
        <w:t>Responsibility for documentation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Administrative Party is responsible or liable for:</w:t>
      </w:r>
    </w:p>
    <w:p>
      <w:pPr>
        <w:spacing w:after="0" w:line="219" w:lineRule="exact"/>
        <w:rPr>
          <w:sz w:val="20"/>
          <w:szCs w:val="20"/>
          <w:color w:val="auto"/>
        </w:rPr>
      </w:pPr>
    </w:p>
    <w:p>
      <w:pPr>
        <w:ind w:left="1260" w:right="100" w:hanging="559"/>
        <w:spacing w:after="0" w:line="253" w:lineRule="auto"/>
        <w:tabs>
          <w:tab w:leader="none" w:pos="122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(whether oral or written) supplied by any Administrative Party, the Borrower or any other person given in or in connection with any Finance Document, the Information Memorandum or the transactions contemplated in the Finance Documents or any other agreement, arrangement or document entered into, made or executed in anticipation of, under or in connection with any Finance Document;</w:t>
      </w:r>
    </w:p>
    <w:p>
      <w:pPr>
        <w:spacing w:after="0" w:line="192" w:lineRule="exact"/>
        <w:rPr>
          <w:rFonts w:ascii="Arial" w:cs="Arial" w:eastAsia="Arial" w:hAnsi="Arial"/>
          <w:sz w:val="18"/>
          <w:szCs w:val="18"/>
          <w:color w:val="auto"/>
        </w:rPr>
      </w:pPr>
    </w:p>
    <w:p>
      <w:pPr>
        <w:ind w:left="1260" w:right="280" w:hanging="559"/>
        <w:spacing w:after="0" w:line="296" w:lineRule="auto"/>
        <w:tabs>
          <w:tab w:leader="none" w:pos="1233"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57" w:lineRule="exact"/>
        <w:rPr>
          <w:rFonts w:ascii="Arial" w:cs="Arial" w:eastAsia="Arial" w:hAnsi="Arial"/>
          <w:sz w:val="17"/>
          <w:szCs w:val="17"/>
          <w:color w:val="auto"/>
        </w:rPr>
      </w:pPr>
    </w:p>
    <w:p>
      <w:pPr>
        <w:ind w:left="1260" w:right="180" w:hanging="559"/>
        <w:spacing w:after="0" w:line="267" w:lineRule="auto"/>
        <w:tabs>
          <w:tab w:leader="none" w:pos="123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b w:val="1"/>
          <w:bCs w:val="1"/>
          <w:color w:val="auto"/>
        </w:rPr>
        <w:t>No duty to monitor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Agent shall not be bound to enquire:</w:t>
      </w:r>
    </w:p>
    <w:p>
      <w:pPr>
        <w:spacing w:after="0" w:line="219" w:lineRule="exact"/>
        <w:rPr>
          <w:sz w:val="20"/>
          <w:szCs w:val="20"/>
          <w:color w:val="auto"/>
        </w:rPr>
      </w:pPr>
    </w:p>
    <w:p>
      <w:pPr>
        <w:ind w:left="1220" w:hanging="519"/>
        <w:spacing w:after="0"/>
        <w:tabs>
          <w:tab w:leader="none" w:pos="12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19" w:lineRule="exact"/>
        <w:rPr>
          <w:rFonts w:ascii="Arial" w:cs="Arial" w:eastAsia="Arial" w:hAnsi="Arial"/>
          <w:sz w:val="18"/>
          <w:szCs w:val="18"/>
          <w:color w:val="auto"/>
        </w:rPr>
      </w:pPr>
    </w:p>
    <w:p>
      <w:pPr>
        <w:ind w:left="1220" w:hanging="519"/>
        <w:spacing w:after="0"/>
        <w:tabs>
          <w:tab w:leader="none" w:pos="12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19" w:lineRule="exact"/>
        <w:rPr>
          <w:rFonts w:ascii="Arial" w:cs="Arial" w:eastAsia="Arial" w:hAnsi="Arial"/>
          <w:sz w:val="18"/>
          <w:szCs w:val="18"/>
          <w:color w:val="auto"/>
        </w:rPr>
      </w:pPr>
    </w:p>
    <w:p>
      <w:pPr>
        <w:ind w:left="1240" w:hanging="539"/>
        <w:spacing w:after="0"/>
        <w:tabs>
          <w:tab w:leader="none" w:pos="12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6"/>
          <w:szCs w:val="16"/>
          <w:b w:val="1"/>
          <w:bCs w:val="1"/>
          <w:color w:val="auto"/>
        </w:rPr>
        <w:t>Exclusion of liability</w:t>
      </w:r>
    </w:p>
    <w:p>
      <w:pPr>
        <w:spacing w:after="0" w:line="225" w:lineRule="exact"/>
        <w:rPr>
          <w:sz w:val="20"/>
          <w:szCs w:val="20"/>
          <w:color w:val="auto"/>
        </w:rPr>
      </w:pPr>
    </w:p>
    <w:p>
      <w:pPr>
        <w:ind w:left="1260" w:right="40" w:hanging="559"/>
        <w:spacing w:after="0" w:line="257" w:lineRule="auto"/>
        <w:tabs>
          <w:tab w:leader="none" w:pos="122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187" w:lineRule="exact"/>
        <w:rPr>
          <w:rFonts w:ascii="Arial" w:cs="Arial" w:eastAsia="Arial" w:hAnsi="Arial"/>
          <w:sz w:val="18"/>
          <w:szCs w:val="18"/>
          <w:color w:val="auto"/>
        </w:rPr>
      </w:pPr>
    </w:p>
    <w:p>
      <w:pPr>
        <w:ind w:left="1800" w:right="360" w:hanging="545"/>
        <w:spacing w:after="0" w:line="257" w:lineRule="auto"/>
        <w:tabs>
          <w:tab w:leader="none" w:pos="180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87" w:lineRule="exact"/>
        <w:rPr>
          <w:rFonts w:ascii="Arial" w:cs="Arial" w:eastAsia="Arial" w:hAnsi="Arial"/>
          <w:sz w:val="18"/>
          <w:szCs w:val="18"/>
          <w:color w:val="auto"/>
        </w:rPr>
      </w:pPr>
    </w:p>
    <w:p>
      <w:pPr>
        <w:ind w:left="1800" w:right="120" w:hanging="545"/>
        <w:spacing w:after="0" w:line="257" w:lineRule="auto"/>
        <w:tabs>
          <w:tab w:leader="none" w:pos="180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40" w:name="page241"/>
    <w:bookmarkEnd w:id="240"/>
    <w:p>
      <w:pPr>
        <w:jc w:val="both"/>
        <w:ind w:left="1099" w:hanging="545"/>
        <w:spacing w:after="0" w:line="257" w:lineRule="auto"/>
        <w:tabs>
          <w:tab w:leader="none" w:pos="11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for negligence or any other category of liability whatsoever but not including any claim based on the fraud of the Agent) arising as a result of:</w:t>
      </w:r>
    </w:p>
    <w:p>
      <w:pPr>
        <w:spacing w:after="0" w:line="187" w:lineRule="exact"/>
        <w:rPr>
          <w:rFonts w:ascii="Arial" w:cs="Arial" w:eastAsia="Arial" w:hAnsi="Arial"/>
          <w:sz w:val="18"/>
          <w:szCs w:val="18"/>
          <w:color w:val="auto"/>
        </w:rPr>
      </w:pPr>
    </w:p>
    <w:p>
      <w:pPr>
        <w:ind w:left="1679" w:hanging="571"/>
        <w:spacing w:after="0"/>
        <w:tabs>
          <w:tab w:leader="none" w:pos="1679"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19" w:lineRule="exact"/>
        <w:rPr>
          <w:rFonts w:ascii="Arial" w:cs="Arial" w:eastAsia="Arial" w:hAnsi="Arial"/>
          <w:sz w:val="18"/>
          <w:szCs w:val="18"/>
          <w:color w:val="auto"/>
        </w:rPr>
      </w:pPr>
    </w:p>
    <w:p>
      <w:pPr>
        <w:ind w:left="1679" w:hanging="571"/>
        <w:spacing w:after="0"/>
        <w:tabs>
          <w:tab w:leader="none" w:pos="1679"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19" w:lineRule="exact"/>
        <w:rPr>
          <w:sz w:val="20"/>
          <w:szCs w:val="20"/>
          <w:color w:val="auto"/>
        </w:rPr>
      </w:pPr>
    </w:p>
    <w:p>
      <w:pPr>
        <w:ind w:left="1099"/>
        <w:spacing w:after="0" w:line="252" w:lineRule="auto"/>
        <w:rPr>
          <w:sz w:val="20"/>
          <w:szCs w:val="20"/>
          <w:color w:val="auto"/>
        </w:rPr>
      </w:pPr>
      <w:r>
        <w:rPr>
          <w:rFonts w:ascii="Arial" w:cs="Arial" w:eastAsia="Arial" w:hAnsi="Arial"/>
          <w:sz w:val="18"/>
          <w:szCs w:val="18"/>
          <w:color w:val="auto"/>
        </w:rPr>
        <w:t>including (in each case)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92" w:lineRule="exact"/>
        <w:rPr>
          <w:sz w:val="20"/>
          <w:szCs w:val="20"/>
          <w:color w:val="auto"/>
        </w:rPr>
      </w:pPr>
    </w:p>
    <w:p>
      <w:pPr>
        <w:jc w:val="both"/>
        <w:ind w:left="559" w:right="60" w:hanging="559"/>
        <w:spacing w:after="0" w:line="253" w:lineRule="auto"/>
        <w:tabs>
          <w:tab w:leader="none" w:pos="53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23 subject to Clause 1.4 (Third party rights) and the provisions of the Third Parties Ordinance.</w:t>
      </w:r>
    </w:p>
    <w:p>
      <w:pPr>
        <w:spacing w:after="0" w:line="192" w:lineRule="exact"/>
        <w:rPr>
          <w:rFonts w:ascii="Arial" w:cs="Arial" w:eastAsia="Arial" w:hAnsi="Arial"/>
          <w:sz w:val="18"/>
          <w:szCs w:val="18"/>
          <w:color w:val="auto"/>
        </w:rPr>
      </w:pPr>
    </w:p>
    <w:p>
      <w:pPr>
        <w:ind w:left="559" w:right="80" w:hanging="559"/>
        <w:spacing w:after="0" w:line="279" w:lineRule="auto"/>
        <w:tabs>
          <w:tab w:leader="none" w:pos="535"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70" w:lineRule="exact"/>
        <w:rPr>
          <w:rFonts w:ascii="Arial" w:cs="Arial" w:eastAsia="Arial" w:hAnsi="Arial"/>
          <w:sz w:val="17"/>
          <w:szCs w:val="17"/>
          <w:color w:val="auto"/>
        </w:rPr>
      </w:pPr>
    </w:p>
    <w:p>
      <w:pPr>
        <w:ind w:left="519" w:hanging="519"/>
        <w:spacing w:after="0"/>
        <w:tabs>
          <w:tab w:leader="none" w:pos="51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Nothing in this agreement shall oblige any Administrative Party to conduct:</w:t>
      </w:r>
    </w:p>
    <w:p>
      <w:pPr>
        <w:spacing w:after="0" w:line="219" w:lineRule="exact"/>
        <w:rPr>
          <w:rFonts w:ascii="Arial" w:cs="Arial" w:eastAsia="Arial" w:hAnsi="Arial"/>
          <w:sz w:val="18"/>
          <w:szCs w:val="18"/>
          <w:color w:val="auto"/>
        </w:rPr>
      </w:pPr>
    </w:p>
    <w:p>
      <w:pPr>
        <w:ind w:left="1099" w:hanging="545"/>
        <w:spacing w:after="0"/>
        <w:tabs>
          <w:tab w:leader="none" w:pos="1099"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“know your customer” or other procedures in relation to any person; or</w:t>
      </w:r>
    </w:p>
    <w:p>
      <w:pPr>
        <w:spacing w:after="0" w:line="219" w:lineRule="exact"/>
        <w:rPr>
          <w:rFonts w:ascii="Arial" w:cs="Arial" w:eastAsia="Arial" w:hAnsi="Arial"/>
          <w:sz w:val="18"/>
          <w:szCs w:val="18"/>
          <w:color w:val="auto"/>
        </w:rPr>
      </w:pPr>
    </w:p>
    <w:p>
      <w:pPr>
        <w:ind w:left="1119" w:hanging="565"/>
        <w:spacing w:after="0"/>
        <w:tabs>
          <w:tab w:leader="none" w:pos="1119"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19" w:lineRule="exact"/>
        <w:rPr>
          <w:sz w:val="20"/>
          <w:szCs w:val="20"/>
          <w:color w:val="auto"/>
        </w:rPr>
      </w:pPr>
    </w:p>
    <w:p>
      <w:pPr>
        <w:ind w:left="559" w:right="20"/>
        <w:spacing w:after="0" w:line="330" w:lineRule="auto"/>
        <w:rPr>
          <w:sz w:val="20"/>
          <w:szCs w:val="20"/>
          <w:color w:val="auto"/>
        </w:rPr>
      </w:pPr>
      <w:r>
        <w:rPr>
          <w:rFonts w:ascii="Arial" w:cs="Arial" w:eastAsia="Arial" w:hAnsi="Arial"/>
          <w:sz w:val="16"/>
          <w:szCs w:val="16"/>
          <w:color w:val="auto"/>
        </w:rPr>
        <w:t>on behalf of any Lender and each Lender confirms to each Administrative Party that it is solely responsible for any such procedures or check it is required to conduct and that it shall not rely on any statement in relation to such procedures or check made by any Administrative Party.</w:t>
      </w:r>
    </w:p>
    <w:p>
      <w:pPr>
        <w:spacing w:after="0" w:line="133" w:lineRule="exact"/>
        <w:rPr>
          <w:sz w:val="20"/>
          <w:szCs w:val="20"/>
          <w:color w:val="auto"/>
        </w:rPr>
      </w:pPr>
    </w:p>
    <w:p>
      <w:pPr>
        <w:ind w:left="559" w:right="40" w:hanging="559"/>
        <w:spacing w:after="0" w:line="268" w:lineRule="auto"/>
        <w:tabs>
          <w:tab w:leader="none" w:pos="535" w:val="left"/>
        </w:tabs>
        <w:numPr>
          <w:ilvl w:val="0"/>
          <w:numId w:val="364"/>
        </w:numPr>
        <w:rPr>
          <w:rFonts w:ascii="Arial" w:cs="Arial" w:eastAsia="Arial" w:hAnsi="Arial"/>
          <w:sz w:val="17"/>
          <w:szCs w:val="17"/>
          <w:color w:val="auto"/>
        </w:rPr>
      </w:pPr>
      <w:r>
        <w:rPr>
          <w:rFonts w:ascii="Arial" w:cs="Arial" w:eastAsia="Arial" w:hAnsi="Arial"/>
          <w:sz w:val="17"/>
          <w:szCs w:val="17"/>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2"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26948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19"/>
          </w:cols>
          <w:pgMar w:left="941" w:top="340" w:right="239" w:bottom="1440" w:gutter="0" w:footer="0" w:header="0"/>
        </w:sectPr>
      </w:pPr>
    </w:p>
    <w:bookmarkStart w:id="241" w:name="page242"/>
    <w:bookmarkEnd w:id="241"/>
    <w:p>
      <w:pPr>
        <w:spacing w:after="0"/>
        <w:tabs>
          <w:tab w:leader="none" w:pos="66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b w:val="1"/>
          <w:bCs w:val="1"/>
          <w:color w:val="auto"/>
        </w:rPr>
        <w:t>Lenders’ indemnity to the Agent</w:t>
      </w:r>
    </w:p>
    <w:p>
      <w:pPr>
        <w:spacing w:after="0" w:line="225" w:lineRule="exact"/>
        <w:rPr>
          <w:sz w:val="20"/>
          <w:szCs w:val="20"/>
          <w:color w:val="auto"/>
        </w:rPr>
      </w:pPr>
    </w:p>
    <w:p>
      <w:pPr>
        <w:ind w:left="700" w:right="20"/>
        <w:spacing w:after="0" w:line="250" w:lineRule="auto"/>
        <w:rPr>
          <w:sz w:val="20"/>
          <w:szCs w:val="20"/>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for negligence or any other category of liability whatsoever) incurred by the Agent (otherwise than by reason of the Agent’s gross negligence or wilful misconduct) (or, in the case of any cost, loss or liability pursuant to Clause 25.11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the Borrower pursuant to a Finance Document).</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4"/>
          <w:szCs w:val="14"/>
          <w:b w:val="1"/>
          <w:bCs w:val="1"/>
          <w:color w:val="auto"/>
        </w:rPr>
        <w:t>Resignation of the Agent</w:t>
      </w:r>
    </w:p>
    <w:p>
      <w:pPr>
        <w:spacing w:after="0" w:line="225" w:lineRule="exact"/>
        <w:rPr>
          <w:sz w:val="20"/>
          <w:szCs w:val="20"/>
          <w:color w:val="auto"/>
        </w:rPr>
      </w:pPr>
    </w:p>
    <w:p>
      <w:pPr>
        <w:ind w:left="1220" w:hanging="519"/>
        <w:spacing w:after="0"/>
        <w:tabs>
          <w:tab w:leader="none" w:pos="122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Agent may resign and appoint one of its Affiliates as successor by giving notice to the other Finance Parties and the Borrower.</w:t>
      </w:r>
    </w:p>
    <w:p>
      <w:pPr>
        <w:spacing w:after="0" w:line="230" w:lineRule="exact"/>
        <w:rPr>
          <w:rFonts w:ascii="Arial" w:cs="Arial" w:eastAsia="Arial" w:hAnsi="Arial"/>
          <w:sz w:val="17"/>
          <w:szCs w:val="17"/>
          <w:color w:val="auto"/>
        </w:rPr>
      </w:pPr>
    </w:p>
    <w:p>
      <w:pPr>
        <w:ind w:left="1260" w:right="500" w:hanging="559"/>
        <w:spacing w:after="0" w:line="267" w:lineRule="auto"/>
        <w:tabs>
          <w:tab w:leader="none" w:pos="123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other Finance Parties and the Borrower, in which case the Majority Lenders (after consultation with the Borrower) may appoint a successor Agent.</w:t>
      </w:r>
    </w:p>
    <w:p>
      <w:pPr>
        <w:spacing w:after="0" w:line="178" w:lineRule="exact"/>
        <w:rPr>
          <w:rFonts w:ascii="Arial" w:cs="Arial" w:eastAsia="Arial" w:hAnsi="Arial"/>
          <w:sz w:val="18"/>
          <w:szCs w:val="18"/>
          <w:color w:val="auto"/>
        </w:rPr>
      </w:pPr>
    </w:p>
    <w:p>
      <w:pPr>
        <w:ind w:left="1260" w:right="760" w:hanging="559"/>
        <w:spacing w:after="0" w:line="296" w:lineRule="auto"/>
        <w:tabs>
          <w:tab w:leader="none" w:pos="123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in accordance with paragraph (b) above within 30 days after notice of resignation was given, the retiring Agent (after consultation with the Borrower) may appoint a successor Agent.</w:t>
      </w:r>
    </w:p>
    <w:p>
      <w:pPr>
        <w:spacing w:after="0" w:line="157" w:lineRule="exact"/>
        <w:rPr>
          <w:rFonts w:ascii="Arial" w:cs="Arial" w:eastAsia="Arial" w:hAnsi="Arial"/>
          <w:sz w:val="17"/>
          <w:szCs w:val="17"/>
          <w:color w:val="auto"/>
        </w:rPr>
      </w:pPr>
    </w:p>
    <w:p>
      <w:pPr>
        <w:ind w:left="1260" w:hanging="559"/>
        <w:spacing w:after="0" w:line="295" w:lineRule="auto"/>
        <w:tabs>
          <w:tab w:leader="none" w:pos="123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160" w:lineRule="exact"/>
        <w:rPr>
          <w:rFonts w:ascii="Arial" w:cs="Arial" w:eastAsia="Arial" w:hAnsi="Arial"/>
          <w:sz w:val="16"/>
          <w:szCs w:val="16"/>
          <w:color w:val="auto"/>
        </w:rPr>
      </w:pPr>
    </w:p>
    <w:p>
      <w:pPr>
        <w:ind w:left="1240" w:hanging="539"/>
        <w:spacing w:after="0"/>
        <w:tabs>
          <w:tab w:leader="none" w:pos="12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19" w:lineRule="exact"/>
        <w:rPr>
          <w:rFonts w:ascii="Arial" w:cs="Arial" w:eastAsia="Arial" w:hAnsi="Arial"/>
          <w:sz w:val="18"/>
          <w:szCs w:val="18"/>
          <w:color w:val="auto"/>
        </w:rPr>
      </w:pPr>
    </w:p>
    <w:p>
      <w:pPr>
        <w:ind w:left="1260" w:right="40" w:hanging="559"/>
        <w:spacing w:after="0" w:line="252" w:lineRule="auto"/>
        <w:tabs>
          <w:tab w:leader="none" w:pos="123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(d) above) but shall remain entitled to the benefit of Clause 15.3 (Indemnity to the Agent) and this Clause 23 (and any agency fees for the account of the retiring Agent shall cease to accrue from (and shall be payable on) that date). Any successor and each of the other Parties shall have the same rights and obligations among themselves as they would have had if such successor had been an original Party.</w:t>
      </w:r>
    </w:p>
    <w:p>
      <w:pPr>
        <w:spacing w:after="0" w:line="192" w:lineRule="exact"/>
        <w:rPr>
          <w:rFonts w:ascii="Arial" w:cs="Arial" w:eastAsia="Arial" w:hAnsi="Arial"/>
          <w:sz w:val="18"/>
          <w:szCs w:val="18"/>
          <w:color w:val="auto"/>
        </w:rPr>
      </w:pPr>
    </w:p>
    <w:p>
      <w:pPr>
        <w:ind w:left="1240" w:hanging="539"/>
        <w:spacing w:after="0"/>
        <w:tabs>
          <w:tab w:leader="none" w:pos="124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After consultation with the Borrower, the Majority Lenders may, by notice to the Agent, require it to resign in accordance with paragraph</w:t>
      </w:r>
    </w:p>
    <w:p>
      <w:pPr>
        <w:spacing w:after="0" w:line="40"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(b) above. In this event, the Agent shall resign in accordance with paragraph (b) above.</w:t>
      </w:r>
    </w:p>
    <w:p>
      <w:pPr>
        <w:spacing w:after="0" w:line="208" w:lineRule="exact"/>
        <w:rPr>
          <w:rFonts w:ascii="Arial" w:cs="Arial" w:eastAsia="Arial" w:hAnsi="Arial"/>
          <w:sz w:val="16"/>
          <w:szCs w:val="16"/>
          <w:color w:val="auto"/>
        </w:rPr>
      </w:pPr>
    </w:p>
    <w:p>
      <w:pPr>
        <w:jc w:val="both"/>
        <w:ind w:left="1260" w:right="260" w:hanging="559"/>
        <w:spacing w:after="0" w:line="257" w:lineRule="auto"/>
        <w:tabs>
          <w:tab w:leader="none" w:pos="123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42" w:name="page243"/>
    <w:bookmarkEnd w:id="242"/>
    <w:p>
      <w:pPr>
        <w:ind w:left="1800" w:right="160" w:hanging="545"/>
        <w:spacing w:after="0" w:line="267" w:lineRule="auto"/>
        <w:tabs>
          <w:tab w:leader="none" w:pos="18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12.7 (FATCA information) and a Lender reasonably believes that the Agent will not be (or will have ceased to be) a FATCA Exempt Party on or after that FATCA Application Date;</w:t>
      </w:r>
    </w:p>
    <w:p>
      <w:pPr>
        <w:spacing w:after="0" w:line="178" w:lineRule="exact"/>
        <w:rPr>
          <w:rFonts w:ascii="Arial" w:cs="Arial" w:eastAsia="Arial" w:hAnsi="Arial"/>
          <w:sz w:val="18"/>
          <w:szCs w:val="18"/>
          <w:color w:val="auto"/>
        </w:rPr>
      </w:pPr>
    </w:p>
    <w:p>
      <w:pPr>
        <w:ind w:left="1800" w:right="60" w:hanging="545"/>
        <w:spacing w:after="0" w:line="267" w:lineRule="auto"/>
        <w:tabs>
          <w:tab w:leader="none" w:pos="180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12.7 (FATCA information) indicates that the Agent will not be (or will have ceased to be) a FATCA Exempt Party on or after that FATCA Application Date; or</w:t>
      </w:r>
    </w:p>
    <w:p>
      <w:pPr>
        <w:spacing w:after="0" w:line="178" w:lineRule="exact"/>
        <w:rPr>
          <w:rFonts w:ascii="Arial" w:cs="Arial" w:eastAsia="Arial" w:hAnsi="Arial"/>
          <w:sz w:val="18"/>
          <w:szCs w:val="18"/>
          <w:color w:val="auto"/>
        </w:rPr>
      </w:pPr>
    </w:p>
    <w:p>
      <w:pPr>
        <w:ind w:left="1800" w:right="200" w:hanging="545"/>
        <w:spacing w:after="0" w:line="267" w:lineRule="auto"/>
        <w:tabs>
          <w:tab w:leader="none" w:pos="181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79" w:lineRule="exact"/>
        <w:rPr>
          <w:sz w:val="20"/>
          <w:szCs w:val="20"/>
          <w:color w:val="auto"/>
        </w:rPr>
      </w:pPr>
    </w:p>
    <w:p>
      <w:pPr>
        <w:ind w:left="1260" w:right="280"/>
        <w:spacing w:after="0" w:line="267" w:lineRule="auto"/>
        <w:rPr>
          <w:sz w:val="20"/>
          <w:szCs w:val="20"/>
          <w:color w:val="auto"/>
        </w:rPr>
      </w:pPr>
      <w:r>
        <w:rPr>
          <w:rFonts w:ascii="Arial" w:cs="Arial" w:eastAsia="Arial" w:hAnsi="Arial"/>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6"/>
          <w:szCs w:val="16"/>
          <w:b w:val="1"/>
          <w:bCs w:val="1"/>
          <w:color w:val="auto"/>
        </w:rPr>
        <w:t>Confidentiality</w:t>
      </w:r>
    </w:p>
    <w:p>
      <w:pPr>
        <w:spacing w:after="0" w:line="225" w:lineRule="exact"/>
        <w:rPr>
          <w:sz w:val="20"/>
          <w:szCs w:val="20"/>
          <w:color w:val="auto"/>
        </w:rPr>
      </w:pPr>
    </w:p>
    <w:p>
      <w:pPr>
        <w:ind w:left="1260" w:hanging="559"/>
        <w:spacing w:after="0" w:line="267" w:lineRule="auto"/>
        <w:tabs>
          <w:tab w:leader="none" w:pos="126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78" w:lineRule="exact"/>
        <w:rPr>
          <w:rFonts w:ascii="Arial" w:cs="Arial" w:eastAsia="Arial" w:hAnsi="Arial"/>
          <w:sz w:val="18"/>
          <w:szCs w:val="18"/>
          <w:color w:val="auto"/>
        </w:rPr>
      </w:pPr>
    </w:p>
    <w:p>
      <w:pPr>
        <w:ind w:left="1260" w:right="120" w:hanging="559"/>
        <w:spacing w:after="0" w:line="267" w:lineRule="auto"/>
        <w:tabs>
          <w:tab w:leader="none" w:pos="127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8" w:lineRule="exact"/>
        <w:rPr>
          <w:rFonts w:ascii="Arial" w:cs="Arial" w:eastAsia="Arial" w:hAnsi="Arial"/>
          <w:sz w:val="18"/>
          <w:szCs w:val="18"/>
          <w:color w:val="auto"/>
        </w:rPr>
      </w:pPr>
    </w:p>
    <w:p>
      <w:pPr>
        <w:ind w:left="1260" w:right="300" w:hanging="559"/>
        <w:spacing w:after="0" w:line="257" w:lineRule="auto"/>
        <w:tabs>
          <w:tab w:leader="none" w:pos="127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Agent shall not be obliged to disclose to any Finance Party any information supplied to it by the Borrower or any Affiliates of the Borrower on a confidential basis and for the purpose of evaluating whether any waiver or amendment is or may be required or desirable in relation to any Finance Document.</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6"/>
          <w:szCs w:val="16"/>
          <w:b w:val="1"/>
          <w:bCs w:val="1"/>
          <w:color w:val="auto"/>
        </w:rPr>
        <w:t>Relationship with the Lenders</w:t>
      </w:r>
    </w:p>
    <w:p>
      <w:pPr>
        <w:spacing w:after="0" w:line="225" w:lineRule="exact"/>
        <w:rPr>
          <w:sz w:val="20"/>
          <w:szCs w:val="20"/>
          <w:color w:val="auto"/>
        </w:rPr>
      </w:pPr>
    </w:p>
    <w:p>
      <w:pPr>
        <w:ind w:left="1260" w:right="480" w:hanging="559"/>
        <w:spacing w:after="0" w:line="267" w:lineRule="auto"/>
        <w:tabs>
          <w:tab w:leader="none" w:pos="126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178" w:lineRule="exact"/>
        <w:rPr>
          <w:rFonts w:ascii="Arial" w:cs="Arial" w:eastAsia="Arial" w:hAnsi="Arial"/>
          <w:sz w:val="18"/>
          <w:szCs w:val="18"/>
          <w:color w:val="auto"/>
        </w:rPr>
      </w:pPr>
    </w:p>
    <w:p>
      <w:pPr>
        <w:ind w:left="1800" w:hanging="545"/>
        <w:spacing w:after="0"/>
        <w:tabs>
          <w:tab w:leader="none" w:pos="180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19" w:lineRule="exact"/>
        <w:rPr>
          <w:rFonts w:ascii="Arial" w:cs="Arial" w:eastAsia="Arial" w:hAnsi="Arial"/>
          <w:sz w:val="18"/>
          <w:szCs w:val="18"/>
          <w:color w:val="auto"/>
        </w:rPr>
      </w:pPr>
    </w:p>
    <w:p>
      <w:pPr>
        <w:ind w:left="1800" w:right="300" w:hanging="545"/>
        <w:spacing w:after="0" w:line="267" w:lineRule="auto"/>
        <w:tabs>
          <w:tab w:leader="none" w:pos="1809"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79" w:lineRule="exact"/>
        <w:rPr>
          <w:sz w:val="20"/>
          <w:szCs w:val="20"/>
          <w:color w:val="auto"/>
        </w:rPr>
      </w:pPr>
    </w:p>
    <w:p>
      <w:pPr>
        <w:ind w:left="1260" w:right="440"/>
        <w:spacing w:after="0" w:line="26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79" w:lineRule="exact"/>
        <w:rPr>
          <w:sz w:val="20"/>
          <w:szCs w:val="20"/>
          <w:color w:val="auto"/>
        </w:rPr>
      </w:pPr>
    </w:p>
    <w:p>
      <w:pPr>
        <w:ind w:left="1260" w:hanging="559"/>
        <w:spacing w:after="0" w:line="288" w:lineRule="auto"/>
        <w:tabs>
          <w:tab w:leader="none" w:pos="1273"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Lender may by notice to the Agent appoint a person to receive on its behalf all notices, communications, information and documents to be made or despatched to that Lender under the Finance Documents. Such notice shall contain the address, fax number and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27.2 (Addresses) and paragraph (a) (ii) of Clause 27.5 (Electronic communication) and the Agent shall be entitled to treat such person as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243" w:name="page244"/>
    <w:bookmarkEnd w:id="243"/>
    <w:p>
      <w:pPr>
        <w:ind w:left="1240"/>
        <w:spacing w:after="0"/>
        <w:rPr>
          <w:sz w:val="20"/>
          <w:szCs w:val="20"/>
          <w:color w:val="auto"/>
        </w:rPr>
      </w:pPr>
      <w:r>
        <w:rPr>
          <w:rFonts w:ascii="Arial" w:cs="Arial" w:eastAsia="Arial" w:hAnsi="Arial"/>
          <w:sz w:val="17"/>
          <w:szCs w:val="17"/>
          <w:color w:val="auto"/>
        </w:rPr>
        <w:t>the person entitled to receive all such notices, communications, information and documents as though that person were that Lender.</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6"/>
          <w:szCs w:val="16"/>
          <w:b w:val="1"/>
          <w:bCs w:val="1"/>
          <w:color w:val="auto"/>
        </w:rPr>
        <w:t>Credit appraisal by the Lenders</w:t>
      </w:r>
    </w:p>
    <w:p>
      <w:pPr>
        <w:spacing w:after="0" w:line="225" w:lineRule="exact"/>
        <w:rPr>
          <w:sz w:val="20"/>
          <w:szCs w:val="20"/>
          <w:color w:val="auto"/>
        </w:rPr>
      </w:pPr>
    </w:p>
    <w:p>
      <w:pPr>
        <w:jc w:val="both"/>
        <w:ind w:left="700" w:right="280"/>
        <w:spacing w:after="0" w:line="279" w:lineRule="auto"/>
        <w:rPr>
          <w:sz w:val="20"/>
          <w:szCs w:val="20"/>
          <w:color w:val="auto"/>
        </w:rPr>
      </w:pPr>
      <w:r>
        <w:rPr>
          <w:rFonts w:ascii="Arial" w:cs="Arial" w:eastAsia="Arial" w:hAnsi="Arial"/>
          <w:sz w:val="17"/>
          <w:szCs w:val="17"/>
          <w:color w:val="auto"/>
        </w:rPr>
        <w:t>Without affecting the responsibility of the Borrower for information supplied by it or on its behalf in connection with any Finance Document, each Lender confirms to each Administrative Party that it has been, and will continue to be, solely responsible for making its own independent appraisal and investigation of all risks arising under or in connection with any Finance Document including but not limited to:</w:t>
      </w:r>
    </w:p>
    <w:p>
      <w:pPr>
        <w:spacing w:after="0" w:line="171" w:lineRule="exact"/>
        <w:rPr>
          <w:sz w:val="20"/>
          <w:szCs w:val="20"/>
          <w:color w:val="auto"/>
        </w:rPr>
      </w:pPr>
    </w:p>
    <w:p>
      <w:pPr>
        <w:ind w:left="1260" w:hanging="559"/>
        <w:spacing w:after="0"/>
        <w:tabs>
          <w:tab w:leader="none" w:pos="12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financial condition, status and nature of the Borrower, each other member of the Group and their respective Affiliates;</w:t>
      </w:r>
    </w:p>
    <w:p>
      <w:pPr>
        <w:spacing w:after="0" w:line="219" w:lineRule="exact"/>
        <w:rPr>
          <w:rFonts w:ascii="Arial" w:cs="Arial" w:eastAsia="Arial" w:hAnsi="Arial"/>
          <w:sz w:val="18"/>
          <w:szCs w:val="18"/>
          <w:color w:val="auto"/>
        </w:rPr>
      </w:pPr>
    </w:p>
    <w:p>
      <w:pPr>
        <w:ind w:left="1260" w:right="160" w:hanging="559"/>
        <w:spacing w:after="0" w:line="296" w:lineRule="auto"/>
        <w:tabs>
          <w:tab w:leader="none" w:pos="127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57" w:lineRule="exact"/>
        <w:rPr>
          <w:rFonts w:ascii="Arial" w:cs="Arial" w:eastAsia="Arial" w:hAnsi="Arial"/>
          <w:sz w:val="17"/>
          <w:szCs w:val="17"/>
          <w:color w:val="auto"/>
        </w:rPr>
      </w:pPr>
    </w:p>
    <w:p>
      <w:pPr>
        <w:ind w:left="1260" w:right="340" w:hanging="559"/>
        <w:spacing w:after="0" w:line="304" w:lineRule="auto"/>
        <w:tabs>
          <w:tab w:leader="none" w:pos="123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53" w:lineRule="exact"/>
        <w:rPr>
          <w:rFonts w:ascii="Arial" w:cs="Arial" w:eastAsia="Arial" w:hAnsi="Arial"/>
          <w:sz w:val="16"/>
          <w:szCs w:val="16"/>
          <w:color w:val="auto"/>
        </w:rPr>
      </w:pPr>
    </w:p>
    <w:p>
      <w:pPr>
        <w:ind w:left="1260" w:right="40" w:hanging="559"/>
        <w:spacing w:after="0" w:line="304" w:lineRule="auto"/>
        <w:tabs>
          <w:tab w:leader="none" w:pos="1233"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adequacy, accuracy and/or completeness of the Information Memorandum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23.16</w:t>
      </w:r>
      <w:r>
        <w:rPr>
          <w:sz w:val="20"/>
          <w:szCs w:val="20"/>
          <w:color w:val="auto"/>
        </w:rPr>
        <w:tab/>
      </w:r>
      <w:r>
        <w:rPr>
          <w:rFonts w:ascii="Arial" w:cs="Arial" w:eastAsia="Arial" w:hAnsi="Arial"/>
          <w:sz w:val="14"/>
          <w:szCs w:val="14"/>
          <w:b w:val="1"/>
          <w:bCs w:val="1"/>
          <w:color w:val="auto"/>
        </w:rPr>
        <w:t>Deduction from amounts payable by the Agent</w:t>
      </w:r>
    </w:p>
    <w:p>
      <w:pPr>
        <w:spacing w:after="0" w:line="225" w:lineRule="exact"/>
        <w:rPr>
          <w:sz w:val="20"/>
          <w:szCs w:val="20"/>
          <w:color w:val="auto"/>
        </w:rPr>
      </w:pPr>
    </w:p>
    <w:p>
      <w:pPr>
        <w:ind w:left="700" w:right="20"/>
        <w:spacing w:after="0" w:line="253"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7" w:lineRule="exact"/>
        <w:rPr>
          <w:sz w:val="20"/>
          <w:szCs w:val="20"/>
          <w:color w:val="auto"/>
        </w:rPr>
      </w:pPr>
    </w:p>
    <w:p>
      <w:pPr>
        <w:ind w:left="700" w:hanging="693"/>
        <w:spacing w:after="0"/>
        <w:tabs>
          <w:tab w:leader="none" w:pos="700"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SHARING AMONG THE FINANCE PARTIES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4"/>
          <w:szCs w:val="14"/>
          <w:b w:val="1"/>
          <w:bCs w:val="1"/>
          <w:color w:val="auto"/>
        </w:rPr>
        <w:t>Payments to Finance Parties</w:t>
      </w:r>
    </w:p>
    <w:p>
      <w:pPr>
        <w:spacing w:after="0" w:line="219" w:lineRule="exact"/>
        <w:rPr>
          <w:sz w:val="20"/>
          <w:szCs w:val="20"/>
          <w:color w:val="auto"/>
        </w:rPr>
      </w:pPr>
    </w:p>
    <w:p>
      <w:pPr>
        <w:ind w:left="700" w:right="140"/>
        <w:spacing w:after="0" w:line="260" w:lineRule="auto"/>
        <w:rPr>
          <w:sz w:val="20"/>
          <w:szCs w:val="20"/>
          <w:color w:val="auto"/>
        </w:rPr>
      </w:pPr>
      <w:r>
        <w:rPr>
          <w:rFonts w:ascii="Arial" w:cs="Arial" w:eastAsia="Arial" w:hAnsi="Arial"/>
          <w:sz w:val="18"/>
          <w:szCs w:val="18"/>
          <w:color w:val="auto"/>
        </w:rPr>
        <w:t xml:space="preserve">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xml:space="preserve">) receives or recovers (whether by set-off or otherwise) any amount from the Borrower other than in accordance with Clause 25 (Payment Mechanics)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86" w:lineRule="exact"/>
        <w:rPr>
          <w:sz w:val="20"/>
          <w:szCs w:val="20"/>
          <w:color w:val="auto"/>
        </w:rPr>
      </w:pPr>
    </w:p>
    <w:p>
      <w:pPr>
        <w:ind w:left="1260" w:hanging="559"/>
        <w:spacing w:after="0"/>
        <w:tabs>
          <w:tab w:leader="none" w:pos="12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19" w:lineRule="exact"/>
        <w:rPr>
          <w:rFonts w:ascii="Arial" w:cs="Arial" w:eastAsia="Arial" w:hAnsi="Arial"/>
          <w:sz w:val="18"/>
          <w:szCs w:val="18"/>
          <w:color w:val="auto"/>
        </w:rPr>
      </w:pPr>
    </w:p>
    <w:p>
      <w:pPr>
        <w:ind w:left="1260" w:hanging="559"/>
        <w:spacing w:after="0" w:line="304" w:lineRule="auto"/>
        <w:tabs>
          <w:tab w:leader="none" w:pos="1273"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25 (Payment Mechanics), without taking account of any Tax which would be imposed on the Agent in relation to the receipt, recovery or distribution;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44" w:name="page245"/>
    <w:bookmarkEnd w:id="244"/>
    <w:p>
      <w:pPr>
        <w:jc w:val="both"/>
        <w:ind w:left="1260" w:right="20" w:hanging="559"/>
        <w:spacing w:after="0" w:line="260" w:lineRule="auto"/>
        <w:tabs>
          <w:tab w:leader="none" w:pos="127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 Clause 25.5 (Partial Payments).</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4"/>
          <w:szCs w:val="14"/>
          <w:b w:val="1"/>
          <w:bCs w:val="1"/>
          <w:color w:val="auto"/>
        </w:rPr>
        <w:t>Redistribution of payments</w:t>
      </w:r>
    </w:p>
    <w:p>
      <w:pPr>
        <w:spacing w:after="0" w:line="225"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 xml:space="preserve">The Agent shall treat the Sharing Payment as if it had been paid by the Borrower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25.6 (Partial Payments) towards the obligations of the Borrower to the Sharing Finance Parties.</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4"/>
          <w:szCs w:val="14"/>
          <w:b w:val="1"/>
          <w:bCs w:val="1"/>
          <w:color w:val="auto"/>
        </w:rPr>
        <w:t>Recovering Finance Party’s rights</w:t>
      </w:r>
    </w:p>
    <w:p>
      <w:pPr>
        <w:spacing w:after="0" w:line="225" w:lineRule="exact"/>
        <w:rPr>
          <w:sz w:val="20"/>
          <w:szCs w:val="20"/>
          <w:color w:val="auto"/>
        </w:rPr>
      </w:pPr>
    </w:p>
    <w:p>
      <w:pPr>
        <w:jc w:val="both"/>
        <w:ind w:left="1260" w:hanging="559"/>
        <w:spacing w:after="0" w:line="257" w:lineRule="auto"/>
        <w:tabs>
          <w:tab w:leader="none" w:pos="126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On a distribution by the Agent under Clause 24.2 (Redistribution of payments) of a payment received by a Recovering Finance Party from the Borrower, as between the Borrower and the Recovering Finance Party, an amount of the Recovered Amount equal to the Sharing Payment will be treated as not having been paid by the Borrower.</w:t>
      </w:r>
    </w:p>
    <w:p>
      <w:pPr>
        <w:spacing w:after="0" w:line="187" w:lineRule="exact"/>
        <w:rPr>
          <w:rFonts w:ascii="Arial" w:cs="Arial" w:eastAsia="Arial" w:hAnsi="Arial"/>
          <w:sz w:val="18"/>
          <w:szCs w:val="18"/>
          <w:color w:val="auto"/>
        </w:rPr>
      </w:pPr>
    </w:p>
    <w:p>
      <w:pPr>
        <w:ind w:left="1260" w:right="20" w:hanging="559"/>
        <w:spacing w:after="0" w:line="267" w:lineRule="auto"/>
        <w:tabs>
          <w:tab w:leader="none" w:pos="127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and to the extent that the Recovering Finance Party is not able to rely on its rights under paragraph (a) above, the Borrower shall be liable to the Recovering Finance Party for a debt equal to the Sharing Payment which is immediately due and payable.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color w:val="auto"/>
        </w:rPr>
        <w:t>Reversal of redistribution</w:t>
      </w:r>
    </w:p>
    <w:p>
      <w:pPr>
        <w:spacing w:after="0" w:line="225" w:lineRule="exact"/>
        <w:rPr>
          <w:sz w:val="20"/>
          <w:szCs w:val="20"/>
          <w:color w:val="auto"/>
        </w:rPr>
      </w:pPr>
    </w:p>
    <w:p>
      <w:pPr>
        <w:ind w:left="700" w:right="80"/>
        <w:spacing w:after="0" w:line="26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179" w:lineRule="exact"/>
        <w:rPr>
          <w:sz w:val="20"/>
          <w:szCs w:val="20"/>
          <w:color w:val="auto"/>
        </w:rPr>
      </w:pPr>
    </w:p>
    <w:p>
      <w:pPr>
        <w:ind w:left="1260" w:right="320" w:hanging="559"/>
        <w:spacing w:after="0" w:line="253" w:lineRule="auto"/>
        <w:tabs>
          <w:tab w:leader="none" w:pos="126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92" w:lineRule="exact"/>
        <w:rPr>
          <w:rFonts w:ascii="Arial" w:cs="Arial" w:eastAsia="Arial" w:hAnsi="Arial"/>
          <w:sz w:val="18"/>
          <w:szCs w:val="18"/>
          <w:color w:val="auto"/>
        </w:rPr>
      </w:pPr>
    </w:p>
    <w:p>
      <w:pPr>
        <w:ind w:left="1260" w:hanging="559"/>
        <w:spacing w:after="0" w:line="267" w:lineRule="auto"/>
        <w:tabs>
          <w:tab w:leader="none" w:pos="127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as between the Borrower and each relevant Sharing Finance Party, an amount equal to the relevant Redistributed Amount will be treated as not having been paid by the Borrower.</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4"/>
          <w:szCs w:val="14"/>
          <w:b w:val="1"/>
          <w:bCs w:val="1"/>
          <w:color w:val="auto"/>
        </w:rPr>
        <w:t>Exceptions</w:t>
      </w:r>
    </w:p>
    <w:p>
      <w:pPr>
        <w:spacing w:after="0" w:line="225" w:lineRule="exact"/>
        <w:rPr>
          <w:sz w:val="20"/>
          <w:szCs w:val="20"/>
          <w:color w:val="auto"/>
        </w:rPr>
      </w:pPr>
    </w:p>
    <w:p>
      <w:pPr>
        <w:ind w:left="1260" w:right="240" w:hanging="559"/>
        <w:spacing w:after="0" w:line="267" w:lineRule="auto"/>
        <w:tabs>
          <w:tab w:leader="none" w:pos="126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This Clause 24 shall not apply to the extent that the Recovering Finance Party would not, after making any payment pursuant to this Clause 24, have a valid and enforceable claim against the Borrower.</w:t>
      </w:r>
    </w:p>
    <w:p>
      <w:pPr>
        <w:spacing w:after="0" w:line="178" w:lineRule="exact"/>
        <w:rPr>
          <w:rFonts w:ascii="Arial" w:cs="Arial" w:eastAsia="Arial" w:hAnsi="Arial"/>
          <w:sz w:val="18"/>
          <w:szCs w:val="18"/>
          <w:color w:val="auto"/>
        </w:rPr>
      </w:pPr>
    </w:p>
    <w:p>
      <w:pPr>
        <w:ind w:left="1260" w:right="620" w:hanging="559"/>
        <w:spacing w:after="0" w:line="267" w:lineRule="auto"/>
        <w:tabs>
          <w:tab w:leader="none" w:pos="127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78" w:lineRule="exact"/>
        <w:rPr>
          <w:rFonts w:ascii="Arial" w:cs="Arial" w:eastAsia="Arial" w:hAnsi="Arial"/>
          <w:sz w:val="18"/>
          <w:szCs w:val="18"/>
          <w:color w:val="auto"/>
        </w:rPr>
      </w:pPr>
    </w:p>
    <w:p>
      <w:pPr>
        <w:ind w:left="1800" w:hanging="545"/>
        <w:spacing w:after="0"/>
        <w:tabs>
          <w:tab w:leader="none" w:pos="180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19" w:lineRule="exact"/>
        <w:rPr>
          <w:rFonts w:ascii="Arial" w:cs="Arial" w:eastAsia="Arial" w:hAnsi="Arial"/>
          <w:sz w:val="18"/>
          <w:szCs w:val="18"/>
          <w:color w:val="auto"/>
        </w:rPr>
      </w:pPr>
    </w:p>
    <w:p>
      <w:pPr>
        <w:ind w:left="1800" w:right="640" w:hanging="545"/>
        <w:spacing w:after="0" w:line="296" w:lineRule="auto"/>
        <w:tabs>
          <w:tab w:leader="none" w:pos="1809" w:val="left"/>
        </w:tabs>
        <w:numPr>
          <w:ilvl w:val="1"/>
          <w:numId w:val="376"/>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45" w:name="page246"/>
    <w:bookmarkEnd w:id="245"/>
    <w:p>
      <w:pPr>
        <w:ind w:left="700" w:hanging="693"/>
        <w:spacing w:after="0"/>
        <w:tabs>
          <w:tab w:leader="none" w:pos="700"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4"/>
          <w:szCs w:val="14"/>
          <w:b w:val="1"/>
          <w:bCs w:val="1"/>
          <w:color w:val="auto"/>
        </w:rPr>
        <w:t>Payments to the Agent</w:t>
      </w:r>
    </w:p>
    <w:p>
      <w:pPr>
        <w:spacing w:after="0" w:line="225" w:lineRule="exact"/>
        <w:rPr>
          <w:sz w:val="20"/>
          <w:szCs w:val="20"/>
          <w:color w:val="auto"/>
        </w:rPr>
      </w:pPr>
    </w:p>
    <w:p>
      <w:pPr>
        <w:ind w:left="1260" w:hanging="559"/>
        <w:spacing w:after="0" w:line="304" w:lineRule="auto"/>
        <w:tabs>
          <w:tab w:leader="none" w:pos="122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On each date on which the Borrower or a Lender is required to make a payment under a Finance Document, the Borrower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53" w:lineRule="exact"/>
        <w:rPr>
          <w:rFonts w:ascii="Arial" w:cs="Arial" w:eastAsia="Arial" w:hAnsi="Arial"/>
          <w:sz w:val="16"/>
          <w:szCs w:val="16"/>
          <w:color w:val="auto"/>
        </w:rPr>
      </w:pPr>
    </w:p>
    <w:p>
      <w:pPr>
        <w:ind w:left="1260" w:right="360" w:hanging="559"/>
        <w:spacing w:after="0" w:line="267" w:lineRule="auto"/>
        <w:tabs>
          <w:tab w:leader="none" w:pos="123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4"/>
          <w:szCs w:val="14"/>
          <w:b w:val="1"/>
          <w:bCs w:val="1"/>
          <w:color w:val="auto"/>
        </w:rPr>
        <w:t>Distributions by the Agent</w:t>
      </w:r>
    </w:p>
    <w:p>
      <w:pPr>
        <w:spacing w:after="0" w:line="225" w:lineRule="exact"/>
        <w:rPr>
          <w:sz w:val="20"/>
          <w:szCs w:val="20"/>
          <w:color w:val="auto"/>
        </w:rPr>
      </w:pPr>
    </w:p>
    <w:p>
      <w:pPr>
        <w:ind w:left="1260" w:right="160" w:hanging="559"/>
        <w:spacing w:after="0" w:line="252" w:lineRule="auto"/>
        <w:tabs>
          <w:tab w:leader="none" w:pos="123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payment received by the Agent under the Finance Documents for another Party shall, subject to Clause 25.3 (Distributions to the Borrower) and Clause 25.4 (Clawback and pre-funding)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92" w:lineRule="exact"/>
        <w:rPr>
          <w:rFonts w:ascii="Arial" w:cs="Arial" w:eastAsia="Arial" w:hAnsi="Arial"/>
          <w:sz w:val="18"/>
          <w:szCs w:val="18"/>
          <w:color w:val="auto"/>
        </w:rPr>
      </w:pPr>
    </w:p>
    <w:p>
      <w:pPr>
        <w:ind w:left="1260" w:right="80" w:hanging="559"/>
        <w:spacing w:after="0" w:line="253" w:lineRule="auto"/>
        <w:tabs>
          <w:tab w:leader="none" w:pos="123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Agent shall distribute payments received by it in relation to all or any part of a Loan to the Lender indicated in the records of the Agent as being so entitled on that date provided that the Agent is authorised to distribute payments to be made on the date on which any transfer becomes effective pursuant to Clause 22 (Changes to the Parties) to the Lender so entitled immediately before such transfer took place regardless of the period to which such sums relate.</w:t>
      </w:r>
    </w:p>
    <w:p>
      <w:pPr>
        <w:spacing w:after="0" w:line="18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b w:val="1"/>
          <w:bCs w:val="1"/>
          <w:color w:val="auto"/>
        </w:rPr>
        <w:t>Distributions to the Borrower</w:t>
      </w:r>
    </w:p>
    <w:p>
      <w:pPr>
        <w:spacing w:after="0" w:line="225" w:lineRule="exact"/>
        <w:rPr>
          <w:sz w:val="20"/>
          <w:szCs w:val="20"/>
          <w:color w:val="auto"/>
        </w:rPr>
      </w:pPr>
    </w:p>
    <w:p>
      <w:pPr>
        <w:jc w:val="both"/>
        <w:ind w:left="700" w:right="200"/>
        <w:spacing w:after="0" w:line="257" w:lineRule="auto"/>
        <w:rPr>
          <w:sz w:val="20"/>
          <w:szCs w:val="20"/>
          <w:color w:val="auto"/>
        </w:rPr>
      </w:pPr>
      <w:r>
        <w:rPr>
          <w:rFonts w:ascii="Arial" w:cs="Arial" w:eastAsia="Arial" w:hAnsi="Arial"/>
          <w:sz w:val="18"/>
          <w:szCs w:val="18"/>
          <w:color w:val="auto"/>
        </w:rPr>
        <w:t>The Agent may (with the consent of the Borrower or in accordance with Clause 26 (Set-off))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b w:val="1"/>
          <w:bCs w:val="1"/>
          <w:color w:val="auto"/>
        </w:rPr>
        <w:t>Clawback and pre-funding</w:t>
      </w:r>
    </w:p>
    <w:p>
      <w:pPr>
        <w:spacing w:after="0" w:line="225" w:lineRule="exact"/>
        <w:rPr>
          <w:sz w:val="20"/>
          <w:szCs w:val="20"/>
          <w:color w:val="auto"/>
        </w:rPr>
      </w:pPr>
    </w:p>
    <w:p>
      <w:pPr>
        <w:ind w:left="1260" w:right="20" w:hanging="559"/>
        <w:spacing w:after="0" w:line="257" w:lineRule="auto"/>
        <w:tabs>
          <w:tab w:leader="none" w:pos="122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7" w:lineRule="exact"/>
        <w:rPr>
          <w:rFonts w:ascii="Arial" w:cs="Arial" w:eastAsia="Arial" w:hAnsi="Arial"/>
          <w:sz w:val="18"/>
          <w:szCs w:val="18"/>
          <w:color w:val="auto"/>
        </w:rPr>
      </w:pPr>
    </w:p>
    <w:p>
      <w:pPr>
        <w:ind w:left="1260" w:right="220" w:hanging="559"/>
        <w:spacing w:after="0" w:line="253" w:lineRule="auto"/>
        <w:tabs>
          <w:tab w:leader="none" w:pos="123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92" w:lineRule="exact"/>
        <w:rPr>
          <w:rFonts w:ascii="Arial" w:cs="Arial" w:eastAsia="Arial" w:hAnsi="Arial"/>
          <w:sz w:val="18"/>
          <w:szCs w:val="18"/>
          <w:color w:val="auto"/>
        </w:rPr>
      </w:pPr>
    </w:p>
    <w:p>
      <w:pPr>
        <w:ind w:left="1260" w:right="160" w:hanging="559"/>
        <w:spacing w:after="0" w:line="257" w:lineRule="auto"/>
        <w:tabs>
          <w:tab w:leader="none" w:pos="123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46" w:name="page247"/>
    <w:bookmarkEnd w:id="246"/>
    <w:p>
      <w:pPr>
        <w:ind w:left="1800" w:hanging="545"/>
        <w:spacing w:after="0"/>
        <w:tabs>
          <w:tab w:leader="none" w:pos="18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Agent shall notify the Borrower of that Lender’s identity and the Borrower shall on demand refund it to the Agent; and</w:t>
      </w:r>
    </w:p>
    <w:p>
      <w:pPr>
        <w:spacing w:after="0" w:line="219" w:lineRule="exact"/>
        <w:rPr>
          <w:rFonts w:ascii="Arial" w:cs="Arial" w:eastAsia="Arial" w:hAnsi="Arial"/>
          <w:sz w:val="18"/>
          <w:szCs w:val="18"/>
          <w:color w:val="auto"/>
        </w:rPr>
      </w:pPr>
    </w:p>
    <w:p>
      <w:pPr>
        <w:jc w:val="both"/>
        <w:ind w:left="1800" w:right="140" w:hanging="545"/>
        <w:spacing w:after="0" w:line="257" w:lineRule="auto"/>
        <w:tabs>
          <w:tab w:leader="none" w:pos="1809"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b w:val="1"/>
          <w:bCs w:val="1"/>
          <w:color w:val="auto"/>
        </w:rPr>
        <w:t>Impaired Agent</w:t>
      </w:r>
    </w:p>
    <w:p>
      <w:pPr>
        <w:spacing w:after="0" w:line="225" w:lineRule="exact"/>
        <w:rPr>
          <w:sz w:val="20"/>
          <w:szCs w:val="20"/>
          <w:color w:val="auto"/>
        </w:rPr>
      </w:pPr>
    </w:p>
    <w:p>
      <w:pPr>
        <w:ind w:left="1260" w:right="280" w:hanging="559"/>
        <w:spacing w:after="0" w:line="411" w:lineRule="auto"/>
        <w:tabs>
          <w:tab w:leader="none" w:pos="1263" w:val="left"/>
        </w:tabs>
        <w:numPr>
          <w:ilvl w:val="0"/>
          <w:numId w:val="382"/>
        </w:numPr>
        <w:rPr>
          <w:rFonts w:ascii="Arial" w:cs="Arial" w:eastAsia="Arial" w:hAnsi="Arial"/>
          <w:sz w:val="14"/>
          <w:szCs w:val="14"/>
          <w:color w:val="auto"/>
        </w:rPr>
      </w:pPr>
      <w:r>
        <w:rPr>
          <w:rFonts w:ascii="Arial" w:cs="Arial" w:eastAsia="Arial" w:hAnsi="Arial"/>
          <w:sz w:val="14"/>
          <w:szCs w:val="14"/>
          <w:color w:val="auto"/>
        </w:rPr>
        <w:t>If, at any time, the Agent becomes an Impaired Agent, the Borrower or a Lender which is required to make a payment under any of the Finance Documents to the Agent for the account of any person in accordance with Clause 25.1 (Payments to the Agent) may instead either:</w:t>
      </w:r>
    </w:p>
    <w:p>
      <w:pPr>
        <w:spacing w:after="0" w:line="87" w:lineRule="exact"/>
        <w:rPr>
          <w:rFonts w:ascii="Arial" w:cs="Arial" w:eastAsia="Arial" w:hAnsi="Arial"/>
          <w:sz w:val="14"/>
          <w:szCs w:val="14"/>
          <w:color w:val="auto"/>
        </w:rPr>
      </w:pPr>
    </w:p>
    <w:p>
      <w:pPr>
        <w:ind w:left="1800" w:hanging="545"/>
        <w:spacing w:after="0"/>
        <w:tabs>
          <w:tab w:leader="none" w:pos="18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pay that amount direct to such person; or</w:t>
      </w:r>
    </w:p>
    <w:p>
      <w:pPr>
        <w:spacing w:after="0" w:line="219" w:lineRule="exact"/>
        <w:rPr>
          <w:rFonts w:ascii="Arial" w:cs="Arial" w:eastAsia="Arial" w:hAnsi="Arial"/>
          <w:sz w:val="18"/>
          <w:szCs w:val="18"/>
          <w:color w:val="auto"/>
        </w:rPr>
      </w:pPr>
    </w:p>
    <w:p>
      <w:pPr>
        <w:ind w:left="1800" w:right="160" w:hanging="545"/>
        <w:spacing w:after="0" w:line="270" w:lineRule="auto"/>
        <w:tabs>
          <w:tab w:leader="none" w:pos="1796" w:val="left"/>
        </w:tabs>
        <w:numPr>
          <w:ilvl w:val="1"/>
          <w:numId w:val="382"/>
        </w:numPr>
        <w:rPr>
          <w:rFonts w:ascii="Arial" w:cs="Arial" w:eastAsia="Arial" w:hAnsi="Arial"/>
          <w:sz w:val="17"/>
          <w:szCs w:val="17"/>
          <w:color w:val="auto"/>
        </w:rPr>
      </w:pPr>
      <w:r>
        <w:rPr>
          <w:rFonts w:ascii="Arial" w:cs="Arial" w:eastAsia="Arial" w:hAnsi="Arial"/>
          <w:sz w:val="17"/>
          <w:szCs w:val="17"/>
          <w:color w:val="auto"/>
        </w:rPr>
        <w:t xml:space="preserve">(if in its absolute discretion it considers that it is not reasonably practicable to pay that amount direct to such person) pay that amount (or the applicable part thereof payable to such person) to an interest-bearing account held with an Acceptable Bank and in relation to which no Insolvency Event has occurred and is continuing, in the name of the Borrower or the Lender making that payment (the </w:t>
      </w:r>
      <w:r>
        <w:rPr>
          <w:rFonts w:ascii="Arial" w:cs="Arial" w:eastAsia="Arial" w:hAnsi="Arial"/>
          <w:sz w:val="17"/>
          <w:szCs w:val="17"/>
          <w:b w:val="1"/>
          <w:bCs w:val="1"/>
          <w:color w:val="auto"/>
        </w:rPr>
        <w:t>Paying Party</w:t>
      </w:r>
      <w:r>
        <w:rPr>
          <w:rFonts w:ascii="Arial" w:cs="Arial" w:eastAsia="Arial" w:hAnsi="Arial"/>
          <w:sz w:val="17"/>
          <w:szCs w:val="17"/>
          <w:color w:val="auto"/>
        </w:rPr>
        <w:t>) and designated as a trust account for the benefit of the Party or Parties beneficially entitled to that payment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Finance Documents (the </w:t>
      </w:r>
      <w:r>
        <w:rPr>
          <w:rFonts w:ascii="Arial" w:cs="Arial" w:eastAsia="Arial" w:hAnsi="Arial"/>
          <w:sz w:val="17"/>
          <w:szCs w:val="17"/>
          <w:b w:val="1"/>
          <w:bCs w:val="1"/>
          <w:color w:val="auto"/>
        </w:rPr>
        <w:t>Recipient Party</w:t>
      </w:r>
      <w:r>
        <w:rPr>
          <w:rFonts w:ascii="Arial" w:cs="Arial" w:eastAsia="Arial" w:hAnsi="Arial"/>
          <w:sz w:val="17"/>
          <w:szCs w:val="17"/>
          <w:color w:val="auto"/>
        </w:rPr>
        <w:t xml:space="preserve"> or </w:t>
      </w:r>
      <w:r>
        <w:rPr>
          <w:rFonts w:ascii="Arial" w:cs="Arial" w:eastAsia="Arial" w:hAnsi="Arial"/>
          <w:sz w:val="17"/>
          <w:szCs w:val="17"/>
          <w:b w:val="1"/>
          <w:bCs w:val="1"/>
          <w:color w:val="auto"/>
        </w:rPr>
        <w:t>Recipient Parties</w:t>
      </w:r>
      <w:r>
        <w:rPr>
          <w:rFonts w:ascii="Arial" w:cs="Arial" w:eastAsia="Arial" w:hAnsi="Arial"/>
          <w:sz w:val="17"/>
          <w:szCs w:val="17"/>
          <w:color w:val="auto"/>
        </w:rPr>
        <w:t>),</w:t>
      </w:r>
    </w:p>
    <w:p>
      <w:pPr>
        <w:spacing w:after="0" w:line="173" w:lineRule="exact"/>
        <w:rPr>
          <w:sz w:val="20"/>
          <w:szCs w:val="20"/>
          <w:color w:val="auto"/>
        </w:rPr>
      </w:pPr>
    </w:p>
    <w:p>
      <w:pPr>
        <w:ind w:left="1260" w:right="80"/>
        <w:spacing w:after="0" w:line="256" w:lineRule="auto"/>
        <w:rPr>
          <w:sz w:val="20"/>
          <w:szCs w:val="20"/>
          <w:color w:val="auto"/>
        </w:rPr>
      </w:pPr>
      <w:r>
        <w:rPr>
          <w:rFonts w:ascii="Arial" w:cs="Arial" w:eastAsia="Arial" w:hAnsi="Arial"/>
          <w:sz w:val="18"/>
          <w:szCs w:val="18"/>
          <w:color w:val="auto"/>
        </w:rPr>
        <w:t xml:space="preserve">and in each case such payments must be made on the due date for payment under the Finance Documents. </w:t>
      </w:r>
      <w:r>
        <w:rPr>
          <w:rFonts w:ascii="Arial" w:cs="Arial" w:eastAsia="Arial" w:hAnsi="Arial"/>
          <w:sz w:val="18"/>
          <w:szCs w:val="18"/>
          <w:b w:val="1"/>
          <w:bCs w:val="1"/>
          <w:color w:val="auto"/>
        </w:rPr>
        <w:t>Acceptable Bank</w:t>
      </w:r>
      <w:r>
        <w:rPr>
          <w:rFonts w:ascii="Arial" w:cs="Arial" w:eastAsia="Arial" w:hAnsi="Arial"/>
          <w:sz w:val="18"/>
          <w:szCs w:val="18"/>
          <w:color w:val="auto"/>
        </w:rPr>
        <w:t xml:space="preserve"> means a bank or financial institution which has a rating for its long-term unsecured and non-credit- enhanced debt obligations of BBB or higher by Standard &amp; Poor’s Rating Services or Fitch Ratings Ltd or Baa2 or higher by Moody’s Investor Services Limited or a comparable rating from an internationally recognised credit rating agency.</w:t>
      </w:r>
    </w:p>
    <w:p>
      <w:pPr>
        <w:spacing w:after="0" w:line="188" w:lineRule="exact"/>
        <w:rPr>
          <w:sz w:val="20"/>
          <w:szCs w:val="20"/>
          <w:color w:val="auto"/>
        </w:rPr>
      </w:pPr>
    </w:p>
    <w:p>
      <w:pPr>
        <w:ind w:left="1260" w:right="20" w:hanging="559"/>
        <w:spacing w:after="0" w:line="267" w:lineRule="auto"/>
        <w:tabs>
          <w:tab w:leader="none" w:pos="123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All interest accrued on any amount standing to the credit of that trust account shall be for the benefit of the Recipient Party or Recipient Parties pro rata to their respective entitlements to such amount.</w:t>
      </w:r>
    </w:p>
    <w:p>
      <w:pPr>
        <w:spacing w:after="0" w:line="178" w:lineRule="exact"/>
        <w:rPr>
          <w:rFonts w:ascii="Arial" w:cs="Arial" w:eastAsia="Arial" w:hAnsi="Arial"/>
          <w:sz w:val="18"/>
          <w:szCs w:val="18"/>
          <w:color w:val="auto"/>
        </w:rPr>
      </w:pPr>
    </w:p>
    <w:p>
      <w:pPr>
        <w:ind w:left="1260" w:hanging="559"/>
        <w:spacing w:after="0" w:line="330" w:lineRule="auto"/>
        <w:tabs>
          <w:tab w:leader="none" w:pos="123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this Clause 25.5 shall be discharged of the applicable obligations to make such payment under the Finance Documents and shall not take any credit risk with respect to the amounts standing to the credit of that trust account.</w:t>
      </w:r>
    </w:p>
    <w:p>
      <w:pPr>
        <w:spacing w:after="0" w:line="133" w:lineRule="exact"/>
        <w:rPr>
          <w:rFonts w:ascii="Arial" w:cs="Arial" w:eastAsia="Arial" w:hAnsi="Arial"/>
          <w:sz w:val="16"/>
          <w:szCs w:val="16"/>
          <w:color w:val="auto"/>
        </w:rPr>
      </w:pPr>
    </w:p>
    <w:p>
      <w:pPr>
        <w:jc w:val="both"/>
        <w:ind w:left="1260" w:right="80" w:hanging="559"/>
        <w:spacing w:after="0" w:line="349" w:lineRule="auto"/>
        <w:tabs>
          <w:tab w:leader="none" w:pos="1233" w:val="left"/>
        </w:tabs>
        <w:numPr>
          <w:ilvl w:val="0"/>
          <w:numId w:val="383"/>
        </w:numPr>
        <w:rPr>
          <w:rFonts w:ascii="Arial" w:cs="Arial" w:eastAsia="Arial" w:hAnsi="Arial"/>
          <w:sz w:val="14"/>
          <w:szCs w:val="14"/>
          <w:color w:val="auto"/>
        </w:rPr>
      </w:pPr>
      <w:r>
        <w:rPr>
          <w:rFonts w:ascii="Arial" w:cs="Arial" w:eastAsia="Arial" w:hAnsi="Arial"/>
          <w:sz w:val="14"/>
          <w:szCs w:val="14"/>
          <w:color w:val="auto"/>
        </w:rPr>
        <w:t>Promptly upon the appointment of a successor Agent, each Paying Party which has made a payment to a trust account in accordance with this Clause 25.5 (other than to the extent that such Paying Party has given an instruction pursuant to paragraph (e) below with respect to such trust account) shall give all requisite instructions to the bank with whom that trust account is held to transfer the amount of such payment (together with any accrued interest thereon) to the successor Agent for distribution in accordance with Clause 25.2 (Distributions by the Agent).</w:t>
      </w:r>
    </w:p>
    <w:p>
      <w:pPr>
        <w:spacing w:after="0" w:line="129" w:lineRule="exact"/>
        <w:rPr>
          <w:rFonts w:ascii="Arial" w:cs="Arial" w:eastAsia="Arial" w:hAnsi="Arial"/>
          <w:sz w:val="14"/>
          <w:szCs w:val="14"/>
          <w:color w:val="auto"/>
        </w:rPr>
      </w:pPr>
    </w:p>
    <w:p>
      <w:pPr>
        <w:ind w:left="1260" w:right="100" w:hanging="559"/>
        <w:spacing w:after="0" w:line="267" w:lineRule="auto"/>
        <w:tabs>
          <w:tab w:leader="none" w:pos="12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 Paying Party which has made a payment to a trust account (on account of any amount payable by such Paying Party to a Recipient Party) in accordance with this Clause 25.5 shall, promptly upon request by that Recipient Party and to the extent:</w:t>
      </w:r>
    </w:p>
    <w:p>
      <w:pPr>
        <w:spacing w:after="0" w:line="178" w:lineRule="exact"/>
        <w:rPr>
          <w:rFonts w:ascii="Arial" w:cs="Arial" w:eastAsia="Arial" w:hAnsi="Arial"/>
          <w:sz w:val="18"/>
          <w:szCs w:val="18"/>
          <w:color w:val="auto"/>
        </w:rPr>
      </w:pPr>
    </w:p>
    <w:p>
      <w:pPr>
        <w:ind w:left="1800" w:hanging="545"/>
        <w:spacing w:after="0"/>
        <w:tabs>
          <w:tab w:leader="none" w:pos="18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(with respect to such trust account); and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7" w:name="page248"/>
    <w:bookmarkEnd w:id="247"/>
    <w:p>
      <w:pPr>
        <w:ind w:left="1820" w:hanging="565"/>
        <w:spacing w:after="0"/>
        <w:tabs>
          <w:tab w:leader="none" w:pos="18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219" w:lineRule="exact"/>
        <w:rPr>
          <w:sz w:val="20"/>
          <w:szCs w:val="20"/>
          <w:color w:val="auto"/>
        </w:rPr>
      </w:pPr>
    </w:p>
    <w:p>
      <w:pPr>
        <w:ind w:left="1260" w:right="60"/>
        <w:spacing w:after="0" w:line="267" w:lineRule="auto"/>
        <w:rPr>
          <w:sz w:val="20"/>
          <w:szCs w:val="20"/>
          <w:color w:val="auto"/>
        </w:rPr>
      </w:pPr>
      <w:r>
        <w:rPr>
          <w:rFonts w:ascii="Arial" w:cs="Arial" w:eastAsia="Arial" w:hAnsi="Arial"/>
          <w:sz w:val="18"/>
          <w:szCs w:val="18"/>
          <w:color w:val="auto"/>
        </w:rPr>
        <w:t>give all requisite instructions to the bank with whom such trust account is held to transfer such amount (so paid into and held in such account) together with any accrued interest thereon to that Recipient Party.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4"/>
          <w:szCs w:val="14"/>
          <w:b w:val="1"/>
          <w:bCs w:val="1"/>
          <w:color w:val="auto"/>
        </w:rPr>
        <w:t>Partial payments</w:t>
      </w:r>
    </w:p>
    <w:p>
      <w:pPr>
        <w:spacing w:after="0" w:line="225" w:lineRule="exact"/>
        <w:rPr>
          <w:sz w:val="20"/>
          <w:szCs w:val="20"/>
          <w:color w:val="auto"/>
        </w:rPr>
      </w:pPr>
    </w:p>
    <w:p>
      <w:pPr>
        <w:ind w:left="1260" w:right="80" w:hanging="559"/>
        <w:spacing w:after="0" w:line="330" w:lineRule="auto"/>
        <w:tabs>
          <w:tab w:leader="none" w:pos="1263"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p>
      <w:pPr>
        <w:spacing w:after="0" w:line="127" w:lineRule="exact"/>
        <w:rPr>
          <w:rFonts w:ascii="Arial" w:cs="Arial" w:eastAsia="Arial" w:hAnsi="Arial"/>
          <w:sz w:val="16"/>
          <w:szCs w:val="16"/>
          <w:color w:val="auto"/>
        </w:rPr>
      </w:pPr>
    </w:p>
    <w:p>
      <w:pPr>
        <w:ind w:left="1800" w:hanging="545"/>
        <w:spacing w:after="0"/>
        <w:tabs>
          <w:tab w:leader="none" w:pos="1800" w:val="left"/>
        </w:tabs>
        <w:numPr>
          <w:ilvl w:val="1"/>
          <w:numId w:val="385"/>
        </w:numPr>
        <w:rPr>
          <w:rFonts w:ascii="Arial" w:cs="Arial" w:eastAsia="Arial" w:hAnsi="Arial"/>
          <w:sz w:val="17"/>
          <w:szCs w:val="17"/>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in or towards payment pro rata of any unpaid amount owing to any Administrative Party under the Finance Documents;</w:t>
      </w:r>
    </w:p>
    <w:p>
      <w:pPr>
        <w:spacing w:after="0" w:line="230" w:lineRule="exact"/>
        <w:rPr>
          <w:rFonts w:ascii="Arial" w:cs="Arial" w:eastAsia="Arial" w:hAnsi="Arial"/>
          <w:sz w:val="17"/>
          <w:szCs w:val="17"/>
          <w:color w:val="auto"/>
        </w:rPr>
      </w:pPr>
    </w:p>
    <w:p>
      <w:pPr>
        <w:ind w:left="1800" w:right="240" w:hanging="545"/>
        <w:spacing w:after="0" w:line="274" w:lineRule="auto"/>
        <w:tabs>
          <w:tab w:leader="none" w:pos="1809" w:val="left"/>
        </w:tabs>
        <w:numPr>
          <w:ilvl w:val="1"/>
          <w:numId w:val="385"/>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pro rata of any accrued interest, fee (other than as provided in paragraph (i) above) or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due but unpaid under the Finance Documents;</w:t>
      </w:r>
    </w:p>
    <w:p>
      <w:pPr>
        <w:spacing w:after="0" w:line="166" w:lineRule="exact"/>
        <w:rPr>
          <w:rFonts w:ascii="Arial" w:cs="Arial" w:eastAsia="Arial" w:hAnsi="Arial"/>
          <w:sz w:val="18"/>
          <w:szCs w:val="18"/>
          <w:color w:val="auto"/>
        </w:rPr>
      </w:pPr>
    </w:p>
    <w:p>
      <w:pPr>
        <w:ind w:left="1820" w:hanging="565"/>
        <w:spacing w:after="0"/>
        <w:tabs>
          <w:tab w:leader="none" w:pos="1820" w:val="left"/>
        </w:tabs>
        <w:numPr>
          <w:ilvl w:val="1"/>
          <w:numId w:val="385"/>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principal due but unpaid under this agreement; and</w:t>
      </w:r>
    </w:p>
    <w:p>
      <w:pPr>
        <w:spacing w:after="0" w:line="219" w:lineRule="exact"/>
        <w:rPr>
          <w:rFonts w:ascii="Arial" w:cs="Arial" w:eastAsia="Arial" w:hAnsi="Arial"/>
          <w:sz w:val="18"/>
          <w:szCs w:val="18"/>
          <w:color w:val="auto"/>
        </w:rPr>
      </w:pPr>
    </w:p>
    <w:p>
      <w:pPr>
        <w:ind w:left="1800" w:hanging="545"/>
        <w:spacing w:after="0"/>
        <w:tabs>
          <w:tab w:leader="none" w:pos="1800" w:val="left"/>
        </w:tabs>
        <w:numPr>
          <w:ilvl w:val="1"/>
          <w:numId w:val="385"/>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225" w:lineRule="exact"/>
        <w:rPr>
          <w:rFonts w:ascii="Arial" w:cs="Arial" w:eastAsia="Arial" w:hAnsi="Arial"/>
          <w:sz w:val="18"/>
          <w:szCs w:val="18"/>
          <w:color w:val="auto"/>
        </w:rPr>
      </w:pPr>
    </w:p>
    <w:p>
      <w:pPr>
        <w:ind w:left="1260" w:hanging="559"/>
        <w:spacing w:after="0"/>
        <w:tabs>
          <w:tab w:leader="none" w:pos="12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(a)(iv) above.</w:t>
      </w:r>
    </w:p>
    <w:p>
      <w:pPr>
        <w:spacing w:after="0" w:line="219" w:lineRule="exact"/>
        <w:rPr>
          <w:rFonts w:ascii="Arial" w:cs="Arial" w:eastAsia="Arial" w:hAnsi="Arial"/>
          <w:sz w:val="18"/>
          <w:szCs w:val="18"/>
          <w:color w:val="auto"/>
        </w:rPr>
      </w:pPr>
    </w:p>
    <w:p>
      <w:pPr>
        <w:ind w:left="1280" w:hanging="579"/>
        <w:spacing w:after="0"/>
        <w:tabs>
          <w:tab w:leader="none" w:pos="12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the Borrower.</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6"/>
          <w:szCs w:val="16"/>
          <w:b w:val="1"/>
          <w:bCs w:val="1"/>
          <w:color w:val="auto"/>
        </w:rPr>
        <w:t>No set-off by the Borrower</w:t>
      </w:r>
    </w:p>
    <w:p>
      <w:pPr>
        <w:spacing w:after="0" w:line="225" w:lineRule="exact"/>
        <w:rPr>
          <w:sz w:val="20"/>
          <w:szCs w:val="20"/>
          <w:color w:val="auto"/>
        </w:rPr>
      </w:pPr>
    </w:p>
    <w:p>
      <w:pPr>
        <w:ind w:left="700" w:right="60"/>
        <w:spacing w:after="0" w:line="267" w:lineRule="auto"/>
        <w:rPr>
          <w:sz w:val="20"/>
          <w:szCs w:val="20"/>
          <w:color w:val="auto"/>
        </w:rPr>
      </w:pPr>
      <w:r>
        <w:rPr>
          <w:rFonts w:ascii="Arial" w:cs="Arial" w:eastAsia="Arial" w:hAnsi="Arial"/>
          <w:sz w:val="18"/>
          <w:szCs w:val="18"/>
          <w:color w:val="auto"/>
        </w:rPr>
        <w:t>All payments to be made by the Borrower under the Finance Documents shall be calculated and be made without (and free and clear of any deduction for) set-off or counterclaim.</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4"/>
          <w:szCs w:val="14"/>
          <w:b w:val="1"/>
          <w:bCs w:val="1"/>
          <w:color w:val="auto"/>
        </w:rPr>
        <w:t>Business Days</w:t>
      </w:r>
    </w:p>
    <w:p>
      <w:pPr>
        <w:spacing w:after="0" w:line="225" w:lineRule="exact"/>
        <w:rPr>
          <w:sz w:val="20"/>
          <w:szCs w:val="20"/>
          <w:color w:val="auto"/>
        </w:rPr>
      </w:pPr>
    </w:p>
    <w:p>
      <w:pPr>
        <w:ind w:left="1260" w:right="220" w:hanging="559"/>
        <w:spacing w:after="0" w:line="267" w:lineRule="auto"/>
        <w:tabs>
          <w:tab w:leader="none" w:pos="12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78" w:lineRule="exact"/>
        <w:rPr>
          <w:rFonts w:ascii="Arial" w:cs="Arial" w:eastAsia="Arial" w:hAnsi="Arial"/>
          <w:sz w:val="18"/>
          <w:szCs w:val="18"/>
          <w:color w:val="auto"/>
        </w:rPr>
      </w:pPr>
    </w:p>
    <w:p>
      <w:pPr>
        <w:ind w:left="1260" w:right="80" w:hanging="559"/>
        <w:spacing w:after="0" w:line="267" w:lineRule="auto"/>
        <w:tabs>
          <w:tab w:leader="none" w:pos="124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4"/>
          <w:szCs w:val="14"/>
          <w:b w:val="1"/>
          <w:bCs w:val="1"/>
          <w:color w:val="auto"/>
        </w:rPr>
        <w:t>Currency of account</w:t>
      </w:r>
    </w:p>
    <w:p>
      <w:pPr>
        <w:spacing w:after="0" w:line="225" w:lineRule="exact"/>
        <w:rPr>
          <w:sz w:val="20"/>
          <w:szCs w:val="20"/>
          <w:color w:val="auto"/>
        </w:rPr>
      </w:pPr>
    </w:p>
    <w:p>
      <w:pPr>
        <w:ind w:left="1260" w:right="460" w:hanging="559"/>
        <w:spacing w:after="0" w:line="267" w:lineRule="auto"/>
        <w:tabs>
          <w:tab w:leader="none" w:pos="126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Subject to paragraphs (b) to (d) below, US dollars is the currency of account and payment for any sum due from the Borrower under any Finance Document.</w:t>
      </w:r>
    </w:p>
    <w:p>
      <w:pPr>
        <w:spacing w:after="0" w:line="178" w:lineRule="exact"/>
        <w:rPr>
          <w:rFonts w:ascii="Arial" w:cs="Arial" w:eastAsia="Arial" w:hAnsi="Arial"/>
          <w:sz w:val="18"/>
          <w:szCs w:val="18"/>
          <w:color w:val="auto"/>
        </w:rPr>
      </w:pPr>
    </w:p>
    <w:p>
      <w:pPr>
        <w:ind w:left="1260" w:hanging="559"/>
        <w:spacing w:after="0" w:line="267" w:lineRule="auto"/>
        <w:tabs>
          <w:tab w:leader="none" w:pos="127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Each payment of interest shall be made in the currency in which the sum in respect of which the interest is payable was denominated, pursuant to this agreement, when that interest accrued.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48" w:name="page249"/>
    <w:bookmarkEnd w:id="248"/>
    <w:p>
      <w:pPr>
        <w:ind w:left="1280" w:hanging="579"/>
        <w:spacing w:after="0"/>
        <w:tabs>
          <w:tab w:leader="none" w:pos="128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242" w:lineRule="exact"/>
        <w:rPr>
          <w:rFonts w:ascii="Arial" w:cs="Arial" w:eastAsia="Arial" w:hAnsi="Arial"/>
          <w:sz w:val="16"/>
          <w:szCs w:val="16"/>
          <w:color w:val="auto"/>
        </w:rPr>
      </w:pPr>
    </w:p>
    <w:p>
      <w:pPr>
        <w:ind w:left="1260" w:hanging="559"/>
        <w:spacing w:after="0"/>
        <w:tabs>
          <w:tab w:leader="none" w:pos="12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US dollars shall be paid in that other currency.</w:t>
      </w: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25.10</w:t>
      </w:r>
      <w:r>
        <w:rPr>
          <w:sz w:val="20"/>
          <w:szCs w:val="20"/>
          <w:color w:val="auto"/>
        </w:rPr>
        <w:tab/>
      </w:r>
      <w:r>
        <w:rPr>
          <w:rFonts w:ascii="Arial" w:cs="Arial" w:eastAsia="Arial" w:hAnsi="Arial"/>
          <w:sz w:val="14"/>
          <w:szCs w:val="14"/>
          <w:b w:val="1"/>
          <w:bCs w:val="1"/>
          <w:color w:val="auto"/>
        </w:rPr>
        <w:t>Change of currency</w:t>
      </w:r>
    </w:p>
    <w:p>
      <w:pPr>
        <w:spacing w:after="0" w:line="225" w:lineRule="exact"/>
        <w:rPr>
          <w:sz w:val="20"/>
          <w:szCs w:val="20"/>
          <w:color w:val="auto"/>
        </w:rPr>
      </w:pPr>
    </w:p>
    <w:p>
      <w:pPr>
        <w:ind w:left="1260" w:right="420" w:hanging="559"/>
        <w:spacing w:after="0" w:line="267" w:lineRule="auto"/>
        <w:tabs>
          <w:tab w:leader="none" w:pos="122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78" w:lineRule="exact"/>
        <w:rPr>
          <w:rFonts w:ascii="Arial" w:cs="Arial" w:eastAsia="Arial" w:hAnsi="Arial"/>
          <w:sz w:val="18"/>
          <w:szCs w:val="18"/>
          <w:color w:val="auto"/>
        </w:rPr>
      </w:pPr>
    </w:p>
    <w:p>
      <w:pPr>
        <w:ind w:left="1800" w:right="140" w:hanging="545"/>
        <w:spacing w:after="0" w:line="257" w:lineRule="auto"/>
        <w:tabs>
          <w:tab w:leader="none" w:pos="180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87" w:lineRule="exact"/>
        <w:rPr>
          <w:rFonts w:ascii="Arial" w:cs="Arial" w:eastAsia="Arial" w:hAnsi="Arial"/>
          <w:sz w:val="18"/>
          <w:szCs w:val="18"/>
          <w:color w:val="auto"/>
        </w:rPr>
      </w:pPr>
    </w:p>
    <w:p>
      <w:pPr>
        <w:ind w:left="1800" w:right="240" w:hanging="545"/>
        <w:spacing w:after="0" w:line="330" w:lineRule="auto"/>
        <w:tabs>
          <w:tab w:leader="none" w:pos="1809" w:val="left"/>
        </w:tabs>
        <w:numPr>
          <w:ilvl w:val="1"/>
          <w:numId w:val="389"/>
        </w:numPr>
        <w:rPr>
          <w:rFonts w:ascii="Arial" w:cs="Arial" w:eastAsia="Arial" w:hAnsi="Arial"/>
          <w:sz w:val="16"/>
          <w:szCs w:val="16"/>
          <w:color w:val="auto"/>
        </w:rPr>
      </w:pPr>
      <w:r>
        <w:rPr>
          <w:rFonts w:ascii="Arial" w:cs="Arial" w:eastAsia="Arial" w:hAnsi="Arial"/>
          <w:sz w:val="16"/>
          <w:szCs w:val="16"/>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33" w:lineRule="exact"/>
        <w:rPr>
          <w:rFonts w:ascii="Arial" w:cs="Arial" w:eastAsia="Arial" w:hAnsi="Arial"/>
          <w:sz w:val="16"/>
          <w:szCs w:val="16"/>
          <w:color w:val="auto"/>
        </w:rPr>
      </w:pPr>
    </w:p>
    <w:p>
      <w:pPr>
        <w:ind w:left="1260" w:right="140" w:hanging="559"/>
        <w:spacing w:after="0" w:line="257" w:lineRule="auto"/>
        <w:tabs>
          <w:tab w:leader="none" w:pos="123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4"/>
          <w:szCs w:val="14"/>
          <w:b w:val="1"/>
          <w:bCs w:val="1"/>
          <w:color w:val="auto"/>
        </w:rPr>
        <w:t>Disruption to payment systems etc.</w:t>
      </w:r>
    </w:p>
    <w:p>
      <w:pPr>
        <w:spacing w:after="0" w:line="225" w:lineRule="exact"/>
        <w:rPr>
          <w:sz w:val="20"/>
          <w:szCs w:val="20"/>
          <w:color w:val="auto"/>
        </w:rPr>
      </w:pPr>
    </w:p>
    <w:p>
      <w:pPr>
        <w:ind w:left="700" w:right="100"/>
        <w:spacing w:after="0" w:line="267"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 Disruption Event has occurred:</w:t>
      </w:r>
    </w:p>
    <w:p>
      <w:pPr>
        <w:spacing w:after="0" w:line="179" w:lineRule="exact"/>
        <w:rPr>
          <w:sz w:val="20"/>
          <w:szCs w:val="20"/>
          <w:color w:val="auto"/>
        </w:rPr>
      </w:pPr>
    </w:p>
    <w:p>
      <w:pPr>
        <w:ind w:left="1260" w:right="380" w:hanging="559"/>
        <w:spacing w:after="0" w:line="296" w:lineRule="auto"/>
        <w:tabs>
          <w:tab w:leader="none" w:pos="1223"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57" w:lineRule="exact"/>
        <w:rPr>
          <w:rFonts w:ascii="Arial" w:cs="Arial" w:eastAsia="Arial" w:hAnsi="Arial"/>
          <w:sz w:val="17"/>
          <w:szCs w:val="17"/>
          <w:color w:val="auto"/>
        </w:rPr>
      </w:pPr>
    </w:p>
    <w:p>
      <w:pPr>
        <w:ind w:left="1260" w:right="140" w:hanging="559"/>
        <w:spacing w:after="0" w:line="296" w:lineRule="auto"/>
        <w:tabs>
          <w:tab w:leader="none" w:pos="1233"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57" w:lineRule="exact"/>
        <w:rPr>
          <w:rFonts w:ascii="Arial" w:cs="Arial" w:eastAsia="Arial" w:hAnsi="Arial"/>
          <w:sz w:val="17"/>
          <w:szCs w:val="17"/>
          <w:color w:val="auto"/>
        </w:rPr>
      </w:pPr>
    </w:p>
    <w:p>
      <w:pPr>
        <w:ind w:left="1260" w:hanging="559"/>
        <w:spacing w:after="0" w:line="267" w:lineRule="auto"/>
        <w:tabs>
          <w:tab w:leader="none" w:pos="12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78" w:lineRule="exact"/>
        <w:rPr>
          <w:rFonts w:ascii="Arial" w:cs="Arial" w:eastAsia="Arial" w:hAnsi="Arial"/>
          <w:sz w:val="18"/>
          <w:szCs w:val="18"/>
          <w:color w:val="auto"/>
        </w:rPr>
      </w:pPr>
    </w:p>
    <w:p>
      <w:pPr>
        <w:ind w:left="1260" w:right="640" w:hanging="559"/>
        <w:spacing w:after="0" w:line="257" w:lineRule="auto"/>
        <w:tabs>
          <w:tab w:leader="none" w:pos="123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31 (Amendments and Waivers);</w:t>
      </w:r>
    </w:p>
    <w:p>
      <w:pPr>
        <w:spacing w:after="0" w:line="187" w:lineRule="exact"/>
        <w:rPr>
          <w:rFonts w:ascii="Arial" w:cs="Arial" w:eastAsia="Arial" w:hAnsi="Arial"/>
          <w:sz w:val="18"/>
          <w:szCs w:val="18"/>
          <w:color w:val="auto"/>
        </w:rPr>
      </w:pPr>
    </w:p>
    <w:p>
      <w:pPr>
        <w:jc w:val="both"/>
        <w:ind w:left="1260" w:right="60" w:hanging="559"/>
        <w:spacing w:after="0" w:line="279" w:lineRule="auto"/>
        <w:tabs>
          <w:tab w:leader="none" w:pos="124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the Agent shall not be liable for any damages, costs or losses to any person, any diminution in value or any liability whatsoever (including for negligence, gross negligence or any other category of liability whatsoever but not including any claim based on the fraud of the Agent) arising as a result of its taking, or failing to take, any actions pursuant to or in connection with this Clause 25.11;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49" w:name="page250"/>
    <w:bookmarkEnd w:id="249"/>
    <w:p>
      <w:pPr>
        <w:ind w:left="1260" w:hanging="559"/>
        <w:spacing w:after="0"/>
        <w:tabs>
          <w:tab w:leader="none" w:pos="126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225" w:lineRule="exact"/>
        <w:rPr>
          <w:rFonts w:ascii="Arial" w:cs="Arial" w:eastAsia="Arial" w:hAnsi="Arial"/>
          <w:sz w:val="18"/>
          <w:szCs w:val="18"/>
          <w:color w:val="auto"/>
        </w:rPr>
      </w:pPr>
    </w:p>
    <w:p>
      <w:pPr>
        <w:ind w:left="700" w:right="100"/>
        <w:spacing w:after="0" w:line="291" w:lineRule="auto"/>
        <w:rPr>
          <w:rFonts w:ascii="Arial" w:cs="Arial" w:eastAsia="Arial" w:hAnsi="Arial"/>
          <w:sz w:val="18"/>
          <w:szCs w:val="18"/>
          <w:color w:val="auto"/>
        </w:rPr>
      </w:pPr>
      <w:r>
        <w:rPr>
          <w:rFonts w:ascii="Arial" w:cs="Arial" w:eastAsia="Arial" w:hAnsi="Arial"/>
          <w:sz w:val="16"/>
          <w:szCs w:val="16"/>
          <w:color w:val="auto"/>
        </w:rPr>
        <w:t>A Finance Party may which on Event of Default is continuing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 Each Finance Party shall give notice to the Borrower including reasonable details of any such set-off or conversion promptly after such set-off or conversion.</w:t>
      </w:r>
    </w:p>
    <w:p>
      <w:pPr>
        <w:spacing w:after="0" w:line="157" w:lineRule="exact"/>
        <w:rPr>
          <w:rFonts w:ascii="Arial" w:cs="Arial" w:eastAsia="Arial" w:hAnsi="Arial"/>
          <w:sz w:val="18"/>
          <w:szCs w:val="18"/>
          <w:color w:val="auto"/>
        </w:rPr>
      </w:pPr>
    </w:p>
    <w:p>
      <w:pPr>
        <w:ind w:left="700" w:hanging="693"/>
        <w:spacing w:after="0"/>
        <w:tabs>
          <w:tab w:leader="none" w:pos="70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b w:val="1"/>
          <w:bCs w:val="1"/>
          <w:color w:val="auto"/>
        </w:rPr>
        <w:t>Communications in writing</w:t>
      </w:r>
    </w:p>
    <w:p>
      <w:pPr>
        <w:spacing w:after="0" w:line="225" w:lineRule="exact"/>
        <w:rPr>
          <w:sz w:val="20"/>
          <w:szCs w:val="20"/>
          <w:color w:val="auto"/>
        </w:rPr>
      </w:pPr>
    </w:p>
    <w:p>
      <w:pPr>
        <w:ind w:left="700" w:right="360"/>
        <w:spacing w:after="0" w:line="26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email, fax or letter.</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4"/>
          <w:szCs w:val="14"/>
          <w:b w:val="1"/>
          <w:bCs w:val="1"/>
          <w:color w:val="auto"/>
        </w:rPr>
        <w:t>Addresses</w:t>
      </w:r>
    </w:p>
    <w:p>
      <w:pPr>
        <w:spacing w:after="0" w:line="225" w:lineRule="exact"/>
        <w:rPr>
          <w:sz w:val="20"/>
          <w:szCs w:val="20"/>
          <w:color w:val="auto"/>
        </w:rPr>
      </w:pPr>
    </w:p>
    <w:p>
      <w:pPr>
        <w:ind w:left="700" w:right="140"/>
        <w:spacing w:after="0" w:line="296" w:lineRule="auto"/>
        <w:rPr>
          <w:sz w:val="20"/>
          <w:szCs w:val="20"/>
          <w:color w:val="auto"/>
        </w:rPr>
      </w:pPr>
      <w:r>
        <w:rPr>
          <w:rFonts w:ascii="Arial" w:cs="Arial" w:eastAsia="Arial" w:hAnsi="Arial"/>
          <w:sz w:val="17"/>
          <w:szCs w:val="17"/>
          <w:color w:val="auto"/>
        </w:rPr>
        <w:t>The email address, address and fax number (and the department or officer, if any, for whose attention the communication is to be made) of each Party for any communication or document to be made or delivered under or in connection with the Finance Documents is:</w:t>
      </w:r>
    </w:p>
    <w:p>
      <w:pPr>
        <w:spacing w:after="0" w:line="157" w:lineRule="exact"/>
        <w:rPr>
          <w:sz w:val="20"/>
          <w:szCs w:val="20"/>
          <w:color w:val="auto"/>
        </w:rPr>
      </w:pPr>
    </w:p>
    <w:p>
      <w:pPr>
        <w:ind w:left="1260" w:hanging="559"/>
        <w:spacing w:after="0"/>
        <w:tabs>
          <w:tab w:leader="none" w:pos="12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case of the Borrower, that identified with its name below;</w:t>
      </w:r>
    </w:p>
    <w:p>
      <w:pPr>
        <w:spacing w:after="0" w:line="219" w:lineRule="exact"/>
        <w:rPr>
          <w:rFonts w:ascii="Arial" w:cs="Arial" w:eastAsia="Arial" w:hAnsi="Arial"/>
          <w:sz w:val="18"/>
          <w:szCs w:val="18"/>
          <w:color w:val="auto"/>
        </w:rPr>
      </w:pPr>
    </w:p>
    <w:p>
      <w:pPr>
        <w:ind w:left="1260" w:right="120" w:hanging="559"/>
        <w:spacing w:after="0" w:line="267" w:lineRule="auto"/>
        <w:tabs>
          <w:tab w:leader="none" w:pos="127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case of each Lender, that specified in Part II of Schedule 1 (The Original Parties) or as notified in writing to the Agent on or prior to the date on which it becomes a Party;</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 and</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case of each MLAB, that specified in Part I of Schedule 1 (The Original Parties),</w:t>
      </w:r>
    </w:p>
    <w:p>
      <w:pPr>
        <w:spacing w:after="0" w:line="219" w:lineRule="exact"/>
        <w:rPr>
          <w:sz w:val="20"/>
          <w:szCs w:val="20"/>
          <w:color w:val="auto"/>
        </w:rPr>
      </w:pPr>
    </w:p>
    <w:p>
      <w:pPr>
        <w:ind w:left="700" w:right="440"/>
        <w:spacing w:after="0" w:line="267" w:lineRule="auto"/>
        <w:rPr>
          <w:sz w:val="20"/>
          <w:szCs w:val="20"/>
          <w:color w:val="auto"/>
        </w:rPr>
      </w:pPr>
      <w:r>
        <w:rPr>
          <w:rFonts w:ascii="Arial" w:cs="Arial" w:eastAsia="Arial" w:hAnsi="Arial"/>
          <w:sz w:val="18"/>
          <w:szCs w:val="18"/>
          <w:color w:val="auto"/>
        </w:rPr>
        <w:t>or any substitute email address, address, fax number or department or officer as the Party may notify to the Agent (or the Agent may notify to the other Parties, if a change is made by the Agent) by not less than five Business Days’ notice.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Address for service of communications: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tc>
        <w:tc>
          <w:tcPr>
            <w:tcW w:w="1400" w:type="dxa"/>
            <w:vAlign w:val="bottom"/>
          </w:tcPr>
          <w:p>
            <w:pPr>
              <w:ind w:left="280"/>
              <w:spacing w:after="0"/>
              <w:rPr>
                <w:sz w:val="20"/>
                <w:szCs w:val="20"/>
                <w:color w:val="auto"/>
              </w:rPr>
            </w:pPr>
            <w:r>
              <w:rPr>
                <w:rFonts w:ascii="Arial" w:cs="Arial" w:eastAsia="Arial" w:hAnsi="Arial"/>
                <w:sz w:val="18"/>
                <w:szCs w:val="18"/>
                <w:color w:val="auto"/>
              </w:rPr>
              <w:t>Address:</w:t>
            </w:r>
          </w:p>
        </w:tc>
        <w:tc>
          <w:tcPr>
            <w:tcW w:w="8300" w:type="dxa"/>
            <w:vAlign w:val="bottom"/>
            <w:gridSpan w:val="9"/>
          </w:tcPr>
          <w:p>
            <w:pPr>
              <w:spacing w:after="0"/>
              <w:rPr>
                <w:sz w:val="20"/>
                <w:szCs w:val="20"/>
                <w:color w:val="auto"/>
              </w:rPr>
            </w:pPr>
            <w:r>
              <w:rPr>
                <w:rFonts w:ascii="Arial" w:cs="Arial" w:eastAsia="Arial" w:hAnsi="Arial"/>
                <w:sz w:val="18"/>
                <w:szCs w:val="18"/>
                <w:color w:val="auto"/>
              </w:rPr>
              <w:t>8/F, Chuang’s Tower, 30-32 Connaught Road Central, Central, Hong Kong</w:t>
            </w:r>
          </w:p>
        </w:tc>
      </w:tr>
      <w:tr>
        <w:trPr>
          <w:trHeight w:val="388"/>
        </w:trPr>
        <w:tc>
          <w:tcPr>
            <w:tcW w:w="1760" w:type="dxa"/>
            <w:vAlign w:val="bottom"/>
          </w:tcPr>
          <w:p>
            <w:pPr>
              <w:spacing w:after="0"/>
              <w:rPr>
                <w:sz w:val="24"/>
                <w:szCs w:val="24"/>
                <w:color w:val="auto"/>
              </w:rPr>
            </w:pPr>
          </w:p>
        </w:tc>
        <w:tc>
          <w:tcPr>
            <w:tcW w:w="1400" w:type="dxa"/>
            <w:vAlign w:val="bottom"/>
          </w:tcPr>
          <w:p>
            <w:pPr>
              <w:ind w:left="280"/>
              <w:spacing w:after="0"/>
              <w:rPr>
                <w:sz w:val="20"/>
                <w:szCs w:val="20"/>
                <w:color w:val="auto"/>
              </w:rPr>
            </w:pPr>
            <w:r>
              <w:rPr>
                <w:rFonts w:ascii="Arial" w:cs="Arial" w:eastAsia="Arial" w:hAnsi="Arial"/>
                <w:sz w:val="18"/>
                <w:szCs w:val="18"/>
                <w:color w:val="auto"/>
              </w:rPr>
              <w:t>Email:</w:t>
            </w:r>
          </w:p>
        </w:tc>
        <w:tc>
          <w:tcPr>
            <w:tcW w:w="8300" w:type="dxa"/>
            <w:vAlign w:val="bottom"/>
            <w:gridSpan w:val="9"/>
          </w:tcPr>
          <w:p>
            <w:pPr>
              <w:spacing w:after="0"/>
              <w:rPr>
                <w:sz w:val="20"/>
                <w:szCs w:val="20"/>
                <w:color w:val="auto"/>
              </w:rPr>
            </w:pPr>
            <w:r>
              <w:rPr>
                <w:rFonts w:ascii="Arial" w:cs="Arial" w:eastAsia="Arial" w:hAnsi="Arial"/>
                <w:sz w:val="18"/>
                <w:szCs w:val="18"/>
                <w:color w:val="auto"/>
              </w:rPr>
              <w:t>carycheng@corp.netease.com /zhulili@corp.netease.com/keithlo@corp.netease.com</w:t>
            </w:r>
          </w:p>
        </w:tc>
      </w:tr>
      <w:tr>
        <w:trPr>
          <w:trHeight w:val="445"/>
        </w:trPr>
        <w:tc>
          <w:tcPr>
            <w:tcW w:w="1760" w:type="dxa"/>
            <w:vAlign w:val="bottom"/>
          </w:tcPr>
          <w:p>
            <w:pPr>
              <w:spacing w:after="0"/>
              <w:rPr>
                <w:sz w:val="24"/>
                <w:szCs w:val="24"/>
                <w:color w:val="auto"/>
              </w:rPr>
            </w:pPr>
          </w:p>
        </w:tc>
        <w:tc>
          <w:tcPr>
            <w:tcW w:w="1400" w:type="dxa"/>
            <w:vAlign w:val="bottom"/>
          </w:tcPr>
          <w:p>
            <w:pPr>
              <w:ind w:left="280"/>
              <w:spacing w:after="0"/>
              <w:rPr>
                <w:sz w:val="20"/>
                <w:szCs w:val="20"/>
                <w:color w:val="auto"/>
              </w:rPr>
            </w:pPr>
            <w:r>
              <w:rPr>
                <w:rFonts w:ascii="Arial" w:cs="Arial" w:eastAsia="Arial" w:hAnsi="Arial"/>
                <w:sz w:val="18"/>
                <w:szCs w:val="18"/>
                <w:color w:val="auto"/>
              </w:rPr>
              <w:t>Fax:</w:t>
            </w: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+852 2791 5572</w:t>
            </w: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6"/>
        </w:trPr>
        <w:tc>
          <w:tcPr>
            <w:tcW w:w="1760" w:type="dxa"/>
            <w:vAlign w:val="bottom"/>
          </w:tcPr>
          <w:p>
            <w:pPr>
              <w:ind w:left="700"/>
              <w:spacing w:after="0"/>
              <w:rPr>
                <w:sz w:val="20"/>
                <w:szCs w:val="20"/>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w:t>
            </w:r>
          </w:p>
        </w:tc>
        <w:tc>
          <w:tcPr>
            <w:tcW w:w="1400" w:type="dxa"/>
            <w:vAlign w:val="bottom"/>
          </w:tcPr>
          <w:p>
            <w:pPr>
              <w:ind w:left="280"/>
              <w:spacing w:after="0"/>
              <w:rPr>
                <w:sz w:val="20"/>
                <w:szCs w:val="20"/>
                <w:color w:val="auto"/>
              </w:rPr>
            </w:pPr>
            <w:r>
              <w:rPr>
                <w:rFonts w:ascii="Arial" w:cs="Arial" w:eastAsia="Arial" w:hAnsi="Arial"/>
                <w:sz w:val="18"/>
                <w:szCs w:val="18"/>
                <w:color w:val="auto"/>
              </w:rPr>
              <w:t>Address:</w:t>
            </w:r>
          </w:p>
        </w:tc>
        <w:tc>
          <w:tcPr>
            <w:tcW w:w="8300" w:type="dxa"/>
            <w:vAlign w:val="bottom"/>
            <w:gridSpan w:val="9"/>
          </w:tcPr>
          <w:p>
            <w:pPr>
              <w:spacing w:after="0"/>
              <w:rPr>
                <w:sz w:val="20"/>
                <w:szCs w:val="20"/>
                <w:color w:val="auto"/>
              </w:rPr>
            </w:pPr>
            <w:r>
              <w:rPr>
                <w:rFonts w:ascii="Arial" w:cs="Arial" w:eastAsia="Arial" w:hAnsi="Arial"/>
                <w:sz w:val="18"/>
                <w:szCs w:val="18"/>
                <w:color w:val="auto"/>
              </w:rPr>
              <w:t>50/F., Champion Tower, 3 Garden Road, Hong Kong</w:t>
            </w:r>
          </w:p>
        </w:tc>
      </w:tr>
      <w:tr>
        <w:trPr>
          <w:trHeight w:val="388"/>
        </w:trPr>
        <w:tc>
          <w:tcPr>
            <w:tcW w:w="1760" w:type="dxa"/>
            <w:vAlign w:val="bottom"/>
          </w:tcPr>
          <w:p>
            <w:pPr>
              <w:spacing w:after="0"/>
              <w:rPr>
                <w:sz w:val="24"/>
                <w:szCs w:val="24"/>
                <w:color w:val="auto"/>
              </w:rPr>
            </w:pPr>
          </w:p>
        </w:tc>
        <w:tc>
          <w:tcPr>
            <w:tcW w:w="1400" w:type="dxa"/>
            <w:vAlign w:val="bottom"/>
          </w:tcPr>
          <w:p>
            <w:pPr>
              <w:ind w:left="280"/>
              <w:spacing w:after="0"/>
              <w:rPr>
                <w:sz w:val="20"/>
                <w:szCs w:val="20"/>
                <w:color w:val="auto"/>
              </w:rPr>
            </w:pPr>
            <w:r>
              <w:rPr>
                <w:rFonts w:ascii="Arial" w:cs="Arial" w:eastAsia="Arial" w:hAnsi="Arial"/>
                <w:sz w:val="18"/>
                <w:szCs w:val="18"/>
                <w:color w:val="auto"/>
              </w:rPr>
              <w:t>Email:</w:t>
            </w:r>
          </w:p>
        </w:tc>
        <w:tc>
          <w:tcPr>
            <w:tcW w:w="8300" w:type="dxa"/>
            <w:vAlign w:val="bottom"/>
            <w:gridSpan w:val="9"/>
          </w:tcPr>
          <w:p>
            <w:pPr>
              <w:spacing w:after="0"/>
              <w:rPr>
                <w:sz w:val="20"/>
                <w:szCs w:val="20"/>
                <w:color w:val="auto"/>
              </w:rPr>
            </w:pPr>
            <w:r>
              <w:rPr>
                <w:rFonts w:ascii="Arial" w:cs="Arial" w:eastAsia="Arial" w:hAnsi="Arial"/>
                <w:sz w:val="18"/>
                <w:szCs w:val="18"/>
                <w:color w:val="auto"/>
              </w:rPr>
              <w:t>apac.loansagency@citi.com/apac.rla.ca@citi.com/</w:t>
            </w:r>
          </w:p>
        </w:tc>
      </w:tr>
      <w:tr>
        <w:trPr>
          <w:trHeight w:val="20"/>
        </w:trPr>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80" w:type="dxa"/>
            <w:vAlign w:val="bottom"/>
            <w:gridSpan w:val="3"/>
            <w:shd w:val="clear" w:color="auto" w:fill="000000"/>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300" w:type="dxa"/>
            <w:vAlign w:val="bottom"/>
            <w:gridSpan w:val="9"/>
          </w:tcPr>
          <w:p>
            <w:pPr>
              <w:spacing w:after="0" w:line="193" w:lineRule="exact"/>
              <w:rPr>
                <w:sz w:val="20"/>
                <w:szCs w:val="20"/>
                <w:color w:val="auto"/>
              </w:rPr>
            </w:pPr>
            <w:r>
              <w:rPr>
                <w:rFonts w:ascii="Arial" w:cs="Arial" w:eastAsia="Arial" w:hAnsi="Arial"/>
                <w:sz w:val="18"/>
                <w:szCs w:val="18"/>
                <w:color w:val="auto"/>
              </w:rPr>
              <w:t>jessica.wl.li@citi.com/Caspar.chang@citi.com/Rufus.southwood@citi.com / Joanne.chan@citi.com /</w:t>
            </w:r>
          </w:p>
        </w:tc>
      </w:tr>
      <w:tr>
        <w:trPr>
          <w:trHeight w:val="193"/>
        </w:trPr>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0" w:type="dxa"/>
            <w:vAlign w:val="bottom"/>
            <w:tcBorders>
              <w:top w:val="single" w:sz="8" w:color="auto"/>
            </w:tcBorders>
            <w:gridSpan w:val="8"/>
          </w:tcPr>
          <w:p>
            <w:pPr>
              <w:spacing w:after="0" w:line="193" w:lineRule="exact"/>
              <w:rPr>
                <w:sz w:val="20"/>
                <w:szCs w:val="20"/>
                <w:color w:val="auto"/>
              </w:rPr>
            </w:pPr>
            <w:r>
              <w:rPr>
                <w:rFonts w:ascii="Arial" w:cs="Arial" w:eastAsia="Arial" w:hAnsi="Arial"/>
                <w:sz w:val="18"/>
                <w:szCs w:val="18"/>
                <w:color w:val="auto"/>
              </w:rPr>
              <w:t>edmond.pang@citi.com</w:t>
            </w:r>
          </w:p>
        </w:tc>
        <w:tc>
          <w:tcPr>
            <w:tcW w:w="1100" w:type="dxa"/>
            <w:vAlign w:val="bottom"/>
          </w:tcPr>
          <w:p>
            <w:pPr>
              <w:spacing w:after="0"/>
              <w:rPr>
                <w:sz w:val="16"/>
                <w:szCs w:val="16"/>
                <w:color w:val="auto"/>
              </w:rPr>
            </w:pPr>
          </w:p>
        </w:tc>
      </w:tr>
      <w:tr>
        <w:trPr>
          <w:trHeight w:val="445"/>
        </w:trPr>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880" w:type="dxa"/>
            <w:vAlign w:val="bottom"/>
            <w:gridSpan w:val="3"/>
          </w:tcPr>
          <w:p>
            <w:pPr>
              <w:jc w:val="right"/>
              <w:ind w:right="940"/>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1"/>
        </w:trPr>
        <w:tc>
          <w:tcPr>
            <w:tcW w:w="17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250" w:name="page251"/>
    <w:bookmarkEnd w:id="250"/>
    <w:tbl>
      <w:tblPr>
        <w:tblLayout w:type="fixed"/>
        <w:tblInd w:w="2040" w:type="dxa"/>
        <w:tblCellMar>
          <w:top w:w="0" w:type="dxa"/>
          <w:left w:w="0" w:type="dxa"/>
          <w:bottom w:w="0" w:type="dxa"/>
          <w:right w:w="0" w:type="dxa"/>
        </w:tblCellMar>
      </w:tblP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Fax:</w:t>
            </w:r>
          </w:p>
        </w:tc>
        <w:tc>
          <w:tcPr>
            <w:tcW w:w="780" w:type="dxa"/>
            <w:vAlign w:val="bottom"/>
          </w:tcPr>
          <w:p>
            <w:pPr>
              <w:ind w:left="380"/>
              <w:spacing w:after="0"/>
              <w:rPr>
                <w:sz w:val="20"/>
                <w:szCs w:val="20"/>
                <w:color w:val="auto"/>
              </w:rPr>
            </w:pPr>
            <w:r>
              <w:rPr>
                <w:rFonts w:ascii="Arial" w:cs="Arial" w:eastAsia="Arial" w:hAnsi="Arial"/>
                <w:sz w:val="18"/>
                <w:szCs w:val="18"/>
                <w:color w:val="auto"/>
                <w:w w:val="93"/>
              </w:rPr>
              <w:t>+852</w:t>
            </w:r>
          </w:p>
        </w:tc>
        <w:tc>
          <w:tcPr>
            <w:tcW w:w="1660" w:type="dxa"/>
            <w:vAlign w:val="bottom"/>
          </w:tcPr>
          <w:p>
            <w:pPr>
              <w:ind w:left="20"/>
              <w:spacing w:after="0"/>
              <w:rPr>
                <w:sz w:val="20"/>
                <w:szCs w:val="20"/>
                <w:color w:val="auto"/>
              </w:rPr>
            </w:pPr>
            <w:r>
              <w:rPr>
                <w:rFonts w:ascii="Arial" w:cs="Arial" w:eastAsia="Arial" w:hAnsi="Arial"/>
                <w:sz w:val="18"/>
                <w:szCs w:val="18"/>
                <w:color w:val="auto"/>
              </w:rPr>
              <w:t>2621 3183</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Tel:</w:t>
            </w:r>
          </w:p>
        </w:tc>
        <w:tc>
          <w:tcPr>
            <w:tcW w:w="780" w:type="dxa"/>
            <w:vAlign w:val="bottom"/>
          </w:tcPr>
          <w:p>
            <w:pPr>
              <w:ind w:left="380"/>
              <w:spacing w:after="0"/>
              <w:rPr>
                <w:sz w:val="20"/>
                <w:szCs w:val="20"/>
                <w:color w:val="auto"/>
              </w:rPr>
            </w:pPr>
            <w:r>
              <w:rPr>
                <w:rFonts w:ascii="Arial" w:cs="Arial" w:eastAsia="Arial" w:hAnsi="Arial"/>
                <w:sz w:val="18"/>
                <w:szCs w:val="18"/>
                <w:color w:val="auto"/>
                <w:w w:val="93"/>
              </w:rPr>
              <w:t>+852</w:t>
            </w:r>
          </w:p>
        </w:tc>
        <w:tc>
          <w:tcPr>
            <w:tcW w:w="1660" w:type="dxa"/>
            <w:vAlign w:val="bottom"/>
          </w:tcPr>
          <w:p>
            <w:pPr>
              <w:ind w:left="20"/>
              <w:spacing w:after="0"/>
              <w:rPr>
                <w:sz w:val="20"/>
                <w:szCs w:val="20"/>
                <w:color w:val="auto"/>
              </w:rPr>
            </w:pPr>
            <w:r>
              <w:rPr>
                <w:rFonts w:ascii="Arial" w:cs="Arial" w:eastAsia="Arial" w:hAnsi="Arial"/>
                <w:sz w:val="18"/>
                <w:szCs w:val="18"/>
                <w:color w:val="auto"/>
                <w:w w:val="87"/>
              </w:rPr>
              <w:t>2306 6843 / 2306 6636</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Attn:</w:t>
            </w:r>
          </w:p>
        </w:tc>
        <w:tc>
          <w:tcPr>
            <w:tcW w:w="2440" w:type="dxa"/>
            <w:vAlign w:val="bottom"/>
            <w:gridSpan w:val="2"/>
          </w:tcPr>
          <w:p>
            <w:pPr>
              <w:ind w:left="380"/>
              <w:spacing w:after="0"/>
              <w:rPr>
                <w:sz w:val="20"/>
                <w:szCs w:val="20"/>
                <w:color w:val="auto"/>
              </w:rPr>
            </w:pPr>
            <w:r>
              <w:rPr>
                <w:rFonts w:ascii="Arial" w:cs="Arial" w:eastAsia="Arial" w:hAnsi="Arial"/>
                <w:sz w:val="18"/>
                <w:szCs w:val="18"/>
                <w:color w:val="auto"/>
                <w:w w:val="98"/>
              </w:rPr>
              <w:t>Jessica Li / Edmond Pang</w:t>
            </w:r>
          </w:p>
        </w:tc>
      </w:tr>
    </w:tbl>
    <w:p>
      <w:pPr>
        <w:spacing w:after="0" w:line="19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Delivery</w:t>
      </w:r>
    </w:p>
    <w:p>
      <w:pPr>
        <w:spacing w:after="0" w:line="225" w:lineRule="exact"/>
        <w:rPr>
          <w:sz w:val="20"/>
          <w:szCs w:val="20"/>
          <w:color w:val="auto"/>
        </w:rPr>
      </w:pPr>
    </w:p>
    <w:p>
      <w:pPr>
        <w:ind w:left="1260" w:right="320" w:hanging="559"/>
        <w:spacing w:after="0" w:line="267" w:lineRule="auto"/>
        <w:tabs>
          <w:tab w:leader="none" w:pos="122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be effective:</w:t>
      </w:r>
    </w:p>
    <w:p>
      <w:pPr>
        <w:spacing w:after="0" w:line="178" w:lineRule="exact"/>
        <w:rPr>
          <w:rFonts w:ascii="Arial" w:cs="Arial" w:eastAsia="Arial" w:hAnsi="Arial"/>
          <w:sz w:val="18"/>
          <w:szCs w:val="18"/>
          <w:color w:val="auto"/>
        </w:rPr>
      </w:pPr>
    </w:p>
    <w:p>
      <w:pPr>
        <w:ind w:left="1800" w:hanging="545"/>
        <w:spacing w:after="0"/>
        <w:tabs>
          <w:tab w:leader="none" w:pos="18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by way of fax, only when received in legible form; or</w:t>
      </w:r>
    </w:p>
    <w:p>
      <w:pPr>
        <w:spacing w:after="0" w:line="219" w:lineRule="exact"/>
        <w:rPr>
          <w:rFonts w:ascii="Arial" w:cs="Arial" w:eastAsia="Arial" w:hAnsi="Arial"/>
          <w:sz w:val="18"/>
          <w:szCs w:val="18"/>
          <w:color w:val="auto"/>
        </w:rPr>
      </w:pPr>
    </w:p>
    <w:p>
      <w:pPr>
        <w:ind w:left="1800" w:right="200" w:hanging="545"/>
        <w:spacing w:after="0" w:line="267" w:lineRule="auto"/>
        <w:tabs>
          <w:tab w:leader="none" w:pos="180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by way of letter, only when it has been left at the relevant address or five Business Days after being deposited in the post postage prepaid in an envelope addressed to it at that address;</w:t>
      </w:r>
    </w:p>
    <w:p>
      <w:pPr>
        <w:spacing w:after="0" w:line="179" w:lineRule="exact"/>
        <w:rPr>
          <w:sz w:val="20"/>
          <w:szCs w:val="20"/>
          <w:color w:val="auto"/>
        </w:rPr>
      </w:pPr>
    </w:p>
    <w:p>
      <w:pPr>
        <w:ind w:left="1260" w:right="40"/>
        <w:spacing w:after="0" w:line="26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27.2 (Addresses), if addressed to that department or officer.</w:t>
      </w:r>
    </w:p>
    <w:p>
      <w:pPr>
        <w:spacing w:after="0" w:line="179" w:lineRule="exact"/>
        <w:rPr>
          <w:sz w:val="20"/>
          <w:szCs w:val="20"/>
          <w:color w:val="auto"/>
        </w:rPr>
      </w:pPr>
    </w:p>
    <w:p>
      <w:pPr>
        <w:ind w:left="1260" w:right="220" w:hanging="559"/>
        <w:spacing w:after="0" w:line="257" w:lineRule="auto"/>
        <w:tabs>
          <w:tab w:leader="none" w:pos="123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87" w:lineRule="exact"/>
        <w:rPr>
          <w:rFonts w:ascii="Arial" w:cs="Arial" w:eastAsia="Arial" w:hAnsi="Arial"/>
          <w:sz w:val="18"/>
          <w:szCs w:val="18"/>
          <w:color w:val="auto"/>
        </w:rPr>
      </w:pPr>
    </w:p>
    <w:p>
      <w:pPr>
        <w:ind w:left="1240" w:hanging="539"/>
        <w:spacing w:after="0"/>
        <w:tabs>
          <w:tab w:leader="none" w:pos="12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notices from or to the Borrower shall be sent through the Agent.</w:t>
      </w:r>
    </w:p>
    <w:p>
      <w:pPr>
        <w:spacing w:after="0" w:line="219" w:lineRule="exact"/>
        <w:rPr>
          <w:rFonts w:ascii="Arial" w:cs="Arial" w:eastAsia="Arial" w:hAnsi="Arial"/>
          <w:sz w:val="18"/>
          <w:szCs w:val="18"/>
          <w:color w:val="auto"/>
        </w:rPr>
      </w:pPr>
    </w:p>
    <w:p>
      <w:pPr>
        <w:ind w:left="1260" w:right="100" w:hanging="559"/>
        <w:spacing w:after="0" w:line="267" w:lineRule="auto"/>
        <w:tabs>
          <w:tab w:leader="none" w:pos="123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(c) above, after 5 pm in the place of receipt shall be deemed only to become effective on the following day.</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4"/>
          <w:szCs w:val="14"/>
          <w:b w:val="1"/>
          <w:bCs w:val="1"/>
          <w:color w:val="auto"/>
        </w:rPr>
        <w:t>Notification of address and fax number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Promptly upon changing its address or fax number, the Agent shall notify the other Parties.</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4"/>
          <w:szCs w:val="14"/>
          <w:b w:val="1"/>
          <w:bCs w:val="1"/>
          <w:color w:val="auto"/>
        </w:rPr>
        <w:t>Electronic communication</w:t>
      </w:r>
    </w:p>
    <w:p>
      <w:pPr>
        <w:spacing w:after="0" w:line="225" w:lineRule="exact"/>
        <w:rPr>
          <w:sz w:val="20"/>
          <w:szCs w:val="20"/>
          <w:color w:val="auto"/>
        </w:rPr>
      </w:pPr>
    </w:p>
    <w:p>
      <w:pPr>
        <w:ind w:left="1260" w:hanging="559"/>
        <w:spacing w:after="0" w:line="267" w:lineRule="auto"/>
        <w:tabs>
          <w:tab w:leader="none" w:pos="122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(including by way of posting to a secure website) if those two Parties:</w:t>
      </w:r>
    </w:p>
    <w:p>
      <w:pPr>
        <w:spacing w:after="0" w:line="178" w:lineRule="exact"/>
        <w:rPr>
          <w:rFonts w:ascii="Arial" w:cs="Arial" w:eastAsia="Arial" w:hAnsi="Arial"/>
          <w:sz w:val="18"/>
          <w:szCs w:val="18"/>
          <w:color w:val="auto"/>
        </w:rPr>
      </w:pPr>
    </w:p>
    <w:p>
      <w:pPr>
        <w:ind w:left="1800" w:right="520" w:hanging="545"/>
        <w:spacing w:after="0" w:line="267" w:lineRule="auto"/>
        <w:tabs>
          <w:tab w:leader="none" w:pos="18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78" w:lineRule="exact"/>
        <w:rPr>
          <w:rFonts w:ascii="Arial" w:cs="Arial" w:eastAsia="Arial" w:hAnsi="Arial"/>
          <w:sz w:val="18"/>
          <w:szCs w:val="18"/>
          <w:color w:val="auto"/>
        </w:rPr>
      </w:pPr>
    </w:p>
    <w:p>
      <w:pPr>
        <w:ind w:left="1800" w:right="100" w:hanging="545"/>
        <w:spacing w:after="0" w:line="267" w:lineRule="auto"/>
        <w:tabs>
          <w:tab w:leader="none" w:pos="1809" w:val="left"/>
        </w:tabs>
        <w:numPr>
          <w:ilvl w:val="1"/>
          <w:numId w:val="396"/>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78" w:lineRule="exact"/>
        <w:rPr>
          <w:rFonts w:ascii="Arial" w:cs="Arial" w:eastAsia="Arial" w:hAnsi="Arial"/>
          <w:sz w:val="18"/>
          <w:szCs w:val="18"/>
          <w:color w:val="auto"/>
        </w:rPr>
      </w:pPr>
    </w:p>
    <w:p>
      <w:pPr>
        <w:ind w:left="1260" w:right="180" w:hanging="559"/>
        <w:spacing w:after="0" w:line="257" w:lineRule="auto"/>
        <w:tabs>
          <w:tab w:leader="none" w:pos="123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the Borrower and a Finance Party may only be made in that way to the extent that those two Parties agree that, unless and until notified to the contrary, this is to be an accepted form of communication.</w:t>
      </w:r>
    </w:p>
    <w:p>
      <w:pPr>
        <w:spacing w:after="0" w:line="187" w:lineRule="exact"/>
        <w:rPr>
          <w:rFonts w:ascii="Arial" w:cs="Arial" w:eastAsia="Arial" w:hAnsi="Arial"/>
          <w:sz w:val="18"/>
          <w:szCs w:val="18"/>
          <w:color w:val="auto"/>
        </w:rPr>
      </w:pPr>
    </w:p>
    <w:p>
      <w:pPr>
        <w:ind w:left="1260" w:right="200" w:hanging="559"/>
        <w:spacing w:after="0" w:line="267" w:lineRule="auto"/>
        <w:tabs>
          <w:tab w:leader="none" w:pos="123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any two Parties will be effective only when actually received (or made available) in readable form and in the case of any electronic communication made</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20"/>
          </w:cols>
          <w:pgMar w:left="240" w:top="340" w:right="339" w:bottom="1440" w:gutter="0" w:footer="0" w:header="0"/>
        </w:sectPr>
      </w:pPr>
    </w:p>
    <w:bookmarkStart w:id="251" w:name="page252"/>
    <w:bookmarkEnd w:id="251"/>
    <w:p>
      <w:pPr>
        <w:ind w:left="1240"/>
        <w:spacing w:after="0"/>
        <w:rPr>
          <w:sz w:val="20"/>
          <w:szCs w:val="20"/>
          <w:color w:val="auto"/>
        </w:rPr>
      </w:pPr>
      <w:r>
        <w:rPr>
          <w:rFonts w:ascii="Arial" w:cs="Arial" w:eastAsia="Arial" w:hAnsi="Arial"/>
          <w:sz w:val="18"/>
          <w:szCs w:val="18"/>
          <w:color w:val="auto"/>
        </w:rPr>
        <w:t>by a Party to the Agent only if it is addressed in such a manner as the Agent shall specify for this purpose.</w:t>
      </w:r>
    </w:p>
    <w:p>
      <w:pPr>
        <w:spacing w:after="0" w:line="219" w:lineRule="exact"/>
        <w:rPr>
          <w:sz w:val="20"/>
          <w:szCs w:val="20"/>
          <w:color w:val="auto"/>
        </w:rPr>
      </w:pPr>
    </w:p>
    <w:p>
      <w:pPr>
        <w:jc w:val="both"/>
        <w:ind w:left="1260" w:right="80" w:hanging="559"/>
        <w:spacing w:after="0" w:line="257" w:lineRule="auto"/>
        <w:tabs>
          <w:tab w:leader="none" w:pos="123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 pm in the place in which the Party to whom the relevant communication is sent or made available has its address for the purpose of this agreement shall be deemed only to become effective on the following day.</w:t>
      </w:r>
    </w:p>
    <w:p>
      <w:pPr>
        <w:spacing w:after="0" w:line="187" w:lineRule="exact"/>
        <w:rPr>
          <w:rFonts w:ascii="Arial" w:cs="Arial" w:eastAsia="Arial" w:hAnsi="Arial"/>
          <w:sz w:val="18"/>
          <w:szCs w:val="18"/>
          <w:color w:val="auto"/>
        </w:rPr>
      </w:pPr>
    </w:p>
    <w:p>
      <w:pPr>
        <w:ind w:left="1260" w:hanging="559"/>
        <w:spacing w:after="0" w:line="267" w:lineRule="auto"/>
        <w:tabs>
          <w:tab w:leader="none" w:pos="123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27.5.</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6"/>
          <w:szCs w:val="16"/>
          <w:b w:val="1"/>
          <w:bCs w:val="1"/>
          <w:color w:val="auto"/>
        </w:rPr>
        <w:t>Communication when Agent is an Impaired Agent</w:t>
      </w:r>
    </w:p>
    <w:p>
      <w:pPr>
        <w:spacing w:after="0" w:line="225"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 to replace such Impaired Agent.</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4"/>
          <w:szCs w:val="14"/>
          <w:b w:val="1"/>
          <w:bCs w:val="1"/>
          <w:color w:val="auto"/>
        </w:rPr>
        <w:t>English language</w:t>
      </w:r>
    </w:p>
    <w:p>
      <w:pPr>
        <w:spacing w:after="0" w:line="225" w:lineRule="exact"/>
        <w:rPr>
          <w:sz w:val="20"/>
          <w:szCs w:val="20"/>
          <w:color w:val="auto"/>
        </w:rPr>
      </w:pPr>
    </w:p>
    <w:p>
      <w:pPr>
        <w:ind w:left="1220" w:hanging="519"/>
        <w:spacing w:after="0"/>
        <w:tabs>
          <w:tab w:leader="none" w:pos="12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19" w:lineRule="exact"/>
        <w:rPr>
          <w:rFonts w:ascii="Arial" w:cs="Arial" w:eastAsia="Arial" w:hAnsi="Arial"/>
          <w:sz w:val="18"/>
          <w:szCs w:val="18"/>
          <w:color w:val="auto"/>
        </w:rPr>
      </w:pPr>
    </w:p>
    <w:p>
      <w:pPr>
        <w:ind w:left="1220" w:hanging="519"/>
        <w:spacing w:after="0"/>
        <w:tabs>
          <w:tab w:leader="none" w:pos="12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219" w:lineRule="exact"/>
        <w:rPr>
          <w:rFonts w:ascii="Arial" w:cs="Arial" w:eastAsia="Arial" w:hAnsi="Arial"/>
          <w:sz w:val="18"/>
          <w:szCs w:val="18"/>
          <w:color w:val="auto"/>
        </w:rPr>
      </w:pPr>
    </w:p>
    <w:p>
      <w:pPr>
        <w:ind w:left="1800" w:hanging="545"/>
        <w:spacing w:after="0"/>
        <w:tabs>
          <w:tab w:leader="none" w:pos="180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19" w:lineRule="exact"/>
        <w:rPr>
          <w:rFonts w:ascii="Arial" w:cs="Arial" w:eastAsia="Arial" w:hAnsi="Arial"/>
          <w:sz w:val="18"/>
          <w:szCs w:val="18"/>
          <w:color w:val="auto"/>
        </w:rPr>
      </w:pPr>
    </w:p>
    <w:p>
      <w:pPr>
        <w:ind w:left="1800" w:right="680" w:hanging="545"/>
        <w:spacing w:after="0" w:line="296" w:lineRule="auto"/>
        <w:tabs>
          <w:tab w:leader="none" w:pos="1809" w:val="left"/>
        </w:tabs>
        <w:numPr>
          <w:ilvl w:val="2"/>
          <w:numId w:val="398"/>
        </w:numPr>
        <w:rPr>
          <w:rFonts w:ascii="Arial" w:cs="Arial" w:eastAsia="Arial" w:hAnsi="Arial"/>
          <w:sz w:val="17"/>
          <w:szCs w:val="17"/>
          <w:color w:val="auto"/>
        </w:rPr>
      </w:pPr>
      <w:r>
        <w:rPr>
          <w:rFonts w:ascii="Arial" w:cs="Arial" w:eastAsia="Arial" w:hAnsi="Arial"/>
          <w:sz w:val="17"/>
          <w:szCs w:val="17"/>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51" w:lineRule="exact"/>
        <w:rPr>
          <w:rFonts w:ascii="Arial" w:cs="Arial" w:eastAsia="Arial" w:hAnsi="Arial"/>
          <w:sz w:val="17"/>
          <w:szCs w:val="17"/>
          <w:color w:val="auto"/>
        </w:rPr>
      </w:pPr>
    </w:p>
    <w:p>
      <w:pPr>
        <w:ind w:left="700" w:hanging="693"/>
        <w:spacing w:after="0"/>
        <w:tabs>
          <w:tab w:leader="none" w:pos="700"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CALCULATIONS AND CERTIFICATES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4"/>
          <w:szCs w:val="14"/>
          <w:b w:val="1"/>
          <w:bCs w:val="1"/>
          <w:color w:val="auto"/>
        </w:rPr>
        <w:t>Accounts</w:t>
      </w:r>
    </w:p>
    <w:p>
      <w:pPr>
        <w:spacing w:after="0" w:line="225" w:lineRule="exact"/>
        <w:rPr>
          <w:sz w:val="20"/>
          <w:szCs w:val="20"/>
          <w:color w:val="auto"/>
        </w:rPr>
      </w:pPr>
    </w:p>
    <w:p>
      <w:pPr>
        <w:ind w:left="700" w:right="80"/>
        <w:spacing w:after="0" w:line="267" w:lineRule="auto"/>
        <w:rPr>
          <w:sz w:val="20"/>
          <w:szCs w:val="20"/>
          <w:color w:val="auto"/>
        </w:rPr>
      </w:pPr>
      <w:r>
        <w:rPr>
          <w:rFonts w:ascii="Arial" w:cs="Arial" w:eastAsia="Arial" w:hAnsi="Arial"/>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4"/>
          <w:szCs w:val="14"/>
          <w:b w:val="1"/>
          <w:bCs w:val="1"/>
          <w:color w:val="auto"/>
        </w:rPr>
        <w:t>Certificates and determinations</w:t>
      </w:r>
    </w:p>
    <w:p>
      <w:pPr>
        <w:spacing w:after="0" w:line="225" w:lineRule="exact"/>
        <w:rPr>
          <w:sz w:val="20"/>
          <w:szCs w:val="20"/>
          <w:color w:val="auto"/>
        </w:rPr>
      </w:pPr>
    </w:p>
    <w:p>
      <w:pPr>
        <w:ind w:left="700" w:right="20"/>
        <w:spacing w:after="0" w:line="26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4"/>
          <w:szCs w:val="14"/>
          <w:b w:val="1"/>
          <w:bCs w:val="1"/>
          <w:color w:val="auto"/>
        </w:rPr>
        <w:t>Day count convention</w:t>
      </w:r>
    </w:p>
    <w:p>
      <w:pPr>
        <w:spacing w:after="0" w:line="225" w:lineRule="exact"/>
        <w:rPr>
          <w:sz w:val="20"/>
          <w:szCs w:val="20"/>
          <w:color w:val="auto"/>
        </w:rPr>
      </w:pPr>
    </w:p>
    <w:p>
      <w:pPr>
        <w:ind w:left="700"/>
        <w:spacing w:after="0" w:line="330" w:lineRule="auto"/>
        <w:rPr>
          <w:sz w:val="20"/>
          <w:szCs w:val="20"/>
          <w:color w:val="auto"/>
        </w:rPr>
      </w:pPr>
      <w:r>
        <w:rPr>
          <w:rFonts w:ascii="Arial" w:cs="Arial" w:eastAsia="Arial" w:hAnsi="Arial"/>
          <w:sz w:val="16"/>
          <w:szCs w:val="16"/>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52" w:name="page253"/>
    <w:bookmarkEnd w:id="252"/>
    <w:p>
      <w:pPr>
        <w:ind w:left="700" w:hanging="693"/>
        <w:spacing w:after="0"/>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225" w:lineRule="exact"/>
        <w:rPr>
          <w:rFonts w:ascii="Arial" w:cs="Arial" w:eastAsia="Arial" w:hAnsi="Arial"/>
          <w:sz w:val="18"/>
          <w:szCs w:val="18"/>
          <w:color w:val="auto"/>
        </w:rPr>
      </w:pPr>
    </w:p>
    <w:p>
      <w:pPr>
        <w:jc w:val="both"/>
        <w:ind w:left="700" w:right="80"/>
        <w:spacing w:after="0" w:line="257" w:lineRule="auto"/>
        <w:rPr>
          <w:rFonts w:ascii="Arial" w:cs="Arial" w:eastAsia="Arial" w:hAnsi="Arial"/>
          <w:sz w:val="18"/>
          <w:szCs w:val="18"/>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81" w:lineRule="exact"/>
        <w:rPr>
          <w:rFonts w:ascii="Arial" w:cs="Arial" w:eastAsia="Arial" w:hAnsi="Arial"/>
          <w:sz w:val="18"/>
          <w:szCs w:val="18"/>
          <w:color w:val="auto"/>
        </w:rPr>
      </w:pPr>
    </w:p>
    <w:p>
      <w:pPr>
        <w:ind w:left="700" w:hanging="693"/>
        <w:spacing w:after="0"/>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225" w:lineRule="exact"/>
        <w:rPr>
          <w:rFonts w:ascii="Arial" w:cs="Arial" w:eastAsia="Arial" w:hAnsi="Arial"/>
          <w:sz w:val="18"/>
          <w:szCs w:val="18"/>
          <w:color w:val="auto"/>
        </w:rPr>
      </w:pPr>
    </w:p>
    <w:p>
      <w:pPr>
        <w:ind w:left="700" w:right="40"/>
        <w:spacing w:after="0" w:line="252"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86" w:lineRule="exact"/>
        <w:rPr>
          <w:rFonts w:ascii="Arial" w:cs="Arial" w:eastAsia="Arial" w:hAnsi="Arial"/>
          <w:sz w:val="18"/>
          <w:szCs w:val="18"/>
          <w:color w:val="auto"/>
        </w:rPr>
      </w:pPr>
    </w:p>
    <w:p>
      <w:pPr>
        <w:ind w:left="700" w:hanging="693"/>
        <w:spacing w:after="0"/>
        <w:tabs>
          <w:tab w:leader="none" w:pos="700"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4"/>
          <w:szCs w:val="14"/>
          <w:b w:val="1"/>
          <w:bCs w:val="1"/>
          <w:color w:val="auto"/>
        </w:rPr>
        <w:t>Required consents</w:t>
      </w:r>
    </w:p>
    <w:p>
      <w:pPr>
        <w:spacing w:after="0" w:line="225" w:lineRule="exact"/>
        <w:rPr>
          <w:sz w:val="20"/>
          <w:szCs w:val="20"/>
          <w:color w:val="auto"/>
        </w:rPr>
      </w:pPr>
    </w:p>
    <w:p>
      <w:pPr>
        <w:ind w:left="1260" w:hanging="559"/>
        <w:spacing w:after="0" w:line="257" w:lineRule="auto"/>
        <w:tabs>
          <w:tab w:leader="none" w:pos="1263" w:val="left"/>
        </w:tabs>
        <w:numPr>
          <w:ilvl w:val="0"/>
          <w:numId w:val="401"/>
        </w:numPr>
        <w:rPr>
          <w:rFonts w:ascii="Arial" w:cs="Arial" w:eastAsia="Arial" w:hAnsi="Arial"/>
          <w:sz w:val="18"/>
          <w:szCs w:val="18"/>
          <w:color w:val="auto"/>
        </w:rPr>
      </w:pPr>
      <w:r>
        <w:rPr>
          <w:rFonts w:ascii="Arial" w:cs="Arial" w:eastAsia="Arial" w:hAnsi="Arial"/>
          <w:sz w:val="18"/>
          <w:szCs w:val="18"/>
          <w:color w:val="auto"/>
        </w:rPr>
        <w:t>Subject to Clause 31.2 (All-Lender matters) and Clause 31.3 (Other exceptions), any term of the Finance Documents (other than any Fee Letter) may be amended or waived only in writing and with the consent of the Majority Lenders and the Borrower and any such amendment or waiver will be binding on all Parties.</w:t>
      </w:r>
    </w:p>
    <w:p>
      <w:pPr>
        <w:spacing w:after="0" w:line="187" w:lineRule="exact"/>
        <w:rPr>
          <w:rFonts w:ascii="Arial" w:cs="Arial" w:eastAsia="Arial" w:hAnsi="Arial"/>
          <w:sz w:val="18"/>
          <w:szCs w:val="18"/>
          <w:color w:val="auto"/>
        </w:rPr>
      </w:pPr>
    </w:p>
    <w:p>
      <w:pPr>
        <w:ind w:left="1260" w:hanging="559"/>
        <w:spacing w:after="0"/>
        <w:tabs>
          <w:tab w:leader="none" w:pos="12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31.</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color w:val="auto"/>
        </w:rPr>
        <w:t>All-Lender matters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amendment or waiver that has the effect of changing or which relates to:</w:t>
      </w:r>
    </w:p>
    <w:p>
      <w:pPr>
        <w:spacing w:after="0" w:line="219" w:lineRule="exact"/>
        <w:rPr>
          <w:sz w:val="20"/>
          <w:szCs w:val="20"/>
          <w:color w:val="auto"/>
        </w:rPr>
      </w:pPr>
    </w:p>
    <w:p>
      <w:pPr>
        <w:ind w:left="1260" w:hanging="559"/>
        <w:spacing w:after="0"/>
        <w:tabs>
          <w:tab w:leader="none" w:pos="12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definition of “Majority Lenders” or “Super Majority Lenders” in Clause 1.1 (Definitions);</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19" w:lineRule="exact"/>
        <w:rPr>
          <w:rFonts w:ascii="Arial" w:cs="Arial" w:eastAsia="Arial" w:hAnsi="Arial"/>
          <w:sz w:val="18"/>
          <w:szCs w:val="18"/>
          <w:color w:val="auto"/>
        </w:rPr>
      </w:pPr>
    </w:p>
    <w:p>
      <w:pPr>
        <w:ind w:left="1260" w:right="660" w:hanging="559"/>
        <w:spacing w:after="0" w:line="267" w:lineRule="auto"/>
        <w:tabs>
          <w:tab w:leader="none" w:pos="127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or any change in the currency of, any payment of principal, interest, fees or commission payable;</w:t>
      </w:r>
    </w:p>
    <w:p>
      <w:pPr>
        <w:spacing w:after="0" w:line="178" w:lineRule="exact"/>
        <w:rPr>
          <w:rFonts w:ascii="Arial" w:cs="Arial" w:eastAsia="Arial" w:hAnsi="Arial"/>
          <w:sz w:val="18"/>
          <w:szCs w:val="18"/>
          <w:color w:val="auto"/>
        </w:rPr>
      </w:pPr>
    </w:p>
    <w:p>
      <w:pPr>
        <w:ind w:left="1260" w:right="760" w:hanging="559"/>
        <w:spacing w:after="0" w:line="267" w:lineRule="auto"/>
        <w:tabs>
          <w:tab w:leader="none" w:pos="127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 increase in, or any change in the currency of, any Commitment, an extension of any Availability Period or any requirement that a cancellation of Commitments reduces the Commitments of the Lenders rateably under the Facility;</w:t>
      </w:r>
    </w:p>
    <w:p>
      <w:pPr>
        <w:spacing w:after="0" w:line="178" w:lineRule="exact"/>
        <w:rPr>
          <w:rFonts w:ascii="Arial" w:cs="Arial" w:eastAsia="Arial" w:hAnsi="Arial"/>
          <w:sz w:val="18"/>
          <w:szCs w:val="18"/>
          <w:color w:val="auto"/>
        </w:rPr>
      </w:pPr>
    </w:p>
    <w:p>
      <w:pPr>
        <w:ind w:left="1280" w:hanging="579"/>
        <w:spacing w:after="0"/>
        <w:tabs>
          <w:tab w:leader="none" w:pos="12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change to the Borrower; or</w:t>
      </w:r>
    </w:p>
    <w:p>
      <w:pPr>
        <w:spacing w:after="0" w:line="219" w:lineRule="exact"/>
        <w:rPr>
          <w:rFonts w:ascii="Arial" w:cs="Arial" w:eastAsia="Arial" w:hAnsi="Arial"/>
          <w:sz w:val="18"/>
          <w:szCs w:val="18"/>
          <w:color w:val="auto"/>
        </w:rPr>
      </w:pPr>
    </w:p>
    <w:p>
      <w:pPr>
        <w:ind w:left="1260" w:right="160" w:hanging="559"/>
        <w:spacing w:after="0" w:line="330" w:lineRule="auto"/>
        <w:tabs>
          <w:tab w:leader="none" w:pos="128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Clause 2.2 (Finance Parties’ rights and obligations), Clause 7.7 (Application of prepayments), Clause 22 (Changes to the Parties), Clause 24 (Sharing among the Finance Parties), this Clause 31, Clause 38 (Governing Law), or Clause 39.1 (Jurisdiction of Hong Kong courts),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53" w:name="page254"/>
    <w:bookmarkEnd w:id="253"/>
    <w:p>
      <w:pPr>
        <w:spacing w:after="0"/>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4"/>
          <w:szCs w:val="14"/>
          <w:b w:val="1"/>
          <w:bCs w:val="1"/>
          <w:color w:val="auto"/>
        </w:rPr>
        <w:t>Other exceptions</w:t>
      </w:r>
    </w:p>
    <w:p>
      <w:pPr>
        <w:spacing w:after="0" w:line="225" w:lineRule="exact"/>
        <w:rPr>
          <w:sz w:val="20"/>
          <w:szCs w:val="20"/>
          <w:color w:val="auto"/>
        </w:rPr>
      </w:pPr>
    </w:p>
    <w:p>
      <w:pPr>
        <w:ind w:left="700" w:right="380"/>
        <w:spacing w:after="0" w:line="267" w:lineRule="auto"/>
        <w:rPr>
          <w:sz w:val="20"/>
          <w:szCs w:val="20"/>
          <w:color w:val="auto"/>
        </w:rPr>
      </w:pPr>
      <w:r>
        <w:rPr>
          <w:rFonts w:ascii="Arial" w:cs="Arial" w:eastAsia="Arial" w:hAnsi="Arial"/>
          <w:sz w:val="18"/>
          <w:szCs w:val="18"/>
          <w:color w:val="auto"/>
        </w:rPr>
        <w:t>An amendment or waiver which relates to the rights or obligations of an Administrative Party (each in their capacity as such) may not be effected without the consent of that Administrative Party, as the case may be.</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b w:val="1"/>
          <w:bCs w:val="1"/>
          <w:color w:val="auto"/>
        </w:rPr>
        <w:t>Excluded Commitment</w:t>
      </w:r>
    </w:p>
    <w:p>
      <w:pPr>
        <w:spacing w:after="0" w:line="225" w:lineRule="exact"/>
        <w:rPr>
          <w:sz w:val="20"/>
          <w:szCs w:val="20"/>
          <w:color w:val="auto"/>
        </w:rPr>
      </w:pPr>
    </w:p>
    <w:p>
      <w:pPr>
        <w:ind w:left="700" w:right="360"/>
        <w:spacing w:after="0" w:line="257" w:lineRule="auto"/>
        <w:rPr>
          <w:sz w:val="20"/>
          <w:szCs w:val="20"/>
          <w:color w:val="auto"/>
        </w:rPr>
      </w:pPr>
      <w:r>
        <w:rPr>
          <w:rFonts w:ascii="Arial" w:cs="Arial" w:eastAsia="Arial" w:hAnsi="Arial"/>
          <w:sz w:val="18"/>
          <w:szCs w:val="18"/>
          <w:color w:val="auto"/>
        </w:rPr>
        <w:t>If any Lender fails to respond to a request for any consent, waiver, amendment of or in relation to any term of any Finance Document or any instruction or vote relating to any other matter under any Finance Document within 20 Business Days of that request being made, then (unless the Borrower and the Agent agree to a longer time period in relation to such request):</w:t>
      </w:r>
    </w:p>
    <w:p>
      <w:pPr>
        <w:spacing w:after="0" w:line="188" w:lineRule="exact"/>
        <w:rPr>
          <w:sz w:val="20"/>
          <w:szCs w:val="20"/>
          <w:color w:val="auto"/>
        </w:rPr>
      </w:pPr>
    </w:p>
    <w:p>
      <w:pPr>
        <w:jc w:val="both"/>
        <w:ind w:left="1260" w:hanging="559"/>
        <w:spacing w:after="0" w:line="253" w:lineRule="auto"/>
        <w:tabs>
          <w:tab w:leader="none" w:pos="126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such Lender’s Commitment and such Lender’s participation in any Loan shall not be included for the purpose of calculating the Commitments of the Lenders, or participations of the Lenders in any or all of the Loans when ascertaining whether the consent, instruction or vote of Lenders holding any applicable percentage (including, for the avoidance of doubt, unanimity) of the Commitments and/or participations in any or all of the Loans has been obtained to approve that request; and</w:t>
      </w:r>
    </w:p>
    <w:p>
      <w:pPr>
        <w:spacing w:after="0" w:line="192" w:lineRule="exact"/>
        <w:rPr>
          <w:rFonts w:ascii="Arial" w:cs="Arial" w:eastAsia="Arial" w:hAnsi="Arial"/>
          <w:sz w:val="18"/>
          <w:szCs w:val="18"/>
          <w:color w:val="auto"/>
        </w:rPr>
      </w:pPr>
    </w:p>
    <w:p>
      <w:pPr>
        <w:ind w:left="1260" w:right="20" w:hanging="559"/>
        <w:spacing w:after="0" w:line="267" w:lineRule="auto"/>
        <w:tabs>
          <w:tab w:leader="none" w:pos="127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all of the Lenders or any specified group of Lenders has been obtained to approve that request.</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4"/>
          <w:szCs w:val="14"/>
          <w:b w:val="1"/>
          <w:bCs w:val="1"/>
          <w:color w:val="auto"/>
        </w:rPr>
        <w:t>Replacement of Screen Rate</w:t>
      </w:r>
    </w:p>
    <w:p>
      <w:pPr>
        <w:spacing w:after="0" w:line="225" w:lineRule="exact"/>
        <w:rPr>
          <w:sz w:val="20"/>
          <w:szCs w:val="20"/>
          <w:color w:val="auto"/>
        </w:rPr>
      </w:pPr>
    </w:p>
    <w:p>
      <w:pPr>
        <w:ind w:left="1260" w:right="80" w:hanging="559"/>
        <w:spacing w:after="0" w:line="267" w:lineRule="auto"/>
        <w:tabs>
          <w:tab w:leader="none" w:pos="126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Subject to Clause 31.3 (Other exceptions), if a Screen Rate Replacement Event has occurred in relation to the Screen Rate, any amendment or waiver which relates to:</w:t>
      </w:r>
    </w:p>
    <w:p>
      <w:pPr>
        <w:spacing w:after="0" w:line="178" w:lineRule="exact"/>
        <w:rPr>
          <w:rFonts w:ascii="Arial" w:cs="Arial" w:eastAsia="Arial" w:hAnsi="Arial"/>
          <w:sz w:val="18"/>
          <w:szCs w:val="18"/>
          <w:color w:val="auto"/>
        </w:rPr>
      </w:pPr>
    </w:p>
    <w:p>
      <w:pPr>
        <w:ind w:left="1840" w:hanging="585"/>
        <w:spacing w:after="0"/>
        <w:tabs>
          <w:tab w:leader="none" w:pos="18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(ii)</w:t>
      </w:r>
    </w:p>
    <w:p>
      <w:pPr>
        <w:spacing w:after="0" w:line="219" w:lineRule="exact"/>
        <w:rPr>
          <w:sz w:val="20"/>
          <w:szCs w:val="20"/>
          <w:color w:val="auto"/>
        </w:rPr>
      </w:pPr>
    </w:p>
    <w:p>
      <w:pPr>
        <w:ind w:left="2380" w:hanging="571"/>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19" w:lineRule="exact"/>
        <w:rPr>
          <w:rFonts w:ascii="Arial" w:cs="Arial" w:eastAsia="Arial" w:hAnsi="Arial"/>
          <w:sz w:val="18"/>
          <w:szCs w:val="18"/>
          <w:color w:val="auto"/>
        </w:rPr>
      </w:pPr>
    </w:p>
    <w:p>
      <w:pPr>
        <w:jc w:val="both"/>
        <w:ind w:left="2360" w:right="480" w:hanging="551"/>
        <w:spacing w:after="0" w:line="257" w:lineRule="auto"/>
        <w:tabs>
          <w:tab w:leader="none" w:pos="2376"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87" w:lineRule="exact"/>
        <w:rPr>
          <w:rFonts w:ascii="Arial" w:cs="Arial" w:eastAsia="Arial" w:hAnsi="Arial"/>
          <w:sz w:val="18"/>
          <w:szCs w:val="18"/>
          <w:color w:val="auto"/>
        </w:rPr>
      </w:pPr>
    </w:p>
    <w:p>
      <w:pPr>
        <w:ind w:left="2380" w:hanging="571"/>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19" w:lineRule="exact"/>
        <w:rPr>
          <w:rFonts w:ascii="Arial" w:cs="Arial" w:eastAsia="Arial" w:hAnsi="Arial"/>
          <w:sz w:val="18"/>
          <w:szCs w:val="18"/>
          <w:color w:val="auto"/>
        </w:rPr>
      </w:pPr>
    </w:p>
    <w:p>
      <w:pPr>
        <w:ind w:left="2380" w:hanging="571"/>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19" w:lineRule="exact"/>
        <w:rPr>
          <w:rFonts w:ascii="Arial" w:cs="Arial" w:eastAsia="Arial" w:hAnsi="Arial"/>
          <w:sz w:val="18"/>
          <w:szCs w:val="18"/>
          <w:color w:val="auto"/>
        </w:rPr>
      </w:pPr>
    </w:p>
    <w:p>
      <w:pPr>
        <w:ind w:left="2360" w:right="60" w:hanging="551"/>
        <w:spacing w:after="0" w:line="273" w:lineRule="auto"/>
        <w:tabs>
          <w:tab w:leader="none" w:pos="238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54" w:name="page255"/>
    <w:bookmarkEnd w:id="254"/>
    <w:p>
      <w:pPr>
        <w:ind w:left="1260" w:right="340" w:hanging="559"/>
        <w:spacing w:after="0" w:line="296" w:lineRule="auto"/>
        <w:tabs>
          <w:tab w:leader="none" w:pos="1273"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If any Lender fails to respond to a request for an amendment or waiver described in paragraph (a) above within 20 Business Days (or such longer time period in relation to any request which the Borrower and the Agent may agree) of that request being made:</w:t>
      </w:r>
    </w:p>
    <w:p>
      <w:pPr>
        <w:spacing w:after="0" w:line="157" w:lineRule="exact"/>
        <w:rPr>
          <w:rFonts w:ascii="Arial" w:cs="Arial" w:eastAsia="Arial" w:hAnsi="Arial"/>
          <w:sz w:val="17"/>
          <w:szCs w:val="17"/>
          <w:color w:val="auto"/>
        </w:rPr>
      </w:pPr>
    </w:p>
    <w:p>
      <w:pPr>
        <w:ind w:left="1800" w:right="20" w:hanging="545"/>
        <w:spacing w:after="0" w:line="267" w:lineRule="auto"/>
        <w:tabs>
          <w:tab w:leader="none" w:pos="1827" w:val="left"/>
        </w:tabs>
        <w:numPr>
          <w:ilvl w:val="2"/>
          <w:numId w:val="406"/>
        </w:numPr>
        <w:rPr>
          <w:rFonts w:ascii="Arial" w:cs="Arial" w:eastAsia="Arial" w:hAnsi="Arial"/>
          <w:sz w:val="18"/>
          <w:szCs w:val="18"/>
          <w:color w:val="auto"/>
        </w:rPr>
      </w:pPr>
      <w:r>
        <w:rPr>
          <w:rFonts w:ascii="Arial" w:cs="Arial" w:eastAsia="Arial" w:hAnsi="Arial"/>
          <w:sz w:val="18"/>
          <w:szCs w:val="18"/>
          <w:color w:val="auto"/>
        </w:rPr>
        <w:t>its Commitment(s) shall not be included for the purpose of calculating the Total Commitments when ascertaining whether any relevant percentage of Total Commitments has been obtained to approve that request; and</w:t>
      </w:r>
    </w:p>
    <w:p>
      <w:pPr>
        <w:spacing w:after="0" w:line="178" w:lineRule="exact"/>
        <w:rPr>
          <w:rFonts w:ascii="Arial" w:cs="Arial" w:eastAsia="Arial" w:hAnsi="Arial"/>
          <w:sz w:val="18"/>
          <w:szCs w:val="18"/>
          <w:color w:val="auto"/>
        </w:rPr>
      </w:pPr>
    </w:p>
    <w:p>
      <w:pPr>
        <w:ind w:left="1800" w:right="40" w:hanging="545"/>
        <w:spacing w:after="0" w:line="267" w:lineRule="auto"/>
        <w:tabs>
          <w:tab w:leader="none" w:pos="1836" w:val="left"/>
        </w:tabs>
        <w:numPr>
          <w:ilvl w:val="2"/>
          <w:numId w:val="406"/>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72" w:lineRule="exact"/>
        <w:rPr>
          <w:rFonts w:ascii="Arial" w:cs="Arial" w:eastAsia="Arial" w:hAnsi="Arial"/>
          <w:sz w:val="18"/>
          <w:szCs w:val="18"/>
          <w:color w:val="auto"/>
        </w:rPr>
      </w:pPr>
    </w:p>
    <w:p>
      <w:pPr>
        <w:ind w:left="700" w:hanging="693"/>
        <w:spacing w:after="0"/>
        <w:tabs>
          <w:tab w:leader="none" w:pos="700"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b w:val="1"/>
          <w:bCs w:val="1"/>
          <w:color w:val="auto"/>
        </w:rPr>
        <w:t>Confidentiality</w:t>
      </w:r>
    </w:p>
    <w:p>
      <w:pPr>
        <w:spacing w:after="0" w:line="225" w:lineRule="exact"/>
        <w:rPr>
          <w:sz w:val="20"/>
          <w:szCs w:val="20"/>
          <w:color w:val="auto"/>
        </w:rPr>
      </w:pPr>
    </w:p>
    <w:p>
      <w:pPr>
        <w:ind w:left="700" w:right="280"/>
        <w:spacing w:after="0" w:line="279" w:lineRule="auto"/>
        <w:rPr>
          <w:sz w:val="20"/>
          <w:szCs w:val="20"/>
          <w:color w:val="auto"/>
        </w:rPr>
      </w:pPr>
      <w:r>
        <w:rPr>
          <w:rFonts w:ascii="Arial" w:cs="Arial" w:eastAsia="Arial" w:hAnsi="Arial"/>
          <w:sz w:val="17"/>
          <w:szCs w:val="17"/>
          <w:color w:val="auto"/>
        </w:rPr>
        <w:t>Each Finance Party agrees to keep all Confidential Information confidential and not to disclose it to anyone, save to the extent permitted by Clause 32.2 (Disclosure of Confidential Information) and Clause 32.3 (Disclosure to numbering service providers), and to ensure that all Confidential Information is protected with security measures and a degree of care that would apply to its own confidential information.</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b w:val="1"/>
          <w:bCs w:val="1"/>
          <w:color w:val="auto"/>
        </w:rPr>
        <w:t>Disclosure of Confidential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Finance Party may disclose:</w:t>
      </w:r>
    </w:p>
    <w:p>
      <w:pPr>
        <w:spacing w:after="0" w:line="219" w:lineRule="exact"/>
        <w:rPr>
          <w:sz w:val="20"/>
          <w:szCs w:val="20"/>
          <w:color w:val="auto"/>
        </w:rPr>
      </w:pPr>
    </w:p>
    <w:p>
      <w:pPr>
        <w:ind w:left="1260" w:right="60" w:hanging="559"/>
        <w:spacing w:after="0" w:line="268" w:lineRule="auto"/>
        <w:tabs>
          <w:tab w:leader="none" w:pos="1263"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to any of its Affiliates and Related Funds and any of its or their officers, directors, employees, professional advisers, insurance providers, service providers,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82" w:lineRule="exact"/>
        <w:rPr>
          <w:rFonts w:ascii="Arial" w:cs="Arial" w:eastAsia="Arial" w:hAnsi="Arial"/>
          <w:sz w:val="17"/>
          <w:szCs w:val="17"/>
          <w:color w:val="auto"/>
        </w:rPr>
      </w:pPr>
    </w:p>
    <w:p>
      <w:pPr>
        <w:ind w:left="1260" w:hanging="559"/>
        <w:spacing w:after="0"/>
        <w:tabs>
          <w:tab w:leader="none" w:pos="12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219" w:lineRule="exact"/>
        <w:rPr>
          <w:rFonts w:ascii="Arial" w:cs="Arial" w:eastAsia="Arial" w:hAnsi="Arial"/>
          <w:sz w:val="18"/>
          <w:szCs w:val="18"/>
          <w:color w:val="auto"/>
        </w:rPr>
      </w:pPr>
    </w:p>
    <w:p>
      <w:pPr>
        <w:ind w:left="1800" w:right="120" w:hanging="545"/>
        <w:spacing w:after="0" w:line="257" w:lineRule="auto"/>
        <w:tabs>
          <w:tab w:leader="none" w:pos="182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87" w:lineRule="exact"/>
        <w:rPr>
          <w:rFonts w:ascii="Arial" w:cs="Arial" w:eastAsia="Arial" w:hAnsi="Arial"/>
          <w:sz w:val="18"/>
          <w:szCs w:val="18"/>
          <w:color w:val="auto"/>
        </w:rPr>
      </w:pPr>
    </w:p>
    <w:p>
      <w:pPr>
        <w:jc w:val="both"/>
        <w:ind w:left="1800" w:hanging="545"/>
        <w:spacing w:after="0" w:line="304" w:lineRule="auto"/>
        <w:tabs>
          <w:tab w:leader="none" w:pos="1836" w:val="left"/>
        </w:tabs>
        <w:numPr>
          <w:ilvl w:val="1"/>
          <w:numId w:val="408"/>
        </w:numPr>
        <w:rPr>
          <w:rFonts w:ascii="Arial" w:cs="Arial" w:eastAsia="Arial" w:hAnsi="Arial"/>
          <w:sz w:val="16"/>
          <w:szCs w:val="16"/>
          <w:color w:val="auto"/>
        </w:rPr>
      </w:pPr>
      <w:r>
        <w:rPr>
          <w:rFonts w:ascii="Arial" w:cs="Arial" w:eastAsia="Arial" w:hAnsi="Arial"/>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153" w:lineRule="exact"/>
        <w:rPr>
          <w:rFonts w:ascii="Arial" w:cs="Arial" w:eastAsia="Arial" w:hAnsi="Arial"/>
          <w:sz w:val="16"/>
          <w:szCs w:val="16"/>
          <w:color w:val="auto"/>
        </w:rPr>
      </w:pPr>
    </w:p>
    <w:p>
      <w:pPr>
        <w:ind w:left="1800" w:right="40" w:hanging="545"/>
        <w:spacing w:after="0" w:line="285" w:lineRule="auto"/>
        <w:tabs>
          <w:tab w:leader="none" w:pos="1845" w:val="left"/>
        </w:tabs>
        <w:numPr>
          <w:ilvl w:val="1"/>
          <w:numId w:val="408"/>
        </w:numPr>
        <w:rPr>
          <w:rFonts w:ascii="Arial" w:cs="Arial" w:eastAsia="Arial" w:hAnsi="Arial"/>
          <w:sz w:val="16"/>
          <w:szCs w:val="16"/>
          <w:color w:val="auto"/>
        </w:rPr>
      </w:pPr>
      <w:r>
        <w:rPr>
          <w:rFonts w:ascii="Arial" w:cs="Arial" w:eastAsia="Arial" w:hAnsi="Arial"/>
          <w:sz w:val="16"/>
          <w:szCs w:val="16"/>
          <w:color w:val="auto"/>
        </w:rPr>
        <w:t>appointed by any Finance Party or by a person to whom paragraph (i) or (ii) above applies to receive communications, notices, information or documents delivered pursuant to the Finance Documents on its behalf (including any person appointed under paragraph</w:t>
      </w:r>
    </w:p>
    <w:p>
      <w:pPr>
        <w:ind w:left="1800"/>
        <w:spacing w:after="0"/>
        <w:rPr>
          <w:rFonts w:ascii="Arial" w:cs="Arial" w:eastAsia="Arial" w:hAnsi="Arial"/>
          <w:sz w:val="16"/>
          <w:szCs w:val="16"/>
          <w:color w:val="auto"/>
        </w:rPr>
      </w:pPr>
      <w:r>
        <w:rPr>
          <w:rFonts w:ascii="Arial" w:cs="Arial" w:eastAsia="Arial" w:hAnsi="Arial"/>
          <w:sz w:val="18"/>
          <w:szCs w:val="18"/>
          <w:color w:val="auto"/>
        </w:rPr>
        <w:t>(b) of Clause 23.14 (Relationship with the Lenders));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5" w:name="page256"/>
    <w:bookmarkEnd w:id="255"/>
    <w:p>
      <w:pPr>
        <w:ind w:left="1099" w:right="80" w:hanging="545"/>
        <w:spacing w:after="0" w:line="267" w:lineRule="auto"/>
        <w:tabs>
          <w:tab w:leader="none" w:pos="112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(i) or (ii) above;</w:t>
      </w:r>
    </w:p>
    <w:p>
      <w:pPr>
        <w:spacing w:after="0" w:line="178" w:lineRule="exact"/>
        <w:rPr>
          <w:rFonts w:ascii="Arial" w:cs="Arial" w:eastAsia="Arial" w:hAnsi="Arial"/>
          <w:sz w:val="18"/>
          <w:szCs w:val="18"/>
          <w:color w:val="auto"/>
        </w:rPr>
      </w:pPr>
    </w:p>
    <w:p>
      <w:pPr>
        <w:jc w:val="both"/>
        <w:ind w:left="1099" w:right="300" w:hanging="545"/>
        <w:spacing w:after="0" w:line="257" w:lineRule="auto"/>
        <w:tabs>
          <w:tab w:leader="none" w:pos="111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87" w:lineRule="exact"/>
        <w:rPr>
          <w:rFonts w:ascii="Arial" w:cs="Arial" w:eastAsia="Arial" w:hAnsi="Arial"/>
          <w:sz w:val="18"/>
          <w:szCs w:val="18"/>
          <w:color w:val="auto"/>
        </w:rPr>
      </w:pPr>
    </w:p>
    <w:p>
      <w:pPr>
        <w:ind w:left="1099" w:right="120" w:hanging="545"/>
        <w:spacing w:after="0" w:line="267" w:lineRule="auto"/>
        <w:tabs>
          <w:tab w:leader="none" w:pos="112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78" w:lineRule="exact"/>
        <w:rPr>
          <w:rFonts w:ascii="Arial" w:cs="Arial" w:eastAsia="Arial" w:hAnsi="Arial"/>
          <w:sz w:val="18"/>
          <w:szCs w:val="18"/>
          <w:color w:val="auto"/>
        </w:rPr>
      </w:pPr>
    </w:p>
    <w:p>
      <w:pPr>
        <w:ind w:left="1139" w:hanging="585"/>
        <w:spacing w:after="0"/>
        <w:tabs>
          <w:tab w:leader="none" w:pos="1139"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to whom or for whose benefit that Finance Party charges, assigns or otherwise creates Security (or may do so) pursuant to Clause</w:t>
      </w:r>
    </w:p>
    <w:p>
      <w:pPr>
        <w:spacing w:after="0" w:line="40" w:lineRule="exact"/>
        <w:rPr>
          <w:sz w:val="20"/>
          <w:szCs w:val="20"/>
          <w:color w:val="auto"/>
        </w:rPr>
      </w:pPr>
    </w:p>
    <w:p>
      <w:pPr>
        <w:ind w:left="1099"/>
        <w:spacing w:after="0"/>
        <w:rPr>
          <w:sz w:val="20"/>
          <w:szCs w:val="20"/>
          <w:color w:val="auto"/>
        </w:rPr>
      </w:pPr>
      <w:r>
        <w:rPr>
          <w:rFonts w:ascii="Arial" w:cs="Arial" w:eastAsia="Arial" w:hAnsi="Arial"/>
          <w:sz w:val="18"/>
          <w:szCs w:val="18"/>
          <w:color w:val="auto"/>
        </w:rPr>
        <w:t>22.13 (Security over Lenders’ rights);</w:t>
      </w:r>
    </w:p>
    <w:p>
      <w:pPr>
        <w:spacing w:after="0" w:line="208" w:lineRule="exact"/>
        <w:rPr>
          <w:sz w:val="20"/>
          <w:szCs w:val="20"/>
          <w:color w:val="auto"/>
        </w:rPr>
      </w:pPr>
    </w:p>
    <w:p>
      <w:pPr>
        <w:ind w:left="1139" w:hanging="585"/>
        <w:spacing w:after="0"/>
        <w:tabs>
          <w:tab w:leader="none" w:pos="113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19" w:lineRule="exact"/>
        <w:rPr>
          <w:rFonts w:ascii="Arial" w:cs="Arial" w:eastAsia="Arial" w:hAnsi="Arial"/>
          <w:sz w:val="18"/>
          <w:szCs w:val="18"/>
          <w:color w:val="auto"/>
        </w:rPr>
      </w:pPr>
    </w:p>
    <w:p>
      <w:pPr>
        <w:ind w:left="1139" w:hanging="585"/>
        <w:spacing w:after="0"/>
        <w:tabs>
          <w:tab w:leader="none" w:pos="113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219" w:lineRule="exact"/>
        <w:rPr>
          <w:sz w:val="20"/>
          <w:szCs w:val="20"/>
          <w:color w:val="auto"/>
        </w:rPr>
      </w:pPr>
    </w:p>
    <w:p>
      <w:pPr>
        <w:ind w:left="559"/>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219" w:lineRule="exact"/>
        <w:rPr>
          <w:sz w:val="20"/>
          <w:szCs w:val="20"/>
          <w:color w:val="auto"/>
        </w:rPr>
      </w:pPr>
    </w:p>
    <w:p>
      <w:pPr>
        <w:ind w:left="1659" w:hanging="551"/>
        <w:spacing w:after="0" w:line="304" w:lineRule="auto"/>
        <w:tabs>
          <w:tab w:leader="none" w:pos="1685" w:val="left"/>
        </w:tabs>
        <w:numPr>
          <w:ilvl w:val="1"/>
          <w:numId w:val="411"/>
        </w:numPr>
        <w:rPr>
          <w:rFonts w:ascii="Arial" w:cs="Arial" w:eastAsia="Arial" w:hAnsi="Arial"/>
          <w:sz w:val="16"/>
          <w:szCs w:val="16"/>
          <w:color w:val="auto"/>
        </w:rPr>
      </w:pPr>
      <w:r>
        <w:rPr>
          <w:rFonts w:ascii="Arial" w:cs="Arial" w:eastAsia="Arial" w:hAnsi="Arial"/>
          <w:sz w:val="16"/>
          <w:szCs w:val="16"/>
          <w:color w:val="auto"/>
        </w:rPr>
        <w:t>in relation to paragraphs (i), (ii) and (iii)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53" w:lineRule="exact"/>
        <w:rPr>
          <w:rFonts w:ascii="Arial" w:cs="Arial" w:eastAsia="Arial" w:hAnsi="Arial"/>
          <w:sz w:val="16"/>
          <w:szCs w:val="16"/>
          <w:color w:val="auto"/>
        </w:rPr>
      </w:pPr>
    </w:p>
    <w:p>
      <w:pPr>
        <w:ind w:left="1659" w:right="40" w:hanging="551"/>
        <w:spacing w:after="0" w:line="253" w:lineRule="auto"/>
        <w:tabs>
          <w:tab w:leader="none" w:pos="167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in relation to paragraph (iv)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or</w:t>
      </w:r>
    </w:p>
    <w:p>
      <w:pPr>
        <w:spacing w:after="0" w:line="192" w:lineRule="exact"/>
        <w:rPr>
          <w:rFonts w:ascii="Arial" w:cs="Arial" w:eastAsia="Arial" w:hAnsi="Arial"/>
          <w:sz w:val="18"/>
          <w:szCs w:val="18"/>
          <w:color w:val="auto"/>
        </w:rPr>
      </w:pPr>
    </w:p>
    <w:p>
      <w:pPr>
        <w:ind w:left="1659" w:right="140" w:hanging="551"/>
        <w:spacing w:after="0" w:line="253" w:lineRule="auto"/>
        <w:tabs>
          <w:tab w:leader="none" w:pos="1676" w:val="left"/>
        </w:tabs>
        <w:numPr>
          <w:ilvl w:val="1"/>
          <w:numId w:val="411"/>
        </w:numPr>
        <w:rPr>
          <w:rFonts w:ascii="Arial" w:cs="Arial" w:eastAsia="Arial" w:hAnsi="Arial"/>
          <w:sz w:val="18"/>
          <w:szCs w:val="18"/>
          <w:color w:val="auto"/>
        </w:rPr>
      </w:pPr>
      <w:r>
        <w:rPr>
          <w:rFonts w:ascii="Arial" w:cs="Arial" w:eastAsia="Arial" w:hAnsi="Arial"/>
          <w:sz w:val="18"/>
          <w:szCs w:val="18"/>
          <w:color w:val="auto"/>
        </w:rPr>
        <w:t>in relation to paragraphs (v), (vi) and (vii)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192" w:lineRule="exact"/>
        <w:rPr>
          <w:rFonts w:ascii="Arial" w:cs="Arial" w:eastAsia="Arial" w:hAnsi="Arial"/>
          <w:sz w:val="18"/>
          <w:szCs w:val="18"/>
          <w:color w:val="auto"/>
        </w:rPr>
      </w:pPr>
    </w:p>
    <w:p>
      <w:pPr>
        <w:ind w:left="559" w:right="200" w:hanging="559"/>
        <w:spacing w:after="0" w:line="288" w:lineRule="auto"/>
        <w:tabs>
          <w:tab w:leader="none" w:pos="57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to any person appointed by that Finance Party or by a person to whom paragraph (b)(i) or (b)(ii) above applies to provide administration or settlement services in respect of one or more of the Finance Documents including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67" w:lineRule="exact"/>
        <w:rPr>
          <w:rFonts w:ascii="Arial" w:cs="Arial" w:eastAsia="Arial" w:hAnsi="Arial"/>
          <w:sz w:val="16"/>
          <w:szCs w:val="16"/>
          <w:color w:val="auto"/>
        </w:rPr>
      </w:pPr>
    </w:p>
    <w:p>
      <w:pPr>
        <w:ind w:left="559" w:right="380" w:hanging="559"/>
        <w:spacing w:after="0" w:line="267" w:lineRule="auto"/>
        <w:tabs>
          <w:tab w:leader="none" w:pos="57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w:t>
      </w:r>
    </w:p>
    <w:p>
      <w:pPr>
        <w:spacing w:after="0" w:line="179" w:lineRule="exact"/>
        <w:rPr>
          <w:sz w:val="20"/>
          <w:szCs w:val="20"/>
          <w:color w:val="auto"/>
        </w:rPr>
      </w:pPr>
    </w:p>
    <w:p>
      <w:pPr>
        <w:ind w:left="49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726948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719"/>
          </w:cols>
          <w:pgMar w:left="941" w:top="340" w:right="239" w:bottom="1440" w:gutter="0" w:footer="0" w:header="0"/>
        </w:sectPr>
      </w:pPr>
    </w:p>
    <w:bookmarkStart w:id="256" w:name="page257"/>
    <w:bookmarkEnd w:id="256"/>
    <w:p>
      <w:pPr>
        <w:jc w:val="both"/>
        <w:ind w:left="1240" w:right="200"/>
        <w:spacing w:after="0" w:line="257" w:lineRule="auto"/>
        <w:rPr>
          <w:sz w:val="20"/>
          <w:szCs w:val="20"/>
          <w:color w:val="auto"/>
        </w:rPr>
      </w:pPr>
      <w:r>
        <w:rPr>
          <w:rFonts w:ascii="Arial" w:cs="Arial" w:eastAsia="Arial" w:hAnsi="Arial"/>
          <w:sz w:val="18"/>
          <w:szCs w:val="18"/>
          <w:color w:val="auto"/>
        </w:rPr>
        <w:t>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1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4"/>
          <w:szCs w:val="14"/>
          <w:b w:val="1"/>
          <w:bCs w:val="1"/>
          <w:color w:val="auto"/>
        </w:rPr>
        <w:t>Disclosure to numbering service providers</w:t>
      </w:r>
    </w:p>
    <w:p>
      <w:pPr>
        <w:spacing w:after="0" w:line="225" w:lineRule="exact"/>
        <w:rPr>
          <w:sz w:val="20"/>
          <w:szCs w:val="20"/>
          <w:color w:val="auto"/>
        </w:rPr>
      </w:pPr>
    </w:p>
    <w:p>
      <w:pPr>
        <w:ind w:left="1260" w:right="560" w:hanging="559"/>
        <w:spacing w:after="0" w:line="330" w:lineRule="auto"/>
        <w:tabs>
          <w:tab w:leader="none" w:pos="1263"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the Borrower the following information:</w:t>
      </w:r>
    </w:p>
    <w:p>
      <w:pPr>
        <w:spacing w:after="0" w:line="133" w:lineRule="exact"/>
        <w:rPr>
          <w:rFonts w:ascii="Arial" w:cs="Arial" w:eastAsia="Arial" w:hAnsi="Arial"/>
          <w:sz w:val="16"/>
          <w:szCs w:val="16"/>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names of the Borrower;</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country of domicile of the Borrower;</w:t>
      </w:r>
    </w:p>
    <w:p>
      <w:pPr>
        <w:spacing w:after="0" w:line="219" w:lineRule="exact"/>
        <w:rPr>
          <w:rFonts w:ascii="Arial" w:cs="Arial" w:eastAsia="Arial" w:hAnsi="Arial"/>
          <w:sz w:val="18"/>
          <w:szCs w:val="18"/>
          <w:color w:val="auto"/>
        </w:rPr>
      </w:pPr>
    </w:p>
    <w:p>
      <w:pPr>
        <w:ind w:left="1860" w:hanging="605"/>
        <w:spacing w:after="0"/>
        <w:tabs>
          <w:tab w:leader="none" w:pos="18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place of incorporation of the Borrower;</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19" w:lineRule="exact"/>
        <w:rPr>
          <w:rFonts w:ascii="Arial" w:cs="Arial" w:eastAsia="Arial" w:hAnsi="Arial"/>
          <w:sz w:val="18"/>
          <w:szCs w:val="18"/>
          <w:color w:val="auto"/>
        </w:rPr>
      </w:pPr>
    </w:p>
    <w:p>
      <w:pPr>
        <w:ind w:left="1820" w:hanging="565"/>
        <w:spacing w:after="0"/>
        <w:tabs>
          <w:tab w:leader="none" w:pos="18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Clause 38 (Governing Law);</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names of the Agent and the MLABs;</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amounts of, and names of, the Facility (and any tranches);</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19" w:lineRule="exact"/>
        <w:rPr>
          <w:rFonts w:ascii="Arial" w:cs="Arial" w:eastAsia="Arial" w:hAnsi="Arial"/>
          <w:sz w:val="18"/>
          <w:szCs w:val="18"/>
          <w:color w:val="auto"/>
        </w:rPr>
      </w:pPr>
    </w:p>
    <w:p>
      <w:pPr>
        <w:ind w:left="1820" w:hanging="565"/>
        <w:spacing w:after="0"/>
        <w:tabs>
          <w:tab w:leader="none" w:pos="18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type of the Facility;</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Final Repayment Date for the Facility;</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 above; and</w:t>
      </w:r>
    </w:p>
    <w:p>
      <w:pPr>
        <w:spacing w:after="0" w:line="219" w:lineRule="exact"/>
        <w:rPr>
          <w:rFonts w:ascii="Arial" w:cs="Arial" w:eastAsia="Arial" w:hAnsi="Arial"/>
          <w:sz w:val="18"/>
          <w:szCs w:val="18"/>
          <w:color w:val="auto"/>
        </w:rPr>
      </w:pPr>
    </w:p>
    <w:p>
      <w:pPr>
        <w:ind w:left="1820" w:hanging="565"/>
        <w:spacing w:after="0"/>
        <w:tabs>
          <w:tab w:leader="none" w:pos="18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19" w:lineRule="exact"/>
        <w:rPr>
          <w:sz w:val="20"/>
          <w:szCs w:val="20"/>
          <w:color w:val="auto"/>
        </w:rPr>
      </w:pPr>
    </w:p>
    <w:p>
      <w:pPr>
        <w:ind w:left="1260" w:right="40" w:hanging="559"/>
        <w:spacing w:after="0" w:line="257" w:lineRule="auto"/>
        <w:tabs>
          <w:tab w:leader="none" w:pos="127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the Borrower by a numbering service provider and the information associated with each such number may be disclosed to users of its services in accordance with the standard terms and conditions of that numbering service provider.</w:t>
      </w:r>
    </w:p>
    <w:p>
      <w:pPr>
        <w:spacing w:after="0" w:line="187" w:lineRule="exact"/>
        <w:rPr>
          <w:rFonts w:ascii="Arial" w:cs="Arial" w:eastAsia="Arial" w:hAnsi="Arial"/>
          <w:sz w:val="18"/>
          <w:szCs w:val="18"/>
          <w:color w:val="auto"/>
        </w:rPr>
      </w:pPr>
    </w:p>
    <w:p>
      <w:pPr>
        <w:ind w:left="1260" w:right="380" w:hanging="559"/>
        <w:spacing w:after="0" w:line="267" w:lineRule="auto"/>
        <w:tabs>
          <w:tab w:leader="none" w:pos="127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Borrower represents that none of the information set out in paragraphs (a)(i) to (a)(xiv) above is, nor will at any time be, unpublished price-sensitive information.</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219" w:lineRule="exact"/>
        <w:rPr>
          <w:rFonts w:ascii="Arial" w:cs="Arial" w:eastAsia="Arial" w:hAnsi="Arial"/>
          <w:sz w:val="18"/>
          <w:szCs w:val="18"/>
          <w:color w:val="auto"/>
        </w:rPr>
      </w:pPr>
    </w:p>
    <w:p>
      <w:pPr>
        <w:ind w:left="5620" w:hanging="4365"/>
        <w:spacing w:after="0" w:line="514" w:lineRule="auto"/>
        <w:tabs>
          <w:tab w:leader="none" w:pos="183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the Borrower; and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26948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57" w:name="page258"/>
    <w:bookmarkEnd w:id="257"/>
    <w:p>
      <w:pPr>
        <w:ind w:left="1800" w:right="200" w:hanging="545"/>
        <w:spacing w:after="0" w:line="267" w:lineRule="auto"/>
        <w:tabs>
          <w:tab w:leader="none" w:pos="183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the Borrower by such numbering service provider.</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4"/>
          <w:szCs w:val="14"/>
          <w:b w:val="1"/>
          <w:bCs w:val="1"/>
          <w:color w:val="auto"/>
        </w:rPr>
        <w:t>Entire agreement</w:t>
      </w:r>
    </w:p>
    <w:p>
      <w:pPr>
        <w:spacing w:after="0" w:line="225" w:lineRule="exact"/>
        <w:rPr>
          <w:sz w:val="20"/>
          <w:szCs w:val="20"/>
          <w:color w:val="auto"/>
        </w:rPr>
      </w:pPr>
    </w:p>
    <w:p>
      <w:pPr>
        <w:ind w:left="700" w:right="100"/>
        <w:spacing w:after="0" w:line="411" w:lineRule="auto"/>
        <w:rPr>
          <w:sz w:val="20"/>
          <w:szCs w:val="20"/>
          <w:color w:val="auto"/>
        </w:rPr>
      </w:pPr>
      <w:r>
        <w:rPr>
          <w:rFonts w:ascii="Arial" w:cs="Arial" w:eastAsia="Arial" w:hAnsi="Arial"/>
          <w:sz w:val="14"/>
          <w:szCs w:val="14"/>
          <w:color w:val="auto"/>
        </w:rPr>
        <w:t>This Clause 32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b w:val="1"/>
          <w:bCs w:val="1"/>
          <w:color w:val="auto"/>
        </w:rPr>
        <w:t>Inside information</w:t>
      </w:r>
    </w:p>
    <w:p>
      <w:pPr>
        <w:spacing w:after="0" w:line="225"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4"/>
          <w:szCs w:val="14"/>
          <w:b w:val="1"/>
          <w:bCs w:val="1"/>
          <w:color w:val="auto"/>
        </w:rPr>
        <w:t>Notification of disclosure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219" w:lineRule="exact"/>
        <w:rPr>
          <w:sz w:val="20"/>
          <w:szCs w:val="20"/>
          <w:color w:val="auto"/>
        </w:rPr>
      </w:pPr>
    </w:p>
    <w:p>
      <w:pPr>
        <w:ind w:left="1260" w:right="120" w:hanging="559"/>
        <w:spacing w:after="0" w:line="257" w:lineRule="auto"/>
        <w:tabs>
          <w:tab w:leader="none" w:pos="126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32.2 (Disclosure of Confidential Information) except where such disclosure is made to any of the persons referred to in that paragraph during the ordinary course of its supervisory or regulatory function; and</w:t>
      </w:r>
    </w:p>
    <w:p>
      <w:pPr>
        <w:spacing w:after="0" w:line="187" w:lineRule="exact"/>
        <w:rPr>
          <w:rFonts w:ascii="Arial" w:cs="Arial" w:eastAsia="Arial" w:hAnsi="Arial"/>
          <w:sz w:val="18"/>
          <w:szCs w:val="18"/>
          <w:color w:val="auto"/>
        </w:rPr>
      </w:pPr>
    </w:p>
    <w:p>
      <w:pPr>
        <w:ind w:left="1260" w:hanging="559"/>
        <w:spacing w:after="0"/>
        <w:tabs>
          <w:tab w:leader="none" w:pos="12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32.</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4"/>
          <w:szCs w:val="14"/>
          <w:b w:val="1"/>
          <w:bCs w:val="1"/>
          <w:color w:val="auto"/>
        </w:rPr>
        <w:t>Continuing obligations</w:t>
      </w:r>
    </w:p>
    <w:p>
      <w:pPr>
        <w:spacing w:after="0" w:line="225" w:lineRule="exact"/>
        <w:rPr>
          <w:sz w:val="20"/>
          <w:szCs w:val="20"/>
          <w:color w:val="auto"/>
        </w:rPr>
      </w:pPr>
    </w:p>
    <w:p>
      <w:pPr>
        <w:ind w:left="700" w:right="160"/>
        <w:spacing w:after="0" w:line="267" w:lineRule="auto"/>
        <w:rPr>
          <w:sz w:val="20"/>
          <w:szCs w:val="20"/>
          <w:color w:val="auto"/>
        </w:rPr>
      </w:pPr>
      <w:r>
        <w:rPr>
          <w:rFonts w:ascii="Arial" w:cs="Arial" w:eastAsia="Arial" w:hAnsi="Arial"/>
          <w:sz w:val="18"/>
          <w:szCs w:val="18"/>
          <w:color w:val="auto"/>
        </w:rPr>
        <w:t>The obligations in this Clause 32 are continuing and, in particular, shall survive and remain binding on each Finance Party for a period of 12 months from the earlier of:</w:t>
      </w:r>
    </w:p>
    <w:p>
      <w:pPr>
        <w:spacing w:after="0" w:line="179" w:lineRule="exact"/>
        <w:rPr>
          <w:sz w:val="20"/>
          <w:szCs w:val="20"/>
          <w:color w:val="auto"/>
        </w:rPr>
      </w:pPr>
    </w:p>
    <w:p>
      <w:pPr>
        <w:ind w:left="1260" w:right="1020" w:hanging="559"/>
        <w:spacing w:after="0" w:line="267" w:lineRule="auto"/>
        <w:tabs>
          <w:tab w:leader="none" w:pos="1263"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 under or in connection with this agreement have been paid in full and all Commitments have been cancelled or otherwise cease to be available; and</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CONFIDENTIALITY OF FUNDING RATES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4"/>
          <w:szCs w:val="14"/>
          <w:b w:val="1"/>
          <w:bCs w:val="1"/>
          <w:color w:val="auto"/>
        </w:rPr>
        <w:t>Confidentiality and disclosure</w:t>
      </w:r>
    </w:p>
    <w:p>
      <w:pPr>
        <w:spacing w:after="0" w:line="225" w:lineRule="exact"/>
        <w:rPr>
          <w:sz w:val="20"/>
          <w:szCs w:val="20"/>
          <w:color w:val="auto"/>
        </w:rPr>
      </w:pPr>
    </w:p>
    <w:p>
      <w:pPr>
        <w:ind w:left="1260" w:right="320" w:hanging="559"/>
        <w:spacing w:after="0" w:line="267" w:lineRule="auto"/>
        <w:tabs>
          <w:tab w:leader="none" w:pos="1263"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Agent and the Borrower agree to keep each Funding Rate confidential and not to disclose it to anyone, save to the extent permitted by paragraphs (b) and (c) below.</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any Funding Rate to the Borrower pursuant to Clause 8.4 (Notification of rates of interest); and</w:t>
      </w:r>
    </w:p>
    <w:p>
      <w:pPr>
        <w:spacing w:after="0" w:line="219" w:lineRule="exact"/>
        <w:rPr>
          <w:rFonts w:ascii="Arial" w:cs="Arial" w:eastAsia="Arial" w:hAnsi="Arial"/>
          <w:sz w:val="18"/>
          <w:szCs w:val="18"/>
          <w:color w:val="auto"/>
        </w:rPr>
      </w:pPr>
    </w:p>
    <w:p>
      <w:pPr>
        <w:ind w:left="1800" w:hanging="545"/>
        <w:spacing w:after="0" w:line="257" w:lineRule="auto"/>
        <w:tabs>
          <w:tab w:leader="none" w:pos="1836"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58" w:name="page259"/>
    <w:bookmarkEnd w:id="258"/>
    <w:p>
      <w:pPr>
        <w:ind w:left="1800" w:right="380"/>
        <w:spacing w:after="0" w:line="257" w:lineRule="auto"/>
        <w:rPr>
          <w:sz w:val="20"/>
          <w:szCs w:val="20"/>
          <w:color w:val="auto"/>
        </w:rPr>
      </w:pPr>
      <w:r>
        <w:rPr>
          <w:rFonts w:ascii="Arial" w:cs="Arial" w:eastAsia="Arial" w:hAnsi="Arial"/>
          <w:sz w:val="18"/>
          <w:szCs w:val="18"/>
          <w:color w:val="auto"/>
        </w:rPr>
        <w:t>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88" w:lineRule="exact"/>
        <w:rPr>
          <w:sz w:val="20"/>
          <w:szCs w:val="20"/>
          <w:color w:val="auto"/>
        </w:rPr>
      </w:pPr>
    </w:p>
    <w:p>
      <w:pPr>
        <w:ind w:left="1280" w:hanging="579"/>
        <w:spacing w:after="0"/>
        <w:tabs>
          <w:tab w:leader="none" w:pos="12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Agent may disclose any Funding Rate, and the Borrower may disclose any Funding Rate, to:</w:t>
      </w:r>
    </w:p>
    <w:p>
      <w:pPr>
        <w:spacing w:after="0" w:line="219" w:lineRule="exact"/>
        <w:rPr>
          <w:rFonts w:ascii="Arial" w:cs="Arial" w:eastAsia="Arial" w:hAnsi="Arial"/>
          <w:sz w:val="18"/>
          <w:szCs w:val="18"/>
          <w:color w:val="auto"/>
        </w:rPr>
      </w:pPr>
    </w:p>
    <w:p>
      <w:pPr>
        <w:ind w:left="1800" w:right="120" w:hanging="545"/>
        <w:spacing w:after="0" w:line="252" w:lineRule="auto"/>
        <w:tabs>
          <w:tab w:leader="none" w:pos="1827"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92" w:lineRule="exact"/>
        <w:rPr>
          <w:rFonts w:ascii="Arial" w:cs="Arial" w:eastAsia="Arial" w:hAnsi="Arial"/>
          <w:sz w:val="18"/>
          <w:szCs w:val="18"/>
          <w:color w:val="auto"/>
        </w:rPr>
      </w:pPr>
    </w:p>
    <w:p>
      <w:pPr>
        <w:ind w:left="1800" w:right="100" w:hanging="545"/>
        <w:spacing w:after="0" w:line="270" w:lineRule="auto"/>
        <w:tabs>
          <w:tab w:leader="none" w:pos="1836" w:val="left"/>
        </w:tabs>
        <w:numPr>
          <w:ilvl w:val="1"/>
          <w:numId w:val="420"/>
        </w:numPr>
        <w:rPr>
          <w:rFonts w:ascii="Arial" w:cs="Arial" w:eastAsia="Arial" w:hAnsi="Arial"/>
          <w:sz w:val="17"/>
          <w:szCs w:val="17"/>
          <w:color w:val="auto"/>
        </w:rPr>
      </w:pPr>
      <w:r>
        <w:rPr>
          <w:rFonts w:ascii="Arial" w:cs="Arial" w:eastAsia="Arial" w:hAnsi="Arial"/>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179" w:lineRule="exact"/>
        <w:rPr>
          <w:rFonts w:ascii="Arial" w:cs="Arial" w:eastAsia="Arial" w:hAnsi="Arial"/>
          <w:sz w:val="17"/>
          <w:szCs w:val="17"/>
          <w:color w:val="auto"/>
        </w:rPr>
      </w:pPr>
    </w:p>
    <w:p>
      <w:pPr>
        <w:ind w:left="1800" w:right="160" w:hanging="545"/>
        <w:spacing w:after="0" w:line="295" w:lineRule="auto"/>
        <w:tabs>
          <w:tab w:leader="none" w:pos="1845" w:val="left"/>
        </w:tabs>
        <w:numPr>
          <w:ilvl w:val="1"/>
          <w:numId w:val="420"/>
        </w:numPr>
        <w:rPr>
          <w:rFonts w:ascii="Arial" w:cs="Arial" w:eastAsia="Arial" w:hAnsi="Arial"/>
          <w:sz w:val="16"/>
          <w:szCs w:val="16"/>
          <w:color w:val="auto"/>
        </w:rPr>
      </w:pPr>
      <w:r>
        <w:rPr>
          <w:rFonts w:ascii="Arial" w:cs="Arial" w:eastAsia="Arial" w:hAnsi="Arial"/>
          <w:sz w:val="16"/>
          <w:szCs w:val="16"/>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160" w:lineRule="exact"/>
        <w:rPr>
          <w:rFonts w:ascii="Arial" w:cs="Arial" w:eastAsia="Arial" w:hAnsi="Arial"/>
          <w:sz w:val="16"/>
          <w:szCs w:val="16"/>
          <w:color w:val="auto"/>
        </w:rPr>
      </w:pPr>
    </w:p>
    <w:p>
      <w:pPr>
        <w:ind w:left="1840" w:hanging="585"/>
        <w:spacing w:after="0"/>
        <w:tabs>
          <w:tab w:leader="none" w:pos="184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4"/>
          <w:szCs w:val="14"/>
          <w:b w:val="1"/>
          <w:bCs w:val="1"/>
          <w:color w:val="auto"/>
        </w:rPr>
        <w:t>Related obligations</w:t>
      </w:r>
    </w:p>
    <w:p>
      <w:pPr>
        <w:spacing w:after="0" w:line="225" w:lineRule="exact"/>
        <w:rPr>
          <w:sz w:val="20"/>
          <w:szCs w:val="20"/>
          <w:color w:val="auto"/>
        </w:rPr>
      </w:pPr>
    </w:p>
    <w:p>
      <w:pPr>
        <w:ind w:left="1260" w:hanging="559"/>
        <w:spacing w:after="0" w:line="257" w:lineRule="auto"/>
        <w:tabs>
          <w:tab w:leader="none" w:pos="1263"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p>
      <w:pPr>
        <w:spacing w:after="0" w:line="187" w:lineRule="exact"/>
        <w:rPr>
          <w:rFonts w:ascii="Arial" w:cs="Arial" w:eastAsia="Arial" w:hAnsi="Arial"/>
          <w:sz w:val="18"/>
          <w:szCs w:val="18"/>
          <w:color w:val="auto"/>
        </w:rPr>
      </w:pPr>
    </w:p>
    <w:p>
      <w:pPr>
        <w:ind w:left="1260" w:hanging="559"/>
        <w:spacing w:after="0"/>
        <w:tabs>
          <w:tab w:leader="none" w:pos="12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Agent and the Borrower agree (to the extent permitted by law and regulation) to inform the relevant Lender:</w:t>
      </w:r>
    </w:p>
    <w:p>
      <w:pPr>
        <w:spacing w:after="0" w:line="219" w:lineRule="exact"/>
        <w:rPr>
          <w:rFonts w:ascii="Arial" w:cs="Arial" w:eastAsia="Arial" w:hAnsi="Arial"/>
          <w:sz w:val="18"/>
          <w:szCs w:val="18"/>
          <w:color w:val="auto"/>
        </w:rPr>
      </w:pPr>
    </w:p>
    <w:p>
      <w:pPr>
        <w:ind w:left="1800" w:hanging="545"/>
        <w:spacing w:after="0" w:line="257" w:lineRule="auto"/>
        <w:tabs>
          <w:tab w:leader="none" w:pos="182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paragraph (c)(ii) of Clause 33.1 (Confidentiality and disclosure) except where such disclosure is made to any of the persons referred to in that paragraph during the ordinary course of its supervisory or regulatory function; and</w:t>
      </w:r>
    </w:p>
    <w:p>
      <w:pPr>
        <w:spacing w:after="0" w:line="187" w:lineRule="exact"/>
        <w:rPr>
          <w:rFonts w:ascii="Arial" w:cs="Arial" w:eastAsia="Arial" w:hAnsi="Arial"/>
          <w:sz w:val="18"/>
          <w:szCs w:val="18"/>
          <w:color w:val="auto"/>
        </w:rPr>
      </w:pPr>
    </w:p>
    <w:p>
      <w:pPr>
        <w:ind w:left="1840" w:hanging="585"/>
        <w:spacing w:after="0"/>
        <w:tabs>
          <w:tab w:leader="none" w:pos="18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59" w:name="page260"/>
    <w:bookmarkEnd w:id="259"/>
    <w:p>
      <w:pPr>
        <w:spacing w:after="0"/>
        <w:tabs>
          <w:tab w:leader="none" w:pos="68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b w:val="1"/>
          <w:bCs w:val="1"/>
          <w:color w:val="auto"/>
        </w:rPr>
        <w:t>No Event of Default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 Event of Default will occur under Clause 21.3 (Other obligations) by reason only of the Borrower’s failure to comply with this Clause 33.</w:t>
      </w:r>
    </w:p>
    <w:p>
      <w:pPr>
        <w:spacing w:after="0" w:line="213" w:lineRule="exact"/>
        <w:rPr>
          <w:sz w:val="20"/>
          <w:szCs w:val="20"/>
          <w:color w:val="auto"/>
        </w:rPr>
      </w:pPr>
    </w:p>
    <w:p>
      <w:pPr>
        <w:ind w:left="700" w:hanging="693"/>
        <w:spacing w:after="0"/>
        <w:tabs>
          <w:tab w:leader="none" w:pos="700"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RESTRICTIONS ON DEBT PURCHASE TRANSACTIONS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4"/>
          <w:szCs w:val="14"/>
          <w:b w:val="1"/>
          <w:bCs w:val="1"/>
          <w:color w:val="auto"/>
        </w:rPr>
        <w:t>Prohibition on Debt Purchase Transactions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Borrower shall not, and the Borrower shall procure that (except with the prior written consent of the Agent (acting on the instructions of all of the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Lenders)) no member of the Group or any Affiliate of any member of the Group shall:</w:t>
      </w:r>
    </w:p>
    <w:p>
      <w:pPr>
        <w:spacing w:after="0" w:line="208" w:lineRule="exact"/>
        <w:rPr>
          <w:sz w:val="20"/>
          <w:szCs w:val="20"/>
          <w:color w:val="auto"/>
        </w:rPr>
      </w:pPr>
    </w:p>
    <w:p>
      <w:pPr>
        <w:ind w:left="1260" w:hanging="559"/>
        <w:spacing w:after="0"/>
        <w:tabs>
          <w:tab w:leader="none" w:pos="12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enter into any Debt Purchase Transaction; or</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be:</w:t>
      </w:r>
    </w:p>
    <w:p>
      <w:pPr>
        <w:spacing w:after="0" w:line="219" w:lineRule="exact"/>
        <w:rPr>
          <w:rFonts w:ascii="Arial" w:cs="Arial" w:eastAsia="Arial" w:hAnsi="Arial"/>
          <w:sz w:val="18"/>
          <w:szCs w:val="18"/>
          <w:color w:val="auto"/>
        </w:rPr>
      </w:pPr>
    </w:p>
    <w:p>
      <w:pPr>
        <w:ind w:left="1840" w:hanging="585"/>
        <w:spacing w:after="0"/>
        <w:tabs>
          <w:tab w:leader="none" w:pos="184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Lender; or</w:t>
      </w:r>
    </w:p>
    <w:p>
      <w:pPr>
        <w:spacing w:after="0" w:line="219" w:lineRule="exact"/>
        <w:rPr>
          <w:rFonts w:ascii="Arial" w:cs="Arial" w:eastAsia="Arial" w:hAnsi="Arial"/>
          <w:sz w:val="18"/>
          <w:szCs w:val="18"/>
          <w:color w:val="auto"/>
        </w:rPr>
      </w:pPr>
    </w:p>
    <w:p>
      <w:pPr>
        <w:ind w:left="1800" w:right="520" w:hanging="545"/>
        <w:spacing w:after="0" w:line="267" w:lineRule="auto"/>
        <w:tabs>
          <w:tab w:leader="none" w:pos="1836"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party to a Debt Purchase Transaction of the type referred to in any of paragraphs (b) or (c) of the definition of “Debt Purchase Transaction”.</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4"/>
          <w:szCs w:val="14"/>
          <w:b w:val="1"/>
          <w:bCs w:val="1"/>
          <w:color w:val="auto"/>
        </w:rPr>
        <w:t>Notification to other Lenders of Debt Purchase Transactions</w:t>
      </w:r>
    </w:p>
    <w:p>
      <w:pPr>
        <w:spacing w:after="0" w:line="225" w:lineRule="exact"/>
        <w:rPr>
          <w:sz w:val="20"/>
          <w:szCs w:val="20"/>
          <w:color w:val="auto"/>
        </w:rPr>
      </w:pPr>
    </w:p>
    <w:p>
      <w:pPr>
        <w:ind w:left="700" w:right="260"/>
        <w:spacing w:after="0" w:line="291" w:lineRule="auto"/>
        <w:rPr>
          <w:sz w:val="20"/>
          <w:szCs w:val="20"/>
          <w:color w:val="auto"/>
        </w:rPr>
      </w:pPr>
      <w:r>
        <w:rPr>
          <w:rFonts w:ascii="Arial" w:cs="Arial" w:eastAsia="Arial" w:hAnsi="Arial"/>
          <w:sz w:val="16"/>
          <w:szCs w:val="16"/>
          <w:color w:val="auto"/>
        </w:rPr>
        <w:t>Without prejudice to Clause 34.1 (Prohibition on Debt Purchase Transactions) and Clause 22.12 (Assignments and transfers to members of the Group), any member of the Group or any Affiliate of any member of the Group which is or becomes a Lender or which enters into a Debt Purchase Transaction as a purchaser, an acquiror or a participant (or similar capacity) shall, by 5.00 pm on the Business Day following the day on which it entered into that Debt Purchase Transaction, notify the Agent of the extent of the Commitment(s), any Loan or any amount(s) outstanding to which that Debt Purchase Transaction relates. The Agent shall promptly disclose such information to the Lenders.</w:t>
      </w:r>
    </w:p>
    <w:p>
      <w:pPr>
        <w:spacing w:after="0" w:line="157" w:lineRule="exact"/>
        <w:rPr>
          <w:sz w:val="20"/>
          <w:szCs w:val="20"/>
          <w:color w:val="auto"/>
        </w:rPr>
      </w:pPr>
    </w:p>
    <w:p>
      <w:pPr>
        <w:ind w:left="700" w:hanging="693"/>
        <w:spacing w:after="0"/>
        <w:tabs>
          <w:tab w:leader="none" w:pos="70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225" w:lineRule="exact"/>
        <w:rPr>
          <w:rFonts w:ascii="Arial" w:cs="Arial" w:eastAsia="Arial" w:hAnsi="Arial"/>
          <w:sz w:val="18"/>
          <w:szCs w:val="18"/>
          <w:color w:val="auto"/>
        </w:rPr>
      </w:pPr>
    </w:p>
    <w:p>
      <w:pPr>
        <w:ind w:left="700"/>
        <w:spacing w:after="0" w:line="267" w:lineRule="auto"/>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72" w:lineRule="exact"/>
        <w:rPr>
          <w:rFonts w:ascii="Arial" w:cs="Arial" w:eastAsia="Arial" w:hAnsi="Arial"/>
          <w:sz w:val="18"/>
          <w:szCs w:val="18"/>
          <w:color w:val="auto"/>
        </w:rPr>
      </w:pPr>
    </w:p>
    <w:p>
      <w:pPr>
        <w:ind w:left="700" w:hanging="693"/>
        <w:spacing w:after="0"/>
        <w:tabs>
          <w:tab w:leader="none" w:pos="70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U.S.A. PATRIOT ACT</w:t>
      </w:r>
    </w:p>
    <w:p>
      <w:pPr>
        <w:spacing w:after="0" w:line="225" w:lineRule="exact"/>
        <w:rPr>
          <w:rFonts w:ascii="Arial" w:cs="Arial" w:eastAsia="Arial" w:hAnsi="Arial"/>
          <w:sz w:val="18"/>
          <w:szCs w:val="18"/>
          <w:color w:val="auto"/>
        </w:rPr>
      </w:pPr>
    </w:p>
    <w:p>
      <w:pPr>
        <w:ind w:left="700" w:right="300"/>
        <w:spacing w:after="0" w:line="257" w:lineRule="auto"/>
        <w:rPr>
          <w:rFonts w:ascii="Arial" w:cs="Arial" w:eastAsia="Arial" w:hAnsi="Arial"/>
          <w:sz w:val="18"/>
          <w:szCs w:val="18"/>
          <w:color w:val="auto"/>
        </w:rPr>
      </w:pPr>
      <w:r>
        <w:rPr>
          <w:rFonts w:ascii="Arial" w:cs="Arial" w:eastAsia="Arial" w:hAnsi="Arial"/>
          <w:sz w:val="18"/>
          <w:szCs w:val="18"/>
          <w:color w:val="auto"/>
        </w:rPr>
        <w:t>Each Lender hereby notifies the Borrower that pursuant to the requirements of the U.S.A. Patriot Act, such Lender is required to obtain, verify and record information that identifies the Borrower, which information includes the name and address of the Borrower and other information that will allow such Lender to identify the Borrower in accordance with the U.S.A. Patriot Act.</w:t>
      </w:r>
    </w:p>
    <w:p>
      <w:pPr>
        <w:spacing w:after="0" w:line="181" w:lineRule="exact"/>
        <w:rPr>
          <w:rFonts w:ascii="Arial" w:cs="Arial" w:eastAsia="Arial" w:hAnsi="Arial"/>
          <w:sz w:val="18"/>
          <w:szCs w:val="18"/>
          <w:color w:val="auto"/>
        </w:rPr>
      </w:pPr>
    </w:p>
    <w:p>
      <w:pPr>
        <w:ind w:left="700" w:hanging="693"/>
        <w:spacing w:after="0"/>
        <w:tabs>
          <w:tab w:leader="none" w:pos="70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BAIL-IN</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b w:val="1"/>
          <w:bCs w:val="1"/>
          <w:color w:val="auto"/>
        </w:rPr>
        <w:t>Contractual recognition of bail-in</w:t>
      </w:r>
    </w:p>
    <w:p>
      <w:pPr>
        <w:spacing w:after="0" w:line="225" w:lineRule="exact"/>
        <w:rPr>
          <w:sz w:val="20"/>
          <w:szCs w:val="20"/>
          <w:color w:val="auto"/>
        </w:rPr>
      </w:pPr>
    </w:p>
    <w:p>
      <w:pPr>
        <w:jc w:val="both"/>
        <w:ind w:left="700" w:right="400"/>
        <w:spacing w:after="0" w:line="304" w:lineRule="auto"/>
        <w:rPr>
          <w:sz w:val="20"/>
          <w:szCs w:val="20"/>
          <w:color w:val="auto"/>
        </w:rPr>
      </w:pPr>
      <w:r>
        <w:rPr>
          <w:rFonts w:ascii="Arial" w:cs="Arial" w:eastAsia="Arial" w:hAnsi="Arial"/>
          <w:sz w:val="16"/>
          <w:szCs w:val="16"/>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53" w:lineRule="exact"/>
        <w:rPr>
          <w:sz w:val="20"/>
          <w:szCs w:val="20"/>
          <w:color w:val="auto"/>
        </w:rPr>
      </w:pPr>
    </w:p>
    <w:p>
      <w:pPr>
        <w:ind w:left="5620" w:right="4380" w:hanging="4919"/>
        <w:spacing w:after="0" w:line="514" w:lineRule="auto"/>
        <w:tabs>
          <w:tab w:leader="none" w:pos="12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26948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0" w:name="page261"/>
    <w:bookmarkEnd w:id="260"/>
    <w:p>
      <w:pPr>
        <w:ind w:left="1800" w:hanging="545"/>
        <w:spacing w:after="0" w:line="267" w:lineRule="auto"/>
        <w:tabs>
          <w:tab w:leader="none" w:pos="182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8" w:lineRule="exact"/>
        <w:rPr>
          <w:rFonts w:ascii="Arial" w:cs="Arial" w:eastAsia="Arial" w:hAnsi="Arial"/>
          <w:sz w:val="18"/>
          <w:szCs w:val="18"/>
          <w:color w:val="auto"/>
        </w:rPr>
      </w:pPr>
    </w:p>
    <w:p>
      <w:pPr>
        <w:ind w:left="1800" w:right="140" w:hanging="545"/>
        <w:spacing w:after="0" w:line="267" w:lineRule="auto"/>
        <w:tabs>
          <w:tab w:leader="none" w:pos="18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78" w:lineRule="exact"/>
        <w:rPr>
          <w:rFonts w:ascii="Arial" w:cs="Arial" w:eastAsia="Arial" w:hAnsi="Arial"/>
          <w:sz w:val="18"/>
          <w:szCs w:val="18"/>
          <w:color w:val="auto"/>
        </w:rPr>
      </w:pPr>
    </w:p>
    <w:p>
      <w:pPr>
        <w:ind w:left="1860" w:hanging="605"/>
        <w:spacing w:after="0"/>
        <w:tabs>
          <w:tab w:leader="none" w:pos="18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19" w:lineRule="exact"/>
        <w:rPr>
          <w:sz w:val="20"/>
          <w:szCs w:val="20"/>
          <w:color w:val="auto"/>
        </w:rPr>
      </w:pPr>
    </w:p>
    <w:p>
      <w:pPr>
        <w:ind w:right="180" w:firstLine="701"/>
        <w:spacing w:after="0" w:line="494" w:lineRule="auto"/>
        <w:tabs>
          <w:tab w:leader="none" w:pos="1261"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a variation of any term of any Finance Document to the extent necessary to give effect to any Bail-In Action in relation to any such liability. 37.2 </w:t>
      </w:r>
      <w:r>
        <w:rPr>
          <w:rFonts w:ascii="Arial" w:cs="Arial" w:eastAsia="Arial" w:hAnsi="Arial"/>
          <w:sz w:val="18"/>
          <w:szCs w:val="18"/>
          <w:b w:val="1"/>
          <w:bCs w:val="1"/>
          <w:color w:val="auto"/>
        </w:rPr>
        <w:t>Bail-In definitions</w:t>
      </w:r>
    </w:p>
    <w:p>
      <w:pPr>
        <w:ind w:left="700"/>
        <w:spacing w:after="0"/>
        <w:rPr>
          <w:sz w:val="20"/>
          <w:szCs w:val="20"/>
          <w:color w:val="auto"/>
        </w:rPr>
      </w:pPr>
      <w:r>
        <w:rPr>
          <w:rFonts w:ascii="Arial" w:cs="Arial" w:eastAsia="Arial" w:hAnsi="Arial"/>
          <w:sz w:val="18"/>
          <w:szCs w:val="18"/>
          <w:color w:val="auto"/>
        </w:rPr>
        <w:t>In this Clause 37:</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19" w:lineRule="exact"/>
        <w:rPr>
          <w:sz w:val="20"/>
          <w:szCs w:val="20"/>
          <w:color w:val="auto"/>
        </w:rPr>
      </w:pPr>
    </w:p>
    <w:p>
      <w:pPr>
        <w:ind w:left="700" w:right="120"/>
        <w:spacing w:after="0" w:line="260" w:lineRule="auto"/>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 in relation to an EEA Member Country which has implemented, or which at any time implements, Article 55 of Directive</w:t>
      </w:r>
      <w:r>
        <w:rPr>
          <w:rFonts w:ascii="Arial" w:cs="Arial" w:eastAsia="Arial" w:hAnsi="Arial"/>
          <w:sz w:val="18"/>
          <w:szCs w:val="18"/>
          <w:b w:val="1"/>
          <w:bCs w:val="1"/>
          <w:color w:val="auto"/>
        </w:rPr>
        <w:t xml:space="preserve"> </w:t>
      </w:r>
      <w:r>
        <w:rPr>
          <w:rFonts w:ascii="Arial" w:cs="Arial" w:eastAsia="Arial" w:hAnsi="Arial"/>
          <w:sz w:val="18"/>
          <w:szCs w:val="18"/>
          <w:color w:val="auto"/>
        </w:rPr>
        <w:t>2014/59/EU establishing a framework for the recovery and resolution of credit institutions and investment firms, the relevant implementing law or regulation as described in the EU Bail-In Legislation Schedule from time to time.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19" w:lineRule="exact"/>
        <w:rPr>
          <w:sz w:val="20"/>
          <w:szCs w:val="20"/>
          <w:color w:val="auto"/>
        </w:rPr>
      </w:pPr>
    </w:p>
    <w:p>
      <w:pPr>
        <w:ind w:left="700" w:right="260"/>
        <w:spacing w:after="0" w:line="274"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 successor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19" w:lineRule="exact"/>
        <w:rPr>
          <w:sz w:val="20"/>
          <w:szCs w:val="20"/>
          <w:color w:val="auto"/>
        </w:rPr>
      </w:pPr>
    </w:p>
    <w:p>
      <w:pPr>
        <w:ind w:left="700" w:right="300"/>
        <w:spacing w:after="0" w:line="304" w:lineRule="auto"/>
        <w:rPr>
          <w:sz w:val="20"/>
          <w:szCs w:val="20"/>
          <w:color w:val="auto"/>
        </w:rPr>
      </w:pPr>
      <w:r>
        <w:rPr>
          <w:rFonts w:ascii="Arial" w:cs="Arial" w:eastAsia="Arial" w:hAnsi="Arial"/>
          <w:sz w:val="17"/>
          <w:szCs w:val="17"/>
          <w:b w:val="1"/>
          <w:bCs w:val="1"/>
          <w:color w:val="auto"/>
        </w:rPr>
        <w:t xml:space="preserve">Write-down and Conversion Powers </w:t>
      </w:r>
      <w:r>
        <w:rPr>
          <w:rFonts w:ascii="Arial" w:cs="Arial" w:eastAsia="Arial" w:hAnsi="Arial"/>
          <w:sz w:val="17"/>
          <w:szCs w:val="17"/>
          <w:color w:val="auto"/>
        </w:rPr>
        <w:t>means, in relation to any Bail-In Legislation described in the EU Bail-In Legislation Schedule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the powers described as such in relation to that Bail-In Legislation in the EU Bail-In Legislation Schedule.</w:t>
      </w:r>
    </w:p>
    <w:p>
      <w:pPr>
        <w:spacing w:after="0" w:line="144" w:lineRule="exact"/>
        <w:rPr>
          <w:sz w:val="20"/>
          <w:szCs w:val="20"/>
          <w:color w:val="auto"/>
        </w:rPr>
      </w:pPr>
    </w:p>
    <w:p>
      <w:pPr>
        <w:ind w:left="700" w:hanging="693"/>
        <w:spacing w:after="0"/>
        <w:tabs>
          <w:tab w:leader="none" w:pos="700"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2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This agreement is governed by the laws of Hong Kong.</w:t>
      </w:r>
    </w:p>
    <w:p>
      <w:pPr>
        <w:spacing w:after="0" w:line="213" w:lineRule="exact"/>
        <w:rPr>
          <w:rFonts w:ascii="Arial" w:cs="Arial" w:eastAsia="Arial" w:hAnsi="Arial"/>
          <w:sz w:val="18"/>
          <w:szCs w:val="18"/>
          <w:color w:val="auto"/>
        </w:rPr>
      </w:pPr>
    </w:p>
    <w:p>
      <w:pPr>
        <w:ind w:left="700" w:hanging="693"/>
        <w:spacing w:after="0"/>
        <w:tabs>
          <w:tab w:leader="none" w:pos="700"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4"/>
          <w:szCs w:val="14"/>
          <w:b w:val="1"/>
          <w:bCs w:val="1"/>
          <w:color w:val="auto"/>
        </w:rPr>
        <w:t>Jurisdiction of Hong Kong courts</w:t>
      </w:r>
    </w:p>
    <w:p>
      <w:pPr>
        <w:spacing w:after="0" w:line="225" w:lineRule="exact"/>
        <w:rPr>
          <w:sz w:val="20"/>
          <w:szCs w:val="20"/>
          <w:color w:val="auto"/>
        </w:rPr>
      </w:pPr>
    </w:p>
    <w:p>
      <w:pPr>
        <w:ind w:left="1260" w:right="200" w:hanging="559"/>
        <w:spacing w:after="0" w:line="267" w:lineRule="auto"/>
        <w:tabs>
          <w:tab w:leader="none" w:pos="126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The courts of Hong Kong have exclusive jurisdiction to settle any dispute arising out of or in connection with this agreement (including any dispute regarding the existence, validity or termination of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1260" w:hanging="559"/>
        <w:spacing w:after="0" w:line="267" w:lineRule="auto"/>
        <w:tabs>
          <w:tab w:leader="none" w:pos="127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Parties agree that the courts of Hong Kong are the most appropriate and convenient courts to settle Disputes and accordingly no Party will argue to the contrary.</w:t>
      </w:r>
    </w:p>
    <w:p>
      <w:pPr>
        <w:spacing w:after="0" w:line="178" w:lineRule="exact"/>
        <w:rPr>
          <w:rFonts w:ascii="Arial" w:cs="Arial" w:eastAsia="Arial" w:hAnsi="Arial"/>
          <w:sz w:val="18"/>
          <w:szCs w:val="18"/>
          <w:color w:val="auto"/>
        </w:rPr>
      </w:pPr>
    </w:p>
    <w:p>
      <w:pPr>
        <w:ind w:left="1260" w:right="100" w:hanging="559"/>
        <w:spacing w:after="0" w:line="257" w:lineRule="auto"/>
        <w:tabs>
          <w:tab w:leader="none" w:pos="127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This Clause 39.1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261" w:name="page262"/>
    <w:bookmarkEnd w:id="261"/>
    <w:p>
      <w:pPr>
        <w:spacing w:after="0"/>
        <w:tabs>
          <w:tab w:leader="none" w:pos="68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4"/>
          <w:szCs w:val="14"/>
          <w:b w:val="1"/>
          <w:bCs w:val="1"/>
          <w:color w:val="auto"/>
        </w:rPr>
        <w:t>Service of process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Without prejudice to any other mode of service allowed under any relevant law, the Borrower:</w:t>
      </w:r>
    </w:p>
    <w:p>
      <w:pPr>
        <w:spacing w:after="0" w:line="219" w:lineRule="exact"/>
        <w:rPr>
          <w:sz w:val="20"/>
          <w:szCs w:val="20"/>
          <w:color w:val="auto"/>
        </w:rPr>
      </w:pPr>
    </w:p>
    <w:p>
      <w:pPr>
        <w:ind w:left="1260" w:right="160" w:hanging="559"/>
        <w:spacing w:after="0" w:line="267" w:lineRule="auto"/>
        <w:tabs>
          <w:tab w:leader="none" w:pos="126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irrevocably appoints Hong Kong NetEase Interactive Entertainment Limited as its agent for service of process in relation to any proceedings before the Hong Kong courts in connection with any Finance Document; and</w:t>
      </w:r>
    </w:p>
    <w:p>
      <w:pPr>
        <w:spacing w:after="0" w:line="178" w:lineRule="exact"/>
        <w:rPr>
          <w:rFonts w:ascii="Arial" w:cs="Arial" w:eastAsia="Arial" w:hAnsi="Arial"/>
          <w:sz w:val="18"/>
          <w:szCs w:val="18"/>
          <w:color w:val="auto"/>
        </w:rPr>
      </w:pPr>
    </w:p>
    <w:p>
      <w:pPr>
        <w:ind w:left="1260" w:hanging="559"/>
        <w:spacing w:after="0"/>
        <w:tabs>
          <w:tab w:leader="none" w:pos="12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Borrower of the process will not invalidate the proceedings concerned.</w:t>
      </w:r>
    </w:p>
    <w:p>
      <w:pPr>
        <w:spacing w:after="0" w:line="2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b w:val="1"/>
          <w:bCs w:val="1"/>
          <w:color w:val="auto"/>
        </w:rPr>
        <w:t>Waiver of immunities</w:t>
      </w:r>
    </w:p>
    <w:p>
      <w:pPr>
        <w:spacing w:after="0" w:line="225" w:lineRule="exact"/>
        <w:rPr>
          <w:sz w:val="20"/>
          <w:szCs w:val="20"/>
          <w:color w:val="auto"/>
        </w:rPr>
      </w:pPr>
    </w:p>
    <w:p>
      <w:pPr>
        <w:ind w:left="700" w:right="80"/>
        <w:spacing w:after="0" w:line="267" w:lineRule="auto"/>
        <w:rPr>
          <w:sz w:val="20"/>
          <w:szCs w:val="20"/>
          <w:color w:val="auto"/>
        </w:rPr>
      </w:pPr>
      <w:r>
        <w:rPr>
          <w:rFonts w:ascii="Arial" w:cs="Arial" w:eastAsia="Arial" w:hAnsi="Arial"/>
          <w:sz w:val="18"/>
          <w:szCs w:val="18"/>
          <w:color w:val="auto"/>
        </w:rPr>
        <w:t>The Borrower irrevocably waives, to the extent permitted by applicable law, with respect to itself and its revenues and assets (irrespective of their use or intended use), all immunity on the grounds of sovereignty or other similar grounds from:</w:t>
      </w:r>
    </w:p>
    <w:p>
      <w:pPr>
        <w:spacing w:after="0" w:line="179" w:lineRule="exact"/>
        <w:rPr>
          <w:sz w:val="20"/>
          <w:szCs w:val="20"/>
          <w:color w:val="auto"/>
        </w:rPr>
      </w:pPr>
    </w:p>
    <w:p>
      <w:pPr>
        <w:ind w:left="1260" w:hanging="559"/>
        <w:spacing w:after="0"/>
        <w:tabs>
          <w:tab w:leader="none" w:pos="12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suit;</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jurisdiction of any court;</w:t>
      </w:r>
    </w:p>
    <w:p>
      <w:pPr>
        <w:spacing w:after="0" w:line="219" w:lineRule="exact"/>
        <w:rPr>
          <w:rFonts w:ascii="Arial" w:cs="Arial" w:eastAsia="Arial" w:hAnsi="Arial"/>
          <w:sz w:val="18"/>
          <w:szCs w:val="18"/>
          <w:color w:val="auto"/>
        </w:rPr>
      </w:pPr>
    </w:p>
    <w:p>
      <w:pPr>
        <w:ind w:left="1280" w:hanging="579"/>
        <w:spacing w:after="0"/>
        <w:tabs>
          <w:tab w:leader="none" w:pos="128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relief by way of injunction or order for specific performance or recovery of property;</w:t>
      </w:r>
    </w:p>
    <w:p>
      <w:pPr>
        <w:spacing w:after="0" w:line="219" w:lineRule="exact"/>
        <w:rPr>
          <w:rFonts w:ascii="Arial" w:cs="Arial" w:eastAsia="Arial" w:hAnsi="Arial"/>
          <w:sz w:val="18"/>
          <w:szCs w:val="18"/>
          <w:color w:val="auto"/>
        </w:rPr>
      </w:pPr>
    </w:p>
    <w:p>
      <w:pPr>
        <w:ind w:left="1260" w:hanging="559"/>
        <w:spacing w:after="0"/>
        <w:tabs>
          <w:tab w:leader="none" w:pos="12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attachment of its assets (whether before or after judgment); and</w:t>
      </w:r>
    </w:p>
    <w:p>
      <w:pPr>
        <w:spacing w:after="0" w:line="219" w:lineRule="exact"/>
        <w:rPr>
          <w:rFonts w:ascii="Arial" w:cs="Arial" w:eastAsia="Arial" w:hAnsi="Arial"/>
          <w:sz w:val="18"/>
          <w:szCs w:val="18"/>
          <w:color w:val="auto"/>
        </w:rPr>
      </w:pPr>
    </w:p>
    <w:p>
      <w:pPr>
        <w:ind w:left="1260" w:right="100" w:hanging="559"/>
        <w:spacing w:after="0" w:line="257" w:lineRule="auto"/>
        <w:tabs>
          <w:tab w:leader="none" w:pos="1276" w:val="left"/>
        </w:tabs>
        <w:numPr>
          <w:ilvl w:val="1"/>
          <w:numId w:val="431"/>
        </w:numPr>
        <w:rPr>
          <w:rFonts w:ascii="Arial" w:cs="Arial" w:eastAsia="Arial" w:hAnsi="Arial"/>
          <w:sz w:val="18"/>
          <w:szCs w:val="18"/>
          <w:color w:val="auto"/>
        </w:rPr>
      </w:pPr>
      <w:r>
        <w:rPr>
          <w:rFonts w:ascii="Arial" w:cs="Arial" w:eastAsia="Arial" w:hAnsi="Arial"/>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81" w:lineRule="exact"/>
        <w:rPr>
          <w:rFonts w:ascii="Arial" w:cs="Arial" w:eastAsia="Arial" w:hAnsi="Arial"/>
          <w:sz w:val="18"/>
          <w:szCs w:val="18"/>
          <w:color w:val="auto"/>
        </w:rPr>
      </w:pPr>
    </w:p>
    <w:p>
      <w:pPr>
        <w:ind w:left="700" w:hanging="693"/>
        <w:spacing w:after="0"/>
        <w:tabs>
          <w:tab w:leader="none" w:pos="700"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WAIVER OF JURY TRIAL</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of the parties to this agreement agrees to waive irrevocably its rights to a jury trial of any claim based upon or arising out of this agreement or any of the documents referred to in this agreement or any transaction contemplated in this agreement. This waiver is intended to apply to all disputes. Each Party acknowledges that (a) this waiver is a material inducement to enter into this agreement, (b) it has already relied on this waiver in entering into this agreement and (c) it will continue to rely on this waiver in future dealings. Each party represents that it has reviewed this waiver with its legal advisers and that it knowingly and voluntarily waives its jury trial rights after consultation with its legal advisers. In the event of litigation, this agreement may be filed as a written consent to a trial by the court.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gridSpan w:val="15"/>
          </w:tcPr>
          <w:p>
            <w:pPr>
              <w:jc w:val="center"/>
              <w:ind w:right="3400"/>
              <w:spacing w:after="0"/>
              <w:rPr>
                <w:sz w:val="20"/>
                <w:szCs w:val="20"/>
                <w:color w:val="auto"/>
              </w:rPr>
            </w:pPr>
            <w:r>
              <w:rPr>
                <w:rFonts w:ascii="Arial" w:cs="Arial" w:eastAsia="Arial" w:hAnsi="Arial"/>
                <w:sz w:val="18"/>
                <w:szCs w:val="18"/>
                <w:b w:val="1"/>
                <w:bCs w:val="1"/>
                <w:color w:val="auto"/>
                <w:w w:val="96"/>
              </w:rPr>
              <w:t>SCHEDULE 1</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17"/>
          </w:tcPr>
          <w:p>
            <w:pPr>
              <w:jc w:val="center"/>
              <w:ind w:right="2360"/>
              <w:spacing w:after="0"/>
              <w:rPr>
                <w:sz w:val="20"/>
                <w:szCs w:val="20"/>
                <w:color w:val="auto"/>
              </w:rPr>
            </w:pPr>
            <w:r>
              <w:rPr>
                <w:rFonts w:ascii="Arial" w:cs="Arial" w:eastAsia="Arial" w:hAnsi="Arial"/>
                <w:sz w:val="18"/>
                <w:szCs w:val="18"/>
                <w:b w:val="1"/>
                <w:bCs w:val="1"/>
                <w:color w:val="auto"/>
                <w:w w:val="91"/>
              </w:rPr>
              <w:t>The Original Parties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gridSpan w:val="15"/>
          </w:tcPr>
          <w:p>
            <w:pPr>
              <w:jc w:val="center"/>
              <w:ind w:right="3400"/>
              <w:spacing w:after="0"/>
              <w:rPr>
                <w:sz w:val="20"/>
                <w:szCs w:val="20"/>
                <w:color w:val="auto"/>
              </w:rPr>
            </w:pPr>
            <w:r>
              <w:rPr>
                <w:rFonts w:ascii="Arial" w:cs="Arial" w:eastAsia="Arial" w:hAnsi="Arial"/>
                <w:sz w:val="18"/>
                <w:szCs w:val="18"/>
                <w:b w:val="1"/>
                <w:bCs w:val="1"/>
                <w:color w:val="auto"/>
                <w:w w:val="98"/>
              </w:rPr>
              <w:t>PART I</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gridSpan w:val="15"/>
          </w:tcPr>
          <w:p>
            <w:pPr>
              <w:jc w:val="center"/>
              <w:ind w:right="3400"/>
              <w:spacing w:after="0"/>
              <w:rPr>
                <w:sz w:val="20"/>
                <w:szCs w:val="20"/>
                <w:color w:val="auto"/>
              </w:rPr>
            </w:pPr>
            <w:r>
              <w:rPr>
                <w:rFonts w:ascii="Arial" w:cs="Arial" w:eastAsia="Arial" w:hAnsi="Arial"/>
                <w:sz w:val="18"/>
                <w:szCs w:val="18"/>
                <w:b w:val="1"/>
                <w:bCs w:val="1"/>
                <w:color w:val="auto"/>
                <w:w w:val="98"/>
              </w:rPr>
              <w:t>THE MLABs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3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MLAB</w:t>
            </w: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Notice details</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AUSTRALIA AND NEW ZEALAND</w:t>
            </w:r>
          </w:p>
        </w:tc>
        <w:tc>
          <w:tcPr>
            <w:tcW w:w="320" w:type="dxa"/>
            <w:vAlign w:val="bottom"/>
            <w:shd w:val="clear" w:color="auto" w:fill="CCEEFF"/>
          </w:tcPr>
          <w:p>
            <w:pPr>
              <w:spacing w:after="0"/>
              <w:rPr>
                <w:sz w:val="16"/>
                <w:szCs w:val="16"/>
                <w:color w:val="auto"/>
              </w:rPr>
            </w:pPr>
          </w:p>
        </w:tc>
        <w:tc>
          <w:tcPr>
            <w:tcW w:w="618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4"/>
              </w:rPr>
              <w:t>Address</w:t>
            </w:r>
            <w:r>
              <w:rPr>
                <w:rFonts w:ascii="Arial" w:cs="Arial" w:eastAsia="Arial" w:hAnsi="Arial"/>
                <w:sz w:val="18"/>
                <w:szCs w:val="18"/>
                <w:color w:val="auto"/>
                <w:w w:val="94"/>
              </w:rPr>
              <w:t>: 22/F Three Exchange Square, 8 Connaught Place, Central, Hong Kong</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GROUP LIMITED</w:t>
            </w:r>
          </w:p>
        </w:tc>
        <w:tc>
          <w:tcPr>
            <w:tcW w:w="6500" w:type="dxa"/>
            <w:vAlign w:val="bottom"/>
            <w:gridSpan w:val="20"/>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3918 7138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gridSpan w:val="20"/>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0" w:type="dxa"/>
            <w:vAlign w:val="bottom"/>
            <w:gridSpan w:val="22"/>
            <w:shd w:val="clear" w:color="auto" w:fill="CCEEFF"/>
          </w:tcPr>
          <w:p>
            <w:pPr>
              <w:ind w:left="320"/>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 Cindy.xin@anz.com / reina.shi@anz.com / HKLendingOps-Institutional@anz.com</w:t>
            </w:r>
          </w:p>
        </w:tc>
        <w:tc>
          <w:tcPr>
            <w:tcW w:w="0" w:type="dxa"/>
            <w:vAlign w:val="bottom"/>
          </w:tcPr>
          <w:p>
            <w:pPr>
              <w:spacing w:after="0"/>
              <w:rPr>
                <w:sz w:val="1"/>
                <w:szCs w:val="1"/>
                <w:color w:val="auto"/>
              </w:rPr>
            </w:pPr>
          </w:p>
        </w:tc>
      </w:tr>
      <w:tr>
        <w:trPr>
          <w:trHeight w:val="40"/>
        </w:trPr>
        <w:tc>
          <w:tcPr>
            <w:tcW w:w="29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4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CITIGROUP GLOBAL MARKETS ASIA</w:t>
            </w:r>
          </w:p>
        </w:tc>
        <w:tc>
          <w:tcPr>
            <w:tcW w:w="6500" w:type="dxa"/>
            <w:vAlign w:val="bottom"/>
            <w:gridSpan w:val="20"/>
          </w:tcPr>
          <w:p>
            <w:pPr>
              <w:ind w:left="320"/>
              <w:spacing w:after="0" w:line="201" w:lineRule="exact"/>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 47/F Champion Tower, 3 Garden Road, Central Hong Kong</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6500" w:type="dxa"/>
            <w:vAlign w:val="bottom"/>
            <w:gridSpan w:val="20"/>
            <w:vMerge w:val="restart"/>
          </w:tcPr>
          <w:p>
            <w:pPr>
              <w:ind w:left="320"/>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2521 8725</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gridSpan w:val="20"/>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0"/>
          </w:tcPr>
          <w:p>
            <w:pPr>
              <w:ind w:left="320"/>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 vincent.yeung@citi.com / clement.chen@citi.com</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DBS BANK LTD.</w:t>
            </w:r>
          </w:p>
        </w:tc>
        <w:tc>
          <w:tcPr>
            <w:tcW w:w="6500" w:type="dxa"/>
            <w:vAlign w:val="bottom"/>
            <w:gridSpan w:val="20"/>
            <w:shd w:val="clear" w:color="auto" w:fill="CCEEFF"/>
          </w:tcPr>
          <w:p>
            <w:pPr>
              <w:ind w:left="320"/>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 18/F, The Center, 99 Queen’s Road Central, Central, Hong Kong</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500" w:type="dxa"/>
            <w:vAlign w:val="bottom"/>
            <w:gridSpan w:val="20"/>
            <w:shd w:val="clear" w:color="auto" w:fill="CCEEFF"/>
          </w:tcPr>
          <w:p>
            <w:pPr>
              <w:ind w:left="320"/>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2259 5364</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500" w:type="dxa"/>
            <w:vAlign w:val="bottom"/>
            <w:gridSpan w:val="20"/>
            <w:shd w:val="clear" w:color="auto" w:fill="CCEEFF"/>
          </w:tcPr>
          <w:p>
            <w:pPr>
              <w:ind w:left="320"/>
              <w:spacing w:after="0"/>
              <w:rPr>
                <w:sz w:val="20"/>
                <w:szCs w:val="20"/>
                <w:color w:val="auto"/>
              </w:rPr>
            </w:pPr>
            <w:r>
              <w:rPr>
                <w:rFonts w:ascii="Arial" w:cs="Arial" w:eastAsia="Arial" w:hAnsi="Arial"/>
                <w:sz w:val="18"/>
                <w:szCs w:val="18"/>
                <w:b w:val="1"/>
                <w:bCs w:val="1"/>
                <w:color w:val="auto"/>
                <w:w w:val="97"/>
              </w:rPr>
              <w:t>Email</w:t>
            </w:r>
            <w:r>
              <w:rPr>
                <w:rFonts w:ascii="Arial" w:cs="Arial" w:eastAsia="Arial" w:hAnsi="Arial"/>
                <w:sz w:val="18"/>
                <w:szCs w:val="18"/>
                <w:color w:val="auto"/>
                <w:w w:val="97"/>
              </w:rPr>
              <w:t>: angeloleung@dbs.com / michelleleepc@dbs.com / carlcheuk@dbs.com</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500" w:type="dxa"/>
            <w:vAlign w:val="bottom"/>
            <w:gridSpan w:val="20"/>
            <w:shd w:val="clear" w:color="auto" w:fill="CCEEFF"/>
          </w:tcPr>
          <w:p>
            <w:pPr>
              <w:ind w:left="320"/>
              <w:spacing w:after="0"/>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 Angelo Leung / Michelle Lee / Carl Cheuk</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THE HONGKONG AND SHANGHAI</w:t>
            </w:r>
          </w:p>
        </w:tc>
        <w:tc>
          <w:tcPr>
            <w:tcW w:w="8200" w:type="dxa"/>
            <w:vAlign w:val="bottom"/>
            <w:gridSpan w:val="22"/>
          </w:tcPr>
          <w:p>
            <w:pPr>
              <w:ind w:left="320"/>
              <w:spacing w:after="0" w:line="201" w:lineRule="exact"/>
              <w:rPr>
                <w:sz w:val="20"/>
                <w:szCs w:val="20"/>
                <w:color w:val="auto"/>
              </w:rPr>
            </w:pPr>
            <w:r>
              <w:rPr>
                <w:rFonts w:ascii="Arial" w:cs="Arial" w:eastAsia="Arial" w:hAnsi="Arial"/>
                <w:sz w:val="18"/>
                <w:szCs w:val="18"/>
                <w:b w:val="1"/>
                <w:bCs w:val="1"/>
                <w:color w:val="auto"/>
                <w:w w:val="95"/>
              </w:rPr>
              <w:t>Address</w:t>
            </w:r>
            <w:r>
              <w:rPr>
                <w:rFonts w:ascii="Arial" w:cs="Arial" w:eastAsia="Arial" w:hAnsi="Arial"/>
                <w:sz w:val="18"/>
                <w:szCs w:val="18"/>
                <w:color w:val="auto"/>
                <w:w w:val="95"/>
              </w:rPr>
              <w:t>: The Hongkong and Shanghai Banking Corporation Limited, Level 17, HSBC Main Building, 1</w:t>
            </w:r>
          </w:p>
        </w:tc>
        <w:tc>
          <w:tcPr>
            <w:tcW w:w="0" w:type="dxa"/>
            <w:vAlign w:val="bottom"/>
          </w:tcPr>
          <w:p>
            <w:pPr>
              <w:spacing w:after="0"/>
              <w:rPr>
                <w:sz w:val="1"/>
                <w:szCs w:val="1"/>
                <w:color w:val="auto"/>
              </w:rPr>
            </w:pPr>
          </w:p>
        </w:tc>
      </w:tr>
      <w:tr>
        <w:trPr>
          <w:trHeight w:val="224"/>
        </w:trPr>
        <w:tc>
          <w:tcPr>
            <w:tcW w:w="3220" w:type="dxa"/>
            <w:vAlign w:val="bottom"/>
            <w:gridSpan w:val="2"/>
          </w:tcPr>
          <w:p>
            <w:pPr>
              <w:spacing w:after="0"/>
              <w:rPr>
                <w:sz w:val="20"/>
                <w:szCs w:val="20"/>
                <w:color w:val="auto"/>
              </w:rPr>
            </w:pPr>
            <w:r>
              <w:rPr>
                <w:rFonts w:ascii="Arial" w:cs="Arial" w:eastAsia="Arial" w:hAnsi="Arial"/>
                <w:sz w:val="18"/>
                <w:szCs w:val="18"/>
                <w:color w:val="auto"/>
              </w:rPr>
              <w:t>BANKING CORPORATION LIMITED</w:t>
            </w:r>
          </w:p>
        </w:tc>
        <w:tc>
          <w:tcPr>
            <w:tcW w:w="6500" w:type="dxa"/>
            <w:vAlign w:val="bottom"/>
            <w:gridSpan w:val="20"/>
          </w:tcPr>
          <w:p>
            <w:pPr>
              <w:ind w:left="320"/>
              <w:spacing w:after="0"/>
              <w:rPr>
                <w:sz w:val="20"/>
                <w:szCs w:val="20"/>
                <w:color w:val="auto"/>
              </w:rPr>
            </w:pPr>
            <w:r>
              <w:rPr>
                <w:rFonts w:ascii="Arial" w:cs="Arial" w:eastAsia="Arial" w:hAnsi="Arial"/>
                <w:sz w:val="18"/>
                <w:szCs w:val="18"/>
                <w:color w:val="auto"/>
              </w:rPr>
              <w:t>Queen’s Road Central, Hong Kong</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0"/>
          </w:tcPr>
          <w:p>
            <w:pPr>
              <w:ind w:left="320"/>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3409 2755</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0"/>
          </w:tcPr>
          <w:p>
            <w:pPr>
              <w:ind w:left="320"/>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Transaction Management</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 of Original Lender</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1"/>
          </w:tcPr>
          <w:p>
            <w:pPr>
              <w:ind w:left="100"/>
              <w:spacing w:after="0"/>
              <w:rPr>
                <w:sz w:val="20"/>
                <w:szCs w:val="20"/>
                <w:color w:val="auto"/>
              </w:rPr>
            </w:pPr>
            <w:r>
              <w:rPr>
                <w:rFonts w:ascii="Arial" w:cs="Arial" w:eastAsia="Arial" w:hAnsi="Arial"/>
                <w:sz w:val="14"/>
                <w:szCs w:val="14"/>
                <w:b w:val="1"/>
                <w:bCs w:val="1"/>
                <w:color w:val="auto"/>
              </w:rPr>
              <w:t>Notice details</w:t>
            </w:r>
          </w:p>
        </w:tc>
        <w:tc>
          <w:tcPr>
            <w:tcW w:w="260" w:type="dxa"/>
            <w:vAlign w:val="bottom"/>
          </w:tcPr>
          <w:p>
            <w:pPr>
              <w:spacing w:after="0"/>
              <w:rPr>
                <w:sz w:val="24"/>
                <w:szCs w:val="24"/>
                <w:color w:val="auto"/>
              </w:rPr>
            </w:pPr>
          </w:p>
        </w:tc>
        <w:tc>
          <w:tcPr>
            <w:tcW w:w="1440" w:type="dxa"/>
            <w:vAlign w:val="bottom"/>
          </w:tcPr>
          <w:p>
            <w:pPr>
              <w:ind w:left="18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94"/>
        </w:trPr>
        <w:tc>
          <w:tcPr>
            <w:tcW w:w="2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AUSTRALIA AND NEW ZEALAND</w:t>
            </w:r>
          </w:p>
        </w:tc>
        <w:tc>
          <w:tcPr>
            <w:tcW w:w="240" w:type="dxa"/>
            <w:vAlign w:val="bottom"/>
            <w:tcBorders>
              <w:top w:val="single" w:sz="8" w:color="CCEEFF"/>
            </w:tcBorders>
            <w:shd w:val="clear" w:color="auto" w:fill="CCEEFF"/>
          </w:tcPr>
          <w:p>
            <w:pPr>
              <w:spacing w:after="0"/>
              <w:rPr>
                <w:sz w:val="16"/>
                <w:szCs w:val="16"/>
                <w:color w:val="auto"/>
              </w:rPr>
            </w:pPr>
          </w:p>
        </w:tc>
        <w:tc>
          <w:tcPr>
            <w:tcW w:w="6280" w:type="dxa"/>
            <w:vAlign w:val="bottom"/>
            <w:tcBorders>
              <w:top w:val="single" w:sz="8" w:color="auto"/>
            </w:tcBorders>
            <w:gridSpan w:val="19"/>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6"/>
              </w:rPr>
              <w:t>Address</w:t>
            </w:r>
            <w:r>
              <w:rPr>
                <w:rFonts w:ascii="Arial" w:cs="Arial" w:eastAsia="Arial" w:hAnsi="Arial"/>
                <w:sz w:val="18"/>
                <w:szCs w:val="18"/>
                <w:color w:val="auto"/>
                <w:w w:val="96"/>
              </w:rPr>
              <w:t>: 22/F Three Exchange Square, 8 Connaught Place, Central, Hong Kong</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US$125,000,000</w:t>
            </w:r>
          </w:p>
        </w:tc>
        <w:tc>
          <w:tcPr>
            <w:tcW w:w="0" w:type="dxa"/>
            <w:vAlign w:val="bottom"/>
          </w:tcPr>
          <w:p>
            <w:pPr>
              <w:spacing w:after="0"/>
              <w:rPr>
                <w:sz w:val="1"/>
                <w:szCs w:val="1"/>
                <w:color w:val="auto"/>
              </w:rPr>
            </w:pPr>
          </w:p>
        </w:tc>
      </w:tr>
      <w:tr>
        <w:trPr>
          <w:trHeight w:val="224"/>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GROUP LIMITED</w:t>
            </w:r>
          </w:p>
        </w:tc>
        <w:tc>
          <w:tcPr>
            <w:tcW w:w="6500" w:type="dxa"/>
            <w:vAlign w:val="bottom"/>
            <w:gridSpan w:val="20"/>
            <w:vMerge w:val="restart"/>
            <w:shd w:val="clear" w:color="auto" w:fill="CCEEFF"/>
          </w:tcPr>
          <w:p>
            <w:pPr>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3918 7138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00" w:type="dxa"/>
            <w:vAlign w:val="bottom"/>
            <w:gridSpan w:val="20"/>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50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w w:val="95"/>
              </w:rPr>
              <w:t>Email</w:t>
            </w:r>
            <w:r>
              <w:rPr>
                <w:rFonts w:ascii="Arial" w:cs="Arial" w:eastAsia="Arial" w:hAnsi="Arial"/>
                <w:sz w:val="18"/>
                <w:szCs w:val="18"/>
                <w:color w:val="auto"/>
                <w:w w:val="95"/>
              </w:rPr>
              <w:t>: Cindy@anz.com / reina.shi@anz.com / HKLendingOps-Institutional@anz.com</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20" w:type="dxa"/>
            <w:vAlign w:val="bottom"/>
            <w:gridSpan w:val="6"/>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50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 Cindy Xin / Reina Shi / Ginny Wong</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spacing w:after="0"/>
              <w:rPr>
                <w:sz w:val="20"/>
                <w:szCs w:val="20"/>
                <w:color w:val="auto"/>
              </w:rPr>
            </w:pPr>
            <w:r>
              <w:rPr>
                <w:rFonts w:ascii="Arial" w:cs="Arial" w:eastAsia="Arial" w:hAnsi="Arial"/>
                <w:sz w:val="18"/>
                <w:szCs w:val="18"/>
                <w:color w:val="auto"/>
              </w:rPr>
              <w:t>CITIBANK, N.A., HONG KONG</w:t>
            </w:r>
          </w:p>
        </w:tc>
        <w:tc>
          <w:tcPr>
            <w:tcW w:w="6500" w:type="dxa"/>
            <w:vAlign w:val="bottom"/>
            <w:gridSpan w:val="20"/>
          </w:tcPr>
          <w:p>
            <w:pPr>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 49/F, Champion Tower, Three Garden Road, Central, Hong Kong</w:t>
            </w:r>
          </w:p>
        </w:tc>
        <w:tc>
          <w:tcPr>
            <w:tcW w:w="1700" w:type="dxa"/>
            <w:vAlign w:val="bottom"/>
            <w:gridSpan w:val="2"/>
          </w:tcPr>
          <w:p>
            <w:pPr>
              <w:spacing w:after="0"/>
              <w:rPr>
                <w:sz w:val="20"/>
                <w:szCs w:val="20"/>
                <w:color w:val="auto"/>
              </w:rPr>
            </w:pPr>
            <w:r>
              <w:rPr>
                <w:rFonts w:ascii="Arial" w:cs="Arial" w:eastAsia="Arial" w:hAnsi="Arial"/>
                <w:sz w:val="18"/>
                <w:szCs w:val="18"/>
                <w:color w:val="auto"/>
              </w:rPr>
              <w:t>US$125,000,000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BRANCH</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3009 0299</w:t>
      </w:r>
    </w:p>
    <w:p>
      <w:pPr>
        <w:spacing w:after="0" w:line="20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Angela.ph.fuh@citi.com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63" w:name="page264"/>
    <w:bookmarkEnd w:id="263"/>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ORIGINAL LENDERS</w:t>
      </w:r>
    </w:p>
    <w:p>
      <w:pPr>
        <w:spacing w:after="0" w:line="208" w:lineRule="exact"/>
        <w:rPr>
          <w:sz w:val="20"/>
          <w:szCs w:val="20"/>
          <w:color w:val="auto"/>
        </w:rPr>
      </w:pPr>
    </w:p>
    <w:p>
      <w:pPr>
        <w:ind w:left="3220"/>
        <w:spacing w:after="0"/>
        <w:rPr>
          <w:sz w:val="20"/>
          <w:szCs w:val="20"/>
          <w:color w:val="auto"/>
        </w:rPr>
      </w:pPr>
      <w:r>
        <w:rPr>
          <w:rFonts w:ascii="Arial" w:cs="Arial" w:eastAsia="Arial" w:hAnsi="Arial"/>
          <w:sz w:val="18"/>
          <w:szCs w:val="18"/>
          <w:u w:val="single" w:color="auto"/>
          <w:color w:val="auto"/>
        </w:rPr>
        <w:t>Megan.chan@citi.com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aaron.xu@citi.com / evelyn.zhu@citi.com</w:t>
      </w:r>
    </w:p>
    <w:p>
      <w:pPr>
        <w:spacing w:after="0" w:line="21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 Angela Fuh / Megan Chan / Aaron Xu / Evelyn Zhu</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DBS BANK LTD., HONG KONG</w:t>
            </w:r>
          </w:p>
        </w:tc>
        <w:tc>
          <w:tcPr>
            <w:tcW w:w="614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 18/F, The Center, 99 Queen’s Road Central, Central, Hong Kong</w:t>
            </w:r>
          </w:p>
        </w:tc>
        <w:tc>
          <w:tcPr>
            <w:tcW w:w="2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US$125,000,000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BRANCH</w:t>
            </w:r>
          </w:p>
        </w:tc>
        <w:tc>
          <w:tcPr>
            <w:tcW w:w="6140" w:type="dxa"/>
            <w:vAlign w:val="bottom"/>
            <w:gridSpan w:val="12"/>
            <w:vMerge w:val="restart"/>
            <w:shd w:val="clear" w:color="auto" w:fill="CCEEFF"/>
          </w:tcPr>
          <w:p>
            <w:pPr>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2259 5364</w:t>
            </w:r>
          </w:p>
        </w:tc>
        <w:tc>
          <w:tcPr>
            <w:tcW w:w="2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spacing w:after="0"/>
              <w:rPr>
                <w:sz w:val="18"/>
                <w:szCs w:val="18"/>
                <w:color w:val="auto"/>
              </w:rPr>
            </w:pPr>
          </w:p>
        </w:tc>
        <w:tc>
          <w:tcPr>
            <w:tcW w:w="6140" w:type="dxa"/>
            <w:vAlign w:val="bottom"/>
            <w:gridSpan w:val="12"/>
            <w:vMerge w:val="continue"/>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220" w:type="dxa"/>
            <w:vAlign w:val="bottom"/>
            <w:shd w:val="clear" w:color="auto" w:fill="CCEEFF"/>
          </w:tcPr>
          <w:p>
            <w:pPr>
              <w:spacing w:after="0"/>
              <w:rPr>
                <w:sz w:val="24"/>
                <w:szCs w:val="24"/>
                <w:color w:val="auto"/>
              </w:rPr>
            </w:pPr>
          </w:p>
        </w:tc>
        <w:tc>
          <w:tcPr>
            <w:tcW w:w="614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w w:val="96"/>
              </w:rPr>
              <w:t>Email</w:t>
            </w:r>
            <w:r>
              <w:rPr>
                <w:rFonts w:ascii="Arial" w:cs="Arial" w:eastAsia="Arial" w:hAnsi="Arial"/>
                <w:sz w:val="18"/>
                <w:szCs w:val="18"/>
                <w:color w:val="auto"/>
                <w:w w:val="96"/>
              </w:rPr>
              <w:t>: angeloleung@dbs.com / michelleleepc@dbs.com / carlcheuk@dbs.com</w:t>
            </w:r>
          </w:p>
        </w:tc>
        <w:tc>
          <w:tcPr>
            <w:tcW w:w="20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20" w:type="dxa"/>
            <w:vAlign w:val="bottom"/>
            <w:shd w:val="clear" w:color="auto" w:fill="CCEEFF"/>
          </w:tcPr>
          <w:p>
            <w:pPr>
              <w:spacing w:after="0"/>
              <w:rPr>
                <w:sz w:val="24"/>
                <w:szCs w:val="24"/>
                <w:color w:val="auto"/>
              </w:rPr>
            </w:pPr>
          </w:p>
        </w:tc>
        <w:tc>
          <w:tcPr>
            <w:tcW w:w="614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 Angelo Leung / Michelle Lee / Carl Cheuk</w:t>
            </w:r>
          </w:p>
        </w:tc>
        <w:tc>
          <w:tcPr>
            <w:tcW w:w="20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line="173" w:lineRule="exact"/>
              <w:rPr>
                <w:sz w:val="20"/>
                <w:szCs w:val="20"/>
                <w:color w:val="auto"/>
              </w:rPr>
            </w:pPr>
            <w:r>
              <w:rPr>
                <w:rFonts w:ascii="Arial" w:cs="Arial" w:eastAsia="Arial" w:hAnsi="Arial"/>
                <w:sz w:val="18"/>
                <w:szCs w:val="18"/>
                <w:color w:val="auto"/>
              </w:rPr>
              <w:t>THE HONGKONG AND SHANGHAI</w:t>
            </w:r>
          </w:p>
        </w:tc>
        <w:tc>
          <w:tcPr>
            <w:tcW w:w="6140" w:type="dxa"/>
            <w:vAlign w:val="bottom"/>
            <w:gridSpan w:val="12"/>
          </w:tcPr>
          <w:p>
            <w:pPr>
              <w:spacing w:after="0" w:line="173" w:lineRule="exact"/>
              <w:rPr>
                <w:sz w:val="20"/>
                <w:szCs w:val="20"/>
                <w:color w:val="auto"/>
              </w:rPr>
            </w:pPr>
            <w:r>
              <w:rPr>
                <w:rFonts w:ascii="Arial" w:cs="Arial" w:eastAsia="Arial" w:hAnsi="Arial"/>
                <w:sz w:val="18"/>
                <w:szCs w:val="18"/>
                <w:i w:val="1"/>
                <w:iCs w:val="1"/>
                <w:color w:val="auto"/>
              </w:rPr>
              <w:t>Credit related matters</w:t>
            </w:r>
          </w:p>
        </w:tc>
        <w:tc>
          <w:tcPr>
            <w:tcW w:w="2060" w:type="dxa"/>
            <w:vAlign w:val="bottom"/>
          </w:tcPr>
          <w:p>
            <w:pPr>
              <w:ind w:left="360"/>
              <w:spacing w:after="0" w:line="173" w:lineRule="exact"/>
              <w:rPr>
                <w:sz w:val="20"/>
                <w:szCs w:val="20"/>
                <w:color w:val="auto"/>
              </w:rPr>
            </w:pPr>
            <w:r>
              <w:rPr>
                <w:rFonts w:ascii="Arial" w:cs="Arial" w:eastAsia="Arial" w:hAnsi="Arial"/>
                <w:sz w:val="18"/>
                <w:szCs w:val="18"/>
                <w:color w:val="auto"/>
              </w:rPr>
              <w:t>US$125,000,000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220" w:type="dxa"/>
            <w:vAlign w:val="bottom"/>
          </w:tcPr>
          <w:p>
            <w:pPr>
              <w:spacing w:after="0"/>
              <w:rPr>
                <w:sz w:val="20"/>
                <w:szCs w:val="20"/>
                <w:color w:val="auto"/>
              </w:rPr>
            </w:pPr>
            <w:r>
              <w:rPr>
                <w:rFonts w:ascii="Arial" w:cs="Arial" w:eastAsia="Arial" w:hAnsi="Arial"/>
                <w:sz w:val="18"/>
                <w:szCs w:val="18"/>
                <w:color w:val="auto"/>
              </w:rPr>
              <w:t>BANKING CORPORATION LIMITED</w:t>
            </w: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 L9, HSBC Main Building, 1 Queen’s Road Central, Hong Kong</w:t>
            </w: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Tel</w:t>
            </w:r>
            <w:r>
              <w:rPr>
                <w:rFonts w:ascii="Arial" w:cs="Arial" w:eastAsia="Arial" w:hAnsi="Arial"/>
                <w:sz w:val="18"/>
                <w:szCs w:val="18"/>
                <w:color w:val="auto"/>
              </w:rPr>
              <w:t>: +852 2284 1452 / 2822 1797</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 shawn.s.h.li@hsbc.com.hk / patrick.y.x.yuan@hsbc.com.hk</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 Shawn Li / Patrick Yuan</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i w:val="1"/>
                <w:iCs w:val="1"/>
                <w:color w:val="auto"/>
              </w:rPr>
              <w:t>Operation related matters</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w w:val="95"/>
              </w:rPr>
              <w:t>Address</w:t>
            </w:r>
            <w:r>
              <w:rPr>
                <w:rFonts w:ascii="Arial" w:cs="Arial" w:eastAsia="Arial" w:hAnsi="Arial"/>
                <w:sz w:val="18"/>
                <w:szCs w:val="18"/>
                <w:color w:val="auto"/>
                <w:w w:val="95"/>
              </w:rPr>
              <w:t>: 8/F Tower 3 HSBC Centre, 1 Sham Mong Road,Tai Kok Tsui,Kowloon</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Tel</w:t>
            </w:r>
            <w:r>
              <w:rPr>
                <w:rFonts w:ascii="Arial" w:cs="Arial" w:eastAsia="Arial" w:hAnsi="Arial"/>
                <w:sz w:val="18"/>
                <w:szCs w:val="18"/>
                <w:color w:val="auto"/>
              </w:rPr>
              <w:t>: +852 2288 2537</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Fax</w:t>
            </w:r>
            <w:r>
              <w:rPr>
                <w:rFonts w:ascii="Arial" w:cs="Arial" w:eastAsia="Arial" w:hAnsi="Arial"/>
                <w:sz w:val="18"/>
                <w:szCs w:val="18"/>
                <w:color w:val="auto"/>
              </w:rPr>
              <w:t>: +852 3478 9136</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Email</w:t>
            </w:r>
            <w:r>
              <w:rPr>
                <w:rFonts w:ascii="Arial" w:cs="Arial" w:eastAsia="Arial" w:hAnsi="Arial"/>
                <w:sz w:val="18"/>
                <w:szCs w:val="18"/>
                <w:color w:val="auto"/>
              </w:rPr>
              <w:t>: loanscomm@hsbc.com.cn</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5"/>
            <w:shd w:val="clear" w:color="auto" w:fill="000000"/>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20" w:type="dxa"/>
            <w:vAlign w:val="bottom"/>
          </w:tcPr>
          <w:p>
            <w:pPr>
              <w:spacing w:after="0"/>
              <w:rPr>
                <w:sz w:val="24"/>
                <w:szCs w:val="24"/>
                <w:color w:val="auto"/>
              </w:rPr>
            </w:pPr>
          </w:p>
        </w:tc>
        <w:tc>
          <w:tcPr>
            <w:tcW w:w="6140" w:type="dxa"/>
            <w:vAlign w:val="bottom"/>
            <w:gridSpan w:val="12"/>
          </w:tcPr>
          <w:p>
            <w:pPr>
              <w:spacing w:after="0"/>
              <w:rPr>
                <w:sz w:val="20"/>
                <w:szCs w:val="20"/>
                <w:color w:val="auto"/>
              </w:rPr>
            </w:pPr>
            <w:r>
              <w:rPr>
                <w:rFonts w:ascii="Arial" w:cs="Arial" w:eastAsia="Arial" w:hAnsi="Arial"/>
                <w:sz w:val="18"/>
                <w:szCs w:val="18"/>
                <w:b w:val="1"/>
                <w:bCs w:val="1"/>
                <w:color w:val="auto"/>
              </w:rPr>
              <w:t>Attention</w:t>
            </w:r>
            <w:r>
              <w:rPr>
                <w:rFonts w:ascii="Arial" w:cs="Arial" w:eastAsia="Arial" w:hAnsi="Arial"/>
                <w:sz w:val="18"/>
                <w:szCs w:val="18"/>
                <w:color w:val="auto"/>
              </w:rPr>
              <w:t>: Jennifer Zhou/ Melody Zhao/Winnie Zhu/Nicole Li</w:t>
            </w: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US$500,000,000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20" w:type="dxa"/>
            <w:vAlign w:val="bottom"/>
          </w:tcPr>
          <w:p>
            <w:pPr>
              <w:spacing w:after="0"/>
              <w:rPr>
                <w:sz w:val="24"/>
                <w:szCs w:val="24"/>
                <w:color w:val="auto"/>
              </w:rPr>
            </w:pPr>
          </w:p>
        </w:tc>
        <w:tc>
          <w:tcPr>
            <w:tcW w:w="2580" w:type="dxa"/>
            <w:vAlign w:val="bottom"/>
            <w:gridSpan w:val="7"/>
          </w:tcPr>
          <w:p>
            <w:pPr>
              <w:ind w:left="2400"/>
              <w:spacing w:after="0"/>
              <w:rPr>
                <w:sz w:val="20"/>
                <w:szCs w:val="20"/>
                <w:color w:val="auto"/>
              </w:rPr>
            </w:pPr>
            <w:r>
              <w:rPr>
                <w:rFonts w:ascii="Arial" w:cs="Arial" w:eastAsia="Arial" w:hAnsi="Arial"/>
                <w:sz w:val="18"/>
                <w:szCs w:val="18"/>
                <w:color w:val="auto"/>
                <w:w w:val="79"/>
              </w:rPr>
              <w:t>97</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64" w:name="page265"/>
    <w:bookmarkEnd w:id="264"/>
    <w:p>
      <w:pPr>
        <w:jc w:val="center"/>
        <w:ind w:right="-52"/>
        <w:spacing w:after="0"/>
        <w:rPr>
          <w:sz w:val="20"/>
          <w:szCs w:val="20"/>
          <w:color w:val="auto"/>
        </w:rPr>
      </w:pPr>
      <w:r>
        <w:rPr>
          <w:rFonts w:ascii="Arial" w:cs="Arial" w:eastAsia="Arial" w:hAnsi="Arial"/>
          <w:sz w:val="18"/>
          <w:szCs w:val="18"/>
          <w:b w:val="1"/>
          <w:bCs w:val="1"/>
          <w:color w:val="auto"/>
        </w:rPr>
        <w:t>SCHEDULE 2</w:t>
      </w:r>
    </w:p>
    <w:p>
      <w:pPr>
        <w:spacing w:after="0" w:line="219"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Conditions Precedent</w:t>
      </w:r>
    </w:p>
    <w:p>
      <w:pPr>
        <w:spacing w:after="0" w:line="219"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CONDITIONS PRECEDENT TO INITIAL UTILISATION</w:t>
      </w:r>
    </w:p>
    <w:p>
      <w:pPr>
        <w:spacing w:after="0" w:line="219" w:lineRule="exact"/>
        <w:rPr>
          <w:sz w:val="20"/>
          <w:szCs w:val="20"/>
          <w:color w:val="auto"/>
        </w:rPr>
      </w:pPr>
    </w:p>
    <w:p>
      <w:pPr>
        <w:ind w:left="693" w:hanging="693"/>
        <w:spacing w:after="0"/>
        <w:tabs>
          <w:tab w:leader="none" w:pos="693"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Borrower</w:t>
      </w:r>
    </w:p>
    <w:p>
      <w:pPr>
        <w:spacing w:after="0" w:line="225" w:lineRule="exact"/>
        <w:rPr>
          <w:rFonts w:ascii="Arial" w:cs="Arial" w:eastAsia="Arial" w:hAnsi="Arial"/>
          <w:sz w:val="18"/>
          <w:szCs w:val="18"/>
          <w:b w:val="1"/>
          <w:bCs w:val="1"/>
          <w:color w:val="auto"/>
        </w:rPr>
      </w:pPr>
    </w:p>
    <w:p>
      <w:pPr>
        <w:ind w:left="1253" w:hanging="559"/>
        <w:spacing w:after="0"/>
        <w:tabs>
          <w:tab w:leader="none" w:pos="125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copy of the constitutional documents of the Borrower.</w:t>
      </w:r>
    </w:p>
    <w:p>
      <w:pPr>
        <w:spacing w:after="0" w:line="219" w:lineRule="exact"/>
        <w:rPr>
          <w:rFonts w:ascii="Arial" w:cs="Arial" w:eastAsia="Arial" w:hAnsi="Arial"/>
          <w:sz w:val="18"/>
          <w:szCs w:val="18"/>
          <w:color w:val="auto"/>
        </w:rPr>
      </w:pPr>
    </w:p>
    <w:p>
      <w:pPr>
        <w:ind w:left="1253" w:hanging="559"/>
        <w:spacing w:after="0"/>
        <w:tabs>
          <w:tab w:leader="none" w:pos="125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certified extract of a resolution of the board of directors of the Borrower:</w:t>
      </w:r>
    </w:p>
    <w:p>
      <w:pPr>
        <w:spacing w:after="0" w:line="219" w:lineRule="exact"/>
        <w:rPr>
          <w:rFonts w:ascii="Arial" w:cs="Arial" w:eastAsia="Arial" w:hAnsi="Arial"/>
          <w:sz w:val="18"/>
          <w:szCs w:val="18"/>
          <w:color w:val="auto"/>
        </w:rPr>
      </w:pPr>
    </w:p>
    <w:p>
      <w:pPr>
        <w:ind w:left="1793" w:right="520" w:hanging="545"/>
        <w:spacing w:after="0" w:line="267" w:lineRule="auto"/>
        <w:tabs>
          <w:tab w:leader="none" w:pos="1820" w:val="left"/>
        </w:tabs>
        <w:numPr>
          <w:ilvl w:val="2"/>
          <w:numId w:val="433"/>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and resolving that it execute the Finance Documents;</w:t>
      </w:r>
    </w:p>
    <w:p>
      <w:pPr>
        <w:spacing w:after="0" w:line="178" w:lineRule="exact"/>
        <w:rPr>
          <w:rFonts w:ascii="Arial" w:cs="Arial" w:eastAsia="Arial" w:hAnsi="Arial"/>
          <w:sz w:val="18"/>
          <w:szCs w:val="18"/>
          <w:color w:val="auto"/>
        </w:rPr>
      </w:pPr>
    </w:p>
    <w:p>
      <w:pPr>
        <w:ind w:left="1833" w:hanging="585"/>
        <w:spacing w:after="0"/>
        <w:tabs>
          <w:tab w:leader="none" w:pos="1833" w:val="left"/>
        </w:tabs>
        <w:numPr>
          <w:ilvl w:val="2"/>
          <w:numId w:val="43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w:t>
      </w:r>
    </w:p>
    <w:p>
      <w:pPr>
        <w:spacing w:after="0" w:line="219" w:lineRule="exact"/>
        <w:rPr>
          <w:rFonts w:ascii="Arial" w:cs="Arial" w:eastAsia="Arial" w:hAnsi="Arial"/>
          <w:sz w:val="18"/>
          <w:szCs w:val="18"/>
          <w:color w:val="auto"/>
        </w:rPr>
      </w:pPr>
    </w:p>
    <w:p>
      <w:pPr>
        <w:ind w:left="1793" w:right="80" w:hanging="545"/>
        <w:spacing w:after="0" w:line="296" w:lineRule="auto"/>
        <w:tabs>
          <w:tab w:leader="none" w:pos="1839" w:val="left"/>
        </w:tabs>
        <w:numPr>
          <w:ilvl w:val="2"/>
          <w:numId w:val="433"/>
        </w:numPr>
        <w:rPr>
          <w:rFonts w:ascii="Arial" w:cs="Arial" w:eastAsia="Arial" w:hAnsi="Arial"/>
          <w:sz w:val="17"/>
          <w:szCs w:val="17"/>
          <w:color w:val="auto"/>
        </w:rPr>
      </w:pPr>
      <w:r>
        <w:rPr>
          <w:rFonts w:ascii="Arial" w:cs="Arial" w:eastAsia="Arial" w:hAnsi="Arial"/>
          <w:sz w:val="17"/>
          <w:szCs w:val="17"/>
          <w:color w:val="auto"/>
        </w:rPr>
        <w:t>authorising a specified person or persons, on its behalf, to sign and/or despatch all documents and notices (including, if relevant, any Utilisation Request) to be signed and/or despatched by it under or in connection with the Finance Documents.</w:t>
      </w:r>
    </w:p>
    <w:p>
      <w:pPr>
        <w:spacing w:after="0" w:line="157" w:lineRule="exact"/>
        <w:rPr>
          <w:rFonts w:ascii="Arial" w:cs="Arial" w:eastAsia="Arial" w:hAnsi="Arial"/>
          <w:sz w:val="17"/>
          <w:szCs w:val="17"/>
          <w:color w:val="auto"/>
        </w:rPr>
      </w:pPr>
    </w:p>
    <w:p>
      <w:pPr>
        <w:ind w:left="1273" w:hanging="579"/>
        <w:spacing w:after="0"/>
        <w:tabs>
          <w:tab w:leader="none" w:pos="127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w:t>
      </w:r>
    </w:p>
    <w:p>
      <w:pPr>
        <w:spacing w:after="0" w:line="219" w:lineRule="exact"/>
        <w:rPr>
          <w:rFonts w:ascii="Arial" w:cs="Arial" w:eastAsia="Arial" w:hAnsi="Arial"/>
          <w:sz w:val="18"/>
          <w:szCs w:val="18"/>
          <w:color w:val="auto"/>
        </w:rPr>
      </w:pPr>
    </w:p>
    <w:p>
      <w:pPr>
        <w:ind w:left="1253" w:right="400" w:hanging="559"/>
        <w:spacing w:after="0" w:line="296" w:lineRule="auto"/>
        <w:tabs>
          <w:tab w:leader="none" w:pos="1266" w:val="left"/>
        </w:tabs>
        <w:numPr>
          <w:ilvl w:val="1"/>
          <w:numId w:val="433"/>
        </w:numPr>
        <w:rPr>
          <w:rFonts w:ascii="Arial" w:cs="Arial" w:eastAsia="Arial" w:hAnsi="Arial"/>
          <w:sz w:val="17"/>
          <w:szCs w:val="17"/>
          <w:color w:val="auto"/>
        </w:rPr>
      </w:pPr>
      <w:r>
        <w:rPr>
          <w:rFonts w:ascii="Arial" w:cs="Arial" w:eastAsia="Arial" w:hAnsi="Arial"/>
          <w:sz w:val="17"/>
          <w:szCs w:val="17"/>
          <w:color w:val="auto"/>
        </w:rPr>
        <w:t>A certificate from the Borrower (signed by an authorized signatory) confirming that borrowing or guaranteeing, as appropriate, the Total Commitments would not cause any borrowing, guaranteeing or similar limit binding on it to be exceeded.</w:t>
      </w:r>
    </w:p>
    <w:p>
      <w:pPr>
        <w:spacing w:after="0" w:line="157" w:lineRule="exact"/>
        <w:rPr>
          <w:rFonts w:ascii="Arial" w:cs="Arial" w:eastAsia="Arial" w:hAnsi="Arial"/>
          <w:sz w:val="17"/>
          <w:szCs w:val="17"/>
          <w:color w:val="auto"/>
        </w:rPr>
      </w:pPr>
    </w:p>
    <w:p>
      <w:pPr>
        <w:ind w:left="1253" w:right="240" w:hanging="559"/>
        <w:spacing w:after="0" w:line="267" w:lineRule="auto"/>
        <w:tabs>
          <w:tab w:leader="none" w:pos="1269"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certificate of an authorised signatory of the Borrower certifying that each copy document relating to it specified in Schedule 2 is correct, complete and in full force and effect as at a date no earlier than the date of this agreement.</w:t>
      </w:r>
    </w:p>
    <w:p>
      <w:pPr>
        <w:spacing w:after="0" w:line="172" w:lineRule="exact"/>
        <w:rPr>
          <w:rFonts w:ascii="Arial" w:cs="Arial" w:eastAsia="Arial" w:hAnsi="Arial"/>
          <w:sz w:val="18"/>
          <w:szCs w:val="18"/>
          <w:color w:val="auto"/>
        </w:rPr>
      </w:pPr>
    </w:p>
    <w:p>
      <w:pPr>
        <w:ind w:left="693" w:hanging="693"/>
        <w:spacing w:after="0"/>
        <w:tabs>
          <w:tab w:leader="none" w:pos="693"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5" w:lineRule="exact"/>
        <w:rPr>
          <w:rFonts w:ascii="Arial" w:cs="Arial" w:eastAsia="Arial" w:hAnsi="Arial"/>
          <w:sz w:val="18"/>
          <w:szCs w:val="18"/>
          <w:b w:val="1"/>
          <w:bCs w:val="1"/>
          <w:color w:val="auto"/>
        </w:rPr>
      </w:pPr>
    </w:p>
    <w:p>
      <w:pPr>
        <w:ind w:left="1253" w:right="40" w:hanging="559"/>
        <w:spacing w:after="0" w:line="267" w:lineRule="auto"/>
        <w:tabs>
          <w:tab w:leader="none" w:pos="125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legal opinion in relation to Hong Kong law from Ashurst addressed to the MLABs, the Agent and the Original Lenders, substantially in the form distributed to the MLABs prior to signing this agreement.</w:t>
      </w:r>
    </w:p>
    <w:p>
      <w:pPr>
        <w:spacing w:after="0" w:line="178" w:lineRule="exact"/>
        <w:rPr>
          <w:rFonts w:ascii="Arial" w:cs="Arial" w:eastAsia="Arial" w:hAnsi="Arial"/>
          <w:sz w:val="18"/>
          <w:szCs w:val="18"/>
          <w:color w:val="auto"/>
        </w:rPr>
      </w:pPr>
    </w:p>
    <w:p>
      <w:pPr>
        <w:ind w:left="1253" w:right="880" w:hanging="559"/>
        <w:spacing w:after="0" w:line="267" w:lineRule="auto"/>
        <w:tabs>
          <w:tab w:leader="none" w:pos="126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legal opinion as to the laws of the Cayman Islands from Walkers addressed to the MLABs, the Agent and the Original Lenders, substantially in the form distributed to the MLABs prior to signing this agreement.</w:t>
      </w:r>
    </w:p>
    <w:p>
      <w:pPr>
        <w:spacing w:after="0" w:line="172" w:lineRule="exact"/>
        <w:rPr>
          <w:rFonts w:ascii="Arial" w:cs="Arial" w:eastAsia="Arial" w:hAnsi="Arial"/>
          <w:sz w:val="18"/>
          <w:szCs w:val="18"/>
          <w:color w:val="auto"/>
        </w:rPr>
      </w:pPr>
    </w:p>
    <w:p>
      <w:pPr>
        <w:ind w:left="693" w:hanging="693"/>
        <w:spacing w:after="0"/>
        <w:tabs>
          <w:tab w:leader="none" w:pos="693"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25" w:lineRule="exact"/>
        <w:rPr>
          <w:rFonts w:ascii="Arial" w:cs="Arial" w:eastAsia="Arial" w:hAnsi="Arial"/>
          <w:sz w:val="18"/>
          <w:szCs w:val="18"/>
          <w:b w:val="1"/>
          <w:bCs w:val="1"/>
          <w:color w:val="auto"/>
        </w:rPr>
      </w:pPr>
    </w:p>
    <w:p>
      <w:pPr>
        <w:ind w:left="1253" w:hanging="559"/>
        <w:spacing w:after="0"/>
        <w:tabs>
          <w:tab w:leader="none" w:pos="125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Evidence that the process agent referred to in Clause 39.2 (Service of process) has accepted its appointment.</w:t>
      </w:r>
    </w:p>
    <w:p>
      <w:pPr>
        <w:spacing w:after="0" w:line="219" w:lineRule="exact"/>
        <w:rPr>
          <w:rFonts w:ascii="Arial" w:cs="Arial" w:eastAsia="Arial" w:hAnsi="Arial"/>
          <w:sz w:val="18"/>
          <w:szCs w:val="18"/>
          <w:color w:val="auto"/>
        </w:rPr>
      </w:pPr>
    </w:p>
    <w:p>
      <w:pPr>
        <w:ind w:left="1253" w:hanging="559"/>
        <w:spacing w:after="0"/>
        <w:tabs>
          <w:tab w:leader="none" w:pos="125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The Original Financial Statements of the Borrower.</w:t>
      </w:r>
    </w:p>
    <w:p>
      <w:pPr>
        <w:spacing w:after="0" w:line="219" w:lineRule="exact"/>
        <w:rPr>
          <w:rFonts w:ascii="Arial" w:cs="Arial" w:eastAsia="Arial" w:hAnsi="Arial"/>
          <w:sz w:val="18"/>
          <w:szCs w:val="18"/>
          <w:color w:val="auto"/>
        </w:rPr>
      </w:pPr>
    </w:p>
    <w:p>
      <w:pPr>
        <w:ind w:left="1253" w:hanging="559"/>
        <w:spacing w:after="0" w:line="267" w:lineRule="auto"/>
        <w:tabs>
          <w:tab w:leader="none" w:pos="1269" w:val="left"/>
        </w:tabs>
        <w:numPr>
          <w:ilvl w:val="1"/>
          <w:numId w:val="433"/>
        </w:numPr>
        <w:rPr>
          <w:rFonts w:ascii="Arial" w:cs="Arial" w:eastAsia="Arial" w:hAnsi="Arial"/>
          <w:sz w:val="18"/>
          <w:szCs w:val="18"/>
          <w:color w:val="auto"/>
        </w:rPr>
      </w:pPr>
      <w:r>
        <w:rPr>
          <w:rFonts w:ascii="Arial" w:cs="Arial" w:eastAsia="Arial" w:hAnsi="Arial"/>
          <w:sz w:val="18"/>
          <w:szCs w:val="18"/>
          <w:color w:val="auto"/>
        </w:rPr>
        <w:t>Evidence that the fees, costs and expenses then due from the Borrower pursuant to Clause 11 (Fees) and Clause 16 (Costs and Expenses) have been paid or will be paid by the first Utilisation Date.</w:t>
      </w:r>
    </w:p>
    <w:p>
      <w:pPr>
        <w:spacing w:after="0" w:line="178" w:lineRule="exact"/>
        <w:rPr>
          <w:rFonts w:ascii="Arial" w:cs="Arial" w:eastAsia="Arial" w:hAnsi="Arial"/>
          <w:sz w:val="18"/>
          <w:szCs w:val="18"/>
          <w:color w:val="auto"/>
        </w:rPr>
      </w:pPr>
    </w:p>
    <w:p>
      <w:pPr>
        <w:ind w:left="1253" w:right="60" w:hanging="559"/>
        <w:spacing w:after="0" w:line="267" w:lineRule="auto"/>
        <w:tabs>
          <w:tab w:leader="none" w:pos="1266"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All documentation required in order for each Original Lender (as at the date of this agreement) to comply with applicable “know your client” or “client vetting” procedures and the anti-money laundering regulations of each Original Lender.</w:t>
      </w:r>
    </w:p>
    <w:p>
      <w:pPr>
        <w:spacing w:after="0" w:line="17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6948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53"/>
          </w:cols>
          <w:pgMar w:left="247" w:top="334" w:right="299" w:bottom="1440" w:gutter="0" w:footer="0" w:header="0"/>
        </w:sectPr>
      </w:pPr>
    </w:p>
    <w:bookmarkStart w:id="265" w:name="page266"/>
    <w:bookmarkEnd w:id="265"/>
    <w:p>
      <w:pPr>
        <w:jc w:val="center"/>
        <w:ind w:right="-279"/>
        <w:spacing w:after="0"/>
        <w:rPr>
          <w:sz w:val="20"/>
          <w:szCs w:val="20"/>
          <w:color w:val="auto"/>
        </w:rPr>
      </w:pPr>
      <w:r>
        <w:rPr>
          <w:rFonts w:ascii="Arial" w:cs="Arial" w:eastAsia="Arial" w:hAnsi="Arial"/>
          <w:sz w:val="18"/>
          <w:szCs w:val="18"/>
          <w:b w:val="1"/>
          <w:bCs w:val="1"/>
          <w:color w:val="auto"/>
        </w:rPr>
        <w:t>SCHEDULE 3</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Utilisation Request</w:t>
      </w:r>
    </w:p>
    <w:p>
      <w:pPr>
        <w:sectPr>
          <w:pgSz w:w="11900" w:h="16838" w:orient="portrait"/>
          <w:cols w:equalWidth="0" w:num="1">
            <w:col w:w="11160"/>
          </w:cols>
          <w:pgMar w:left="240" w:top="334" w:right="49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NetEase, Inc. as Borrower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Citicorp International Limited as Agent</w:t>
      </w:r>
    </w:p>
    <w:p>
      <w:pPr>
        <w:spacing w:after="0" w:line="1052" w:lineRule="exact"/>
        <w:rPr>
          <w:sz w:val="20"/>
          <w:szCs w:val="20"/>
          <w:color w:val="auto"/>
        </w:rPr>
      </w:pPr>
    </w:p>
    <w:p>
      <w:pPr>
        <w:sectPr>
          <w:pgSz w:w="11900" w:h="16838" w:orient="portrait"/>
          <w:cols w:equalWidth="0" w:num="2">
            <w:col w:w="720" w:space="720"/>
            <w:col w:w="9720"/>
          </w:cols>
          <w:pgMar w:left="240" w:top="334" w:right="499" w:bottom="1440" w:gutter="0" w:footer="0" w:header="0"/>
          <w:type w:val="continuous"/>
        </w:sectPr>
      </w:pPr>
    </w:p>
    <w:p>
      <w:pPr>
        <w:spacing w:after="0" w:line="3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NetEase, Inc. — US$500,000,000 Syndicated Facility Agreement</w:t>
      </w:r>
    </w:p>
    <w:p>
      <w:pPr>
        <w:spacing w:after="0" w:line="46" w:lineRule="exact"/>
        <w:rPr>
          <w:sz w:val="20"/>
          <w:szCs w:val="20"/>
          <w:color w:val="auto"/>
        </w:rPr>
      </w:pPr>
    </w:p>
    <w:p>
      <w:pPr>
        <w:jc w:val="center"/>
        <w:ind w:right="-259"/>
        <w:spacing w:after="0"/>
        <w:tabs>
          <w:tab w:leader="none" w:pos="48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6"/>
          <w:szCs w:val="16"/>
          <w:b w:val="1"/>
          <w:bCs w:val="1"/>
          <w:color w:val="auto"/>
        </w:rPr>
        <w:t>] (the “Facility Agreement”)</w:t>
      </w:r>
    </w:p>
    <w:p>
      <w:pPr>
        <w:sectPr>
          <w:pgSz w:w="11900" w:h="16838" w:orient="portrait"/>
          <w:cols w:equalWidth="0" w:num="1">
            <w:col w:w="11160"/>
          </w:cols>
          <w:pgMar w:left="240" w:top="334" w:right="499" w:bottom="1440" w:gutter="0" w:footer="0" w:header="0"/>
          <w:type w:val="continuous"/>
        </w:sectPr>
      </w:pPr>
    </w:p>
    <w:p>
      <w:pPr>
        <w:spacing w:after="0" w:line="208" w:lineRule="exact"/>
        <w:rPr>
          <w:sz w:val="20"/>
          <w:szCs w:val="20"/>
          <w:color w:val="auto"/>
        </w:rPr>
      </w:pPr>
    </w:p>
    <w:p>
      <w:pPr>
        <w:ind w:left="700" w:right="260" w:hanging="693"/>
        <w:spacing w:after="0" w:line="267" w:lineRule="auto"/>
        <w:tabs>
          <w:tab w:leader="none" w:pos="70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We refer to the Facility Agreement. This is a Utilisation Request. Terms defined in the Facility Agreement shall have the same meaning in this Utilisation Request.</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1160"/>
          </w:cols>
          <w:pgMar w:left="240" w:top="334" w:right="499" w:bottom="1440" w:gutter="0" w:footer="0" w:header="0"/>
          <w:type w:val="continuous"/>
        </w:sectPr>
      </w:pPr>
    </w:p>
    <w:p>
      <w:pPr>
        <w:spacing w:after="0" w:line="219" w:lineRule="exact"/>
        <w:rPr>
          <w:sz w:val="20"/>
          <w:szCs w:val="20"/>
          <w:color w:val="auto"/>
        </w:rPr>
      </w:pPr>
    </w:p>
    <w:p>
      <w:pPr>
        <w:ind w:left="700"/>
        <w:spacing w:after="0"/>
        <w:tabs>
          <w:tab w:leader="none" w:pos="3900" w:val="left"/>
          <w:tab w:leader="none" w:pos="466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(or, if that is not a Business Day, the next Business Day)</w:t>
      </w:r>
    </w:p>
    <w:p>
      <w:pPr>
        <w:spacing w:after="0" w:line="219" w:lineRule="exact"/>
        <w:rPr>
          <w:sz w:val="20"/>
          <w:szCs w:val="20"/>
          <w:color w:val="auto"/>
        </w:rPr>
      </w:pPr>
    </w:p>
    <w:p>
      <w:pPr>
        <w:ind w:left="700"/>
        <w:spacing w:after="0"/>
        <w:tabs>
          <w:tab w:leader="none" w:pos="3900" w:val="left"/>
          <w:tab w:leader="none" w:pos="418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or, if less, the Available Facility</w:t>
      </w:r>
    </w:p>
    <w:p>
      <w:pPr>
        <w:spacing w:after="0" w:line="219" w:lineRule="exact"/>
        <w:rPr>
          <w:sz w:val="20"/>
          <w:szCs w:val="20"/>
          <w:color w:val="auto"/>
        </w:rPr>
      </w:pPr>
    </w:p>
    <w:p>
      <w:pPr>
        <w:ind w:left="700"/>
        <w:spacing w:after="0"/>
        <w:tabs>
          <w:tab w:leader="none" w:pos="3900" w:val="left"/>
          <w:tab w:leader="none" w:pos="4440" w:val="left"/>
        </w:tabs>
        <w:rPr>
          <w:sz w:val="20"/>
          <w:szCs w:val="20"/>
          <w:color w:val="auto"/>
        </w:rPr>
      </w:pPr>
      <w:r>
        <w:rPr>
          <w:rFonts w:ascii="Arial" w:cs="Arial" w:eastAsia="Arial" w:hAnsi="Arial"/>
          <w:sz w:val="18"/>
          <w:szCs w:val="18"/>
          <w:color w:val="auto"/>
        </w:rPr>
        <w:t>Interest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160"/>
          </w:cols>
          <w:pgMar w:left="240" w:top="334" w:right="499" w:bottom="1440" w:gutter="0" w:footer="0" w:header="0"/>
          <w:type w:val="continuous"/>
        </w:sectPr>
      </w:pPr>
    </w:p>
    <w:p>
      <w:pPr>
        <w:spacing w:after="0" w:line="219" w:lineRule="exact"/>
        <w:rPr>
          <w:sz w:val="20"/>
          <w:szCs w:val="20"/>
          <w:color w:val="auto"/>
        </w:rPr>
      </w:pPr>
    </w:p>
    <w:p>
      <w:pPr>
        <w:ind w:left="700" w:hanging="693"/>
        <w:spacing w:after="0"/>
        <w:tabs>
          <w:tab w:leader="none" w:pos="70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We confirm that each condition specified in Clause 4.2 (Further conditions precedent) is satisfied on the date of this Utilisation Request.</w:t>
      </w:r>
    </w:p>
    <w:p>
      <w:pPr>
        <w:spacing w:after="0" w:line="230" w:lineRule="exact"/>
        <w:rPr>
          <w:rFonts w:ascii="Arial" w:cs="Arial" w:eastAsia="Arial" w:hAnsi="Arial"/>
          <w:sz w:val="17"/>
          <w:szCs w:val="17"/>
          <w:color w:val="auto"/>
        </w:rPr>
      </w:pPr>
    </w:p>
    <w:p>
      <w:pPr>
        <w:ind w:left="700" w:hanging="693"/>
        <w:spacing w:after="0" w:line="267" w:lineRule="auto"/>
        <w:tabs>
          <w:tab w:leader="none" w:pos="69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[This Loan is to be made in [whole]/[part] for the purpose of refinancing [identify maturing Loan]/[The proceeds of this Loan should be credited to [account].]</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36283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1">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160"/>
          </w:cols>
          <w:pgMar w:left="240" w:top="334" w:right="499" w:bottom="1440" w:gutter="0" w:footer="0" w:header="0"/>
          <w:type w:val="continuous"/>
        </w:sectPr>
      </w:pPr>
    </w:p>
    <w:bookmarkStart w:id="266" w:name="page267"/>
    <w:bookmarkEnd w:id="266"/>
    <w:p>
      <w:pPr>
        <w:jc w:val="center"/>
        <w:ind w:right="-39"/>
        <w:spacing w:after="0"/>
        <w:rPr>
          <w:sz w:val="20"/>
          <w:szCs w:val="20"/>
          <w:color w:val="auto"/>
        </w:rPr>
      </w:pPr>
      <w:r>
        <w:rPr>
          <w:rFonts w:ascii="Arial" w:cs="Arial" w:eastAsia="Arial" w:hAnsi="Arial"/>
          <w:sz w:val="18"/>
          <w:szCs w:val="18"/>
          <w:b w:val="1"/>
          <w:bCs w:val="1"/>
          <w:color w:val="auto"/>
        </w:rPr>
        <w:t>SCHEDULE 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Transfer Certificate</w:t>
      </w:r>
    </w:p>
    <w:p>
      <w:pPr>
        <w:sectPr>
          <w:pgSz w:w="11900" w:h="16838" w:orient="portrait"/>
          <w:cols w:equalWidth="0" w:num="1">
            <w:col w:w="11380"/>
          </w:cols>
          <w:pgMar w:left="240" w:top="334"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Citicorp International Limited as Agent</w:t>
      </w:r>
    </w:p>
    <w:p>
      <w:pPr>
        <w:spacing w:after="0" w:line="200" w:lineRule="exact"/>
        <w:rPr>
          <w:sz w:val="20"/>
          <w:szCs w:val="20"/>
          <w:color w:val="auto"/>
        </w:rPr>
      </w:pPr>
    </w:p>
    <w:p>
      <w:pPr>
        <w:sectPr>
          <w:pgSz w:w="11900" w:h="16838" w:orient="portrait"/>
          <w:cols w:equalWidth="0" w:num="2">
            <w:col w:w="920" w:space="720"/>
            <w:col w:w="9740"/>
          </w:cols>
          <w:pgMar w:left="240" w:top="334"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Existing Lender</w:t>
      </w:r>
      <w:r>
        <w:rPr>
          <w:rFonts w:ascii="Arial" w:cs="Arial" w:eastAsia="Arial" w:hAnsi="Arial"/>
          <w:sz w:val="16"/>
          <w:szCs w:val="16"/>
          <w:color w:val="auto"/>
        </w:rPr>
        <w:t xml:space="preserve">]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i w:val="1"/>
          <w:iCs w:val="1"/>
          <w:color w:val="auto"/>
        </w:rPr>
        <w:t>The New Lender</w:t>
      </w:r>
      <w:r>
        <w:rPr>
          <w:rFonts w:ascii="Arial" w:cs="Arial" w:eastAsia="Arial" w:hAnsi="Arial"/>
          <w:sz w:val="16"/>
          <w:szCs w:val="16"/>
          <w:color w:val="auto"/>
        </w:rPr>
        <w:t xml:space="preserve">]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920" w:space="720"/>
            <w:col w:w="9740"/>
          </w:cols>
          <w:pgMar w:left="240" w:top="334"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NetEase, Inc. — US$500,000,000 Syndicated Facility Agreement</w:t>
      </w:r>
    </w:p>
    <w:p>
      <w:pPr>
        <w:spacing w:after="0" w:line="46" w:lineRule="exact"/>
        <w:rPr>
          <w:sz w:val="20"/>
          <w:szCs w:val="20"/>
          <w:color w:val="auto"/>
        </w:rPr>
      </w:pPr>
    </w:p>
    <w:p>
      <w:pPr>
        <w:jc w:val="center"/>
        <w:ind w:right="-39"/>
        <w:spacing w:after="0"/>
        <w:tabs>
          <w:tab w:leader="none" w:pos="48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6"/>
          <w:szCs w:val="16"/>
          <w:b w:val="1"/>
          <w:bCs w:val="1"/>
          <w:color w:val="auto"/>
        </w:rPr>
        <w:t>] (the “Facility Agreement”)</w:t>
      </w:r>
    </w:p>
    <w:p>
      <w:pPr>
        <w:sectPr>
          <w:pgSz w:w="11900" w:h="16838" w:orient="portrait"/>
          <w:cols w:equalWidth="0" w:num="1">
            <w:col w:w="11380"/>
          </w:cols>
          <w:pgMar w:left="240" w:top="334" w:right="279" w:bottom="1440" w:gutter="0" w:footer="0" w:header="0"/>
          <w:type w:val="continuous"/>
        </w:sectPr>
      </w:pPr>
    </w:p>
    <w:p>
      <w:pPr>
        <w:spacing w:after="0" w:line="208" w:lineRule="exact"/>
        <w:rPr>
          <w:sz w:val="20"/>
          <w:szCs w:val="20"/>
          <w:color w:val="auto"/>
        </w:rPr>
      </w:pPr>
    </w:p>
    <w:p>
      <w:pPr>
        <w:ind w:left="700" w:right="60" w:hanging="693"/>
        <w:spacing w:after="0" w:line="267" w:lineRule="auto"/>
        <w:tabs>
          <w:tab w:leader="none" w:pos="69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We refer to Clause 22.5 (Procedure for transfer) of the Facility Agreement. This is a Transfer Certificate. Terms used in the Facility Agreement shall have the same meaning in this Transfer Certificate.</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Existing Lender and the New Lender agree to the Existing Lender transferring to the New Lender by novation, and in accordance with Clause</w:t>
      </w:r>
    </w:p>
    <w:p>
      <w:pPr>
        <w:spacing w:after="0" w:line="40" w:lineRule="exact"/>
        <w:rPr>
          <w:rFonts w:ascii="Arial" w:cs="Arial" w:eastAsia="Arial" w:hAnsi="Arial"/>
          <w:sz w:val="16"/>
          <w:szCs w:val="16"/>
          <w:color w:val="auto"/>
        </w:rPr>
      </w:pPr>
    </w:p>
    <w:p>
      <w:pPr>
        <w:ind w:left="700"/>
        <w:spacing w:after="0" w:line="315" w:lineRule="auto"/>
        <w:rPr>
          <w:rFonts w:ascii="Arial" w:cs="Arial" w:eastAsia="Arial" w:hAnsi="Arial"/>
          <w:sz w:val="16"/>
          <w:szCs w:val="16"/>
          <w:color w:val="auto"/>
        </w:rPr>
      </w:pPr>
      <w:r>
        <w:rPr>
          <w:rFonts w:ascii="Arial" w:cs="Arial" w:eastAsia="Arial" w:hAnsi="Arial"/>
          <w:sz w:val="16"/>
          <w:szCs w:val="16"/>
          <w:color w:val="auto"/>
        </w:rPr>
        <w:t>22.5 (Procedure for transfer), all of the Existing Lender’s rights and obligations under the Facility Agreement and the other Finance Documents which relate to that portion of the Existing Lender’s Commitment(s) and participations in Loans under the Facility Agreement as specified in the Schedule.</w:t>
      </w:r>
    </w:p>
    <w:p>
      <w:pPr>
        <w:spacing w:after="0" w:line="145" w:lineRule="exact"/>
        <w:rPr>
          <w:sz w:val="20"/>
          <w:szCs w:val="20"/>
          <w:color w:val="auto"/>
        </w:rPr>
      </w:pPr>
    </w:p>
    <w:p>
      <w:pPr>
        <w:spacing w:after="0"/>
        <w:tabs>
          <w:tab w:leader="none" w:pos="680" w:val="left"/>
          <w:tab w:leader="none" w:pos="34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The proposed Transfer Date is [</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left="700" w:right="180" w:hanging="693"/>
        <w:spacing w:after="0" w:line="267" w:lineRule="auto"/>
        <w:tabs>
          <w:tab w:leader="none" w:pos="69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particulars for notices of the New Lender for the purposes of Clause 27.2 (Addresses) are set out in the Schedule.</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New Lender expressly acknowledges:</w:t>
      </w:r>
    </w:p>
    <w:p>
      <w:pPr>
        <w:spacing w:after="0" w:line="219" w:lineRule="exact"/>
        <w:rPr>
          <w:rFonts w:ascii="Arial" w:cs="Arial" w:eastAsia="Arial" w:hAnsi="Arial"/>
          <w:sz w:val="18"/>
          <w:szCs w:val="18"/>
          <w:color w:val="auto"/>
        </w:rPr>
      </w:pPr>
    </w:p>
    <w:p>
      <w:pPr>
        <w:ind w:left="1260" w:right="220" w:hanging="559"/>
        <w:spacing w:after="0" w:line="267" w:lineRule="auto"/>
        <w:tabs>
          <w:tab w:leader="none" w:pos="1263"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limitations on the Existing Lender’s obligations set out in paragraphs (a) and (c) of Clause 22.4 (Limitation of responsibility of Existing Lenders); and</w:t>
      </w:r>
    </w:p>
    <w:p>
      <w:pPr>
        <w:spacing w:after="0" w:line="178" w:lineRule="exact"/>
        <w:rPr>
          <w:rFonts w:ascii="Arial" w:cs="Arial" w:eastAsia="Arial" w:hAnsi="Arial"/>
          <w:sz w:val="18"/>
          <w:szCs w:val="18"/>
          <w:color w:val="auto"/>
        </w:rPr>
      </w:pPr>
    </w:p>
    <w:p>
      <w:pPr>
        <w:ind w:left="1260" w:right="40" w:hanging="559"/>
        <w:spacing w:after="0" w:line="257" w:lineRule="auto"/>
        <w:tabs>
          <w:tab w:leader="none" w:pos="1273"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that it is the responsibility of the New Lender to ascertain whether any document is required or any formality or other condition requires to be satisfied to effect or perfect the transfer contemplated by this Transfer Certificate or otherwise to enable the New Lender to enjoy the full benefit of each Finance Document.</w:t>
      </w:r>
    </w:p>
    <w:p>
      <w:pPr>
        <w:spacing w:after="0" w:line="187" w:lineRule="exact"/>
        <w:rPr>
          <w:rFonts w:ascii="Arial" w:cs="Arial" w:eastAsia="Arial" w:hAnsi="Arial"/>
          <w:sz w:val="18"/>
          <w:szCs w:val="18"/>
          <w:color w:val="auto"/>
        </w:rPr>
      </w:pPr>
    </w:p>
    <w:p>
      <w:pPr>
        <w:ind w:left="700" w:hanging="693"/>
        <w:spacing w:after="0"/>
        <w:tabs>
          <w:tab w:leader="none" w:pos="7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New Lender confirms that it is a “New Lender” within the meaning of Clause 22.1 (Assignments and transfers by the Lenders).</w:t>
      </w:r>
    </w:p>
    <w:p>
      <w:pPr>
        <w:spacing w:after="0" w:line="219" w:lineRule="exact"/>
        <w:rPr>
          <w:rFonts w:ascii="Arial" w:cs="Arial" w:eastAsia="Arial" w:hAnsi="Arial"/>
          <w:sz w:val="18"/>
          <w:szCs w:val="18"/>
          <w:color w:val="auto"/>
        </w:rPr>
      </w:pPr>
    </w:p>
    <w:p>
      <w:pPr>
        <w:ind w:left="700" w:right="620" w:hanging="693"/>
        <w:spacing w:after="0" w:line="267" w:lineRule="auto"/>
        <w:tabs>
          <w:tab w:leader="none" w:pos="69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Existing Lender and the New Lender confirm that the New Lender is not an Affiliate of the Borrower and not a person as listed in Clause 22.2(b) (Conditions of assignment or transfer).</w:t>
      </w:r>
    </w:p>
    <w:p>
      <w:pPr>
        <w:spacing w:after="0" w:line="178" w:lineRule="exact"/>
        <w:rPr>
          <w:rFonts w:ascii="Arial" w:cs="Arial" w:eastAsia="Arial" w:hAnsi="Arial"/>
          <w:sz w:val="18"/>
          <w:szCs w:val="18"/>
          <w:color w:val="auto"/>
        </w:rPr>
      </w:pPr>
    </w:p>
    <w:p>
      <w:pPr>
        <w:ind w:left="700" w:hanging="693"/>
        <w:spacing w:after="0" w:line="267" w:lineRule="auto"/>
        <w:tabs>
          <w:tab w:leader="none" w:pos="69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This Transfer Certificate is governed by the laws of Hong Kong.</w:t>
      </w:r>
    </w:p>
    <w:p>
      <w:pPr>
        <w:spacing w:after="0" w:line="219" w:lineRule="exact"/>
        <w:rPr>
          <w:rFonts w:ascii="Arial" w:cs="Arial" w:eastAsia="Arial" w:hAnsi="Arial"/>
          <w:sz w:val="18"/>
          <w:szCs w:val="18"/>
          <w:color w:val="auto"/>
        </w:rPr>
      </w:pPr>
    </w:p>
    <w:p>
      <w:pPr>
        <w:ind w:left="700" w:hanging="693"/>
        <w:spacing w:after="0"/>
        <w:tabs>
          <w:tab w:leader="none" w:pos="7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This Transfer Certificate has been entered into on the date stated at the beginning of this Transfer Certificate.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type w:val="continuous"/>
        </w:sectPr>
      </w:pPr>
    </w:p>
    <w:bookmarkStart w:id="267" w:name="page268"/>
    <w:bookmarkEnd w:id="267"/>
    <w:p>
      <w:pPr>
        <w:jc w:val="center"/>
        <w:ind w:right="-399"/>
        <w:spacing w:after="0"/>
        <w:rPr>
          <w:sz w:val="20"/>
          <w:szCs w:val="20"/>
          <w:color w:val="auto"/>
        </w:rPr>
      </w:pPr>
      <w:r>
        <w:rPr>
          <w:rFonts w:ascii="Arial" w:cs="Arial" w:eastAsia="Arial" w:hAnsi="Arial"/>
          <w:sz w:val="18"/>
          <w:szCs w:val="18"/>
          <w:b w:val="1"/>
          <w:bCs w:val="1"/>
          <w:color w:val="auto"/>
        </w:rPr>
        <w:t>THE SCHEDULE</w:t>
      </w: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Commitment/rights and obligations to be transferred</w:t>
      </w: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Facility office address, fax number and attention details for notices and account details for payments</w:t>
      </w:r>
      <w:r>
        <w:rPr>
          <w:rFonts w:ascii="Arial" w:cs="Arial" w:eastAsia="Arial" w:hAnsi="Arial"/>
          <w:sz w:val="17"/>
          <w:szCs w:val="17"/>
          <w:color w:val="auto"/>
        </w:rPr>
        <w:t>]</w:t>
      </w:r>
    </w:p>
    <w:p>
      <w:pPr>
        <w:sectPr>
          <w:pgSz w:w="11900" w:h="16838" w:orient="portrait"/>
          <w:cols w:equalWidth="0" w:num="1">
            <w:col w:w="11020"/>
          </w:cols>
          <w:pgMar w:left="240" w:top="334" w:right="6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Lender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Lender</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000" w:space="720"/>
            <w:col w:w="5300"/>
          </w:cols>
          <w:pgMar w:left="240" w:top="334" w:right="63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504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000" w:space="720"/>
            <w:col w:w="5300"/>
          </w:cols>
          <w:pgMar w:left="240" w:top="334" w:right="6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This Transfer Certificate is executed by the Agent and the Transfer Date is confirmed as [</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Agent</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63" w:lineRule="exact"/>
        <w:rPr>
          <w:sz w:val="20"/>
          <w:szCs w:val="20"/>
          <w:color w:val="auto"/>
        </w:rPr>
      </w:pPr>
    </w:p>
    <w:p>
      <w:pPr>
        <w:sectPr>
          <w:pgSz w:w="11900" w:h="16838" w:orient="portrait"/>
          <w:cols w:equalWidth="0" w:num="2">
            <w:col w:w="6360" w:space="500"/>
            <w:col w:w="4160"/>
          </w:cols>
          <w:pgMar w:left="240" w:top="334" w:right="6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both"/>
        <w:ind w:left="640" w:hanging="638"/>
        <w:spacing w:after="0" w:line="257" w:lineRule="auto"/>
        <w:tabs>
          <w:tab w:leader="none" w:pos="620" w:val="left"/>
        </w:tabs>
        <w:rPr>
          <w:sz w:val="20"/>
          <w:szCs w:val="20"/>
          <w:color w:val="auto"/>
        </w:rPr>
      </w:pPr>
      <w:r>
        <w:rPr>
          <w:rFonts w:ascii="Arial" w:cs="Arial" w:eastAsia="Arial" w:hAnsi="Arial"/>
          <w:sz w:val="18"/>
          <w:szCs w:val="18"/>
          <w:b w:val="1"/>
          <w:bCs w:val="1"/>
          <w:i w:val="1"/>
          <w:iCs w:val="1"/>
          <w:color w:val="auto"/>
        </w:rPr>
        <w:t>Note:</w:t>
        <w:tab/>
        <w:t>It is the New Lender’s responsibility to ascertain whether any other document is required, or any formality or other condition is required to be satisfied, to effect or perfect the transfer contemplated in this Transfer Certificate or to give the New Lender full enjoyment of all the Finance Documents.</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020"/>
          </w:cols>
          <w:pgMar w:left="240" w:top="334" w:right="639" w:bottom="1440" w:gutter="0" w:footer="0" w:header="0"/>
          <w:type w:val="continuous"/>
        </w:sectPr>
      </w:pPr>
    </w:p>
    <w:bookmarkStart w:id="268" w:name="page269"/>
    <w:bookmarkEnd w:id="268"/>
    <w:p>
      <w:pPr>
        <w:jc w:val="center"/>
        <w:ind w:right="-79"/>
        <w:spacing w:after="0"/>
        <w:rPr>
          <w:sz w:val="20"/>
          <w:szCs w:val="20"/>
          <w:color w:val="auto"/>
        </w:rPr>
      </w:pPr>
      <w:r>
        <w:rPr>
          <w:rFonts w:ascii="Arial" w:cs="Arial" w:eastAsia="Arial" w:hAnsi="Arial"/>
          <w:sz w:val="18"/>
          <w:szCs w:val="18"/>
          <w:b w:val="1"/>
          <w:bCs w:val="1"/>
          <w:color w:val="auto"/>
        </w:rPr>
        <w:t>SCHEDULE 5</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Form of Assignment Agreement</w:t>
      </w:r>
    </w:p>
    <w:p>
      <w:pPr>
        <w:sectPr>
          <w:pgSz w:w="11900" w:h="16838" w:orient="portrait"/>
          <w:cols w:equalWidth="0" w:num="1">
            <w:col w:w="11340"/>
          </w:cols>
          <w:pgMar w:left="240" w:top="334" w:right="31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Citicorp International Limited as Agent and NetEase, Inc. as </w:t>
      </w:r>
      <w:r>
        <w:rPr>
          <w:rFonts w:ascii="Arial" w:cs="Arial" w:eastAsia="Arial" w:hAnsi="Arial"/>
          <w:sz w:val="16"/>
          <w:szCs w:val="16"/>
          <w:b w:val="1"/>
          <w:bCs w:val="1"/>
          <w:color w:val="auto"/>
        </w:rPr>
        <w:t>Borrower</w:t>
      </w:r>
    </w:p>
    <w:p>
      <w:pPr>
        <w:spacing w:after="0" w:line="205" w:lineRule="exact"/>
        <w:rPr>
          <w:sz w:val="20"/>
          <w:szCs w:val="20"/>
          <w:color w:val="auto"/>
        </w:rPr>
      </w:pPr>
    </w:p>
    <w:p>
      <w:pPr>
        <w:sectPr>
          <w:pgSz w:w="11900" w:h="16838" w:orient="portrait"/>
          <w:cols w:equalWidth="0" w:num="2">
            <w:col w:w="520" w:space="720"/>
            <w:col w:w="10100"/>
          </w:cols>
          <w:pgMar w:left="240" w:top="334" w:right="31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Existing Lende</w:t>
      </w:r>
      <w:r>
        <w:rPr>
          <w:rFonts w:ascii="Arial" w:cs="Arial" w:eastAsia="Arial" w:hAnsi="Arial"/>
          <w:sz w:val="16"/>
          <w:szCs w:val="16"/>
          <w:color w:val="auto"/>
        </w:rPr>
        <w:t xml:space="preserve">r]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i w:val="1"/>
          <w:iCs w:val="1"/>
          <w:color w:val="auto"/>
        </w:rPr>
        <w:t>the New Lender</w:t>
      </w:r>
      <w:r>
        <w:rPr>
          <w:rFonts w:ascii="Arial" w:cs="Arial" w:eastAsia="Arial" w:hAnsi="Arial"/>
          <w:sz w:val="16"/>
          <w:szCs w:val="16"/>
          <w:color w:val="auto"/>
        </w:rPr>
        <w:t xml:space="preserve">]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520" w:space="720"/>
            <w:col w:w="10100"/>
          </w:cols>
          <w:pgMar w:left="240" w:top="334" w:right="31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[insert date]</w:t>
      </w:r>
    </w:p>
    <w:p>
      <w:pPr>
        <w:spacing w:after="0" w:line="200" w:lineRule="exact"/>
        <w:rPr>
          <w:sz w:val="20"/>
          <w:szCs w:val="20"/>
          <w:color w:val="auto"/>
        </w:rPr>
      </w:pPr>
    </w:p>
    <w:p>
      <w:pPr>
        <w:sectPr>
          <w:pgSz w:w="11900" w:h="16838" w:orient="portrait"/>
          <w:cols w:equalWidth="0" w:num="2">
            <w:col w:w="520" w:space="720"/>
            <w:col w:w="10100"/>
          </w:cols>
          <w:pgMar w:left="240" w:top="334" w:right="319" w:bottom="1440" w:gutter="0" w:footer="0" w:header="0"/>
          <w:type w:val="continuous"/>
        </w:sectPr>
      </w:pP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NetEase, Inc. — US$500,000,000 Syndicated Facility Agreement</w:t>
      </w:r>
    </w:p>
    <w:p>
      <w:pPr>
        <w:spacing w:after="0" w:line="46" w:lineRule="exact"/>
        <w:rPr>
          <w:sz w:val="20"/>
          <w:szCs w:val="20"/>
          <w:color w:val="auto"/>
        </w:rPr>
      </w:pPr>
    </w:p>
    <w:p>
      <w:pPr>
        <w:jc w:val="center"/>
        <w:ind w:right="-99"/>
        <w:spacing w:after="0"/>
        <w:tabs>
          <w:tab w:leader="none" w:pos="24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6"/>
          <w:szCs w:val="16"/>
          <w:b w:val="1"/>
          <w:bCs w:val="1"/>
          <w:color w:val="auto"/>
        </w:rPr>
        <w:t>] (the “Facility Agreement”)</w:t>
      </w:r>
    </w:p>
    <w:p>
      <w:pPr>
        <w:sectPr>
          <w:pgSz w:w="11900" w:h="16838" w:orient="portrait"/>
          <w:cols w:equalWidth="0" w:num="1">
            <w:col w:w="11340"/>
          </w:cols>
          <w:pgMar w:left="240" w:top="334" w:right="319" w:bottom="1440" w:gutter="0" w:footer="0" w:header="0"/>
          <w:type w:val="continuous"/>
        </w:sectPr>
      </w:pPr>
    </w:p>
    <w:p>
      <w:pPr>
        <w:spacing w:after="0" w:line="208" w:lineRule="exact"/>
        <w:rPr>
          <w:sz w:val="20"/>
          <w:szCs w:val="20"/>
          <w:color w:val="auto"/>
        </w:rPr>
      </w:pPr>
    </w:p>
    <w:p>
      <w:pPr>
        <w:ind w:left="700" w:right="420" w:hanging="693"/>
        <w:spacing w:after="0" w:line="267" w:lineRule="auto"/>
        <w:tabs>
          <w:tab w:leader="none" w:pos="69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We refer to the Facility Agreement. This is an Assignment Agreement. Terms defined in the Facility Agreement have the same meaning in this Assignment Agreement unless given a different meaning in this Assignment Agreement.</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We refer to Clause 22.6 (Procedure for assignment) of the Facility Agreement:</w:t>
      </w:r>
    </w:p>
    <w:p>
      <w:pPr>
        <w:spacing w:after="0" w:line="219" w:lineRule="exact"/>
        <w:rPr>
          <w:rFonts w:ascii="Arial" w:cs="Arial" w:eastAsia="Arial" w:hAnsi="Arial"/>
          <w:sz w:val="18"/>
          <w:szCs w:val="18"/>
          <w:color w:val="auto"/>
        </w:rPr>
      </w:pPr>
    </w:p>
    <w:p>
      <w:pPr>
        <w:ind w:left="1260" w:right="260" w:hanging="559"/>
        <w:spacing w:after="0" w:line="257" w:lineRule="auto"/>
        <w:tabs>
          <w:tab w:leader="none" w:pos="1263"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Facility Agreement and the other Finance Documents which relate to that portion of the Existing Lender’s Commitment(s) and participations in Loans under the Facility Agreement as specified in the Schedule.</w:t>
      </w:r>
    </w:p>
    <w:p>
      <w:pPr>
        <w:spacing w:after="0" w:line="187" w:lineRule="exact"/>
        <w:rPr>
          <w:rFonts w:ascii="Arial" w:cs="Arial" w:eastAsia="Arial" w:hAnsi="Arial"/>
          <w:sz w:val="18"/>
          <w:szCs w:val="18"/>
          <w:color w:val="auto"/>
        </w:rPr>
      </w:pPr>
    </w:p>
    <w:p>
      <w:pPr>
        <w:ind w:left="1260" w:right="360" w:hanging="559"/>
        <w:spacing w:after="0" w:line="267" w:lineRule="auto"/>
        <w:tabs>
          <w:tab w:leader="none" w:pos="1273"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Loans under the Facility Agreement specified in the Schedule.</w:t>
      </w:r>
    </w:p>
    <w:p>
      <w:pPr>
        <w:spacing w:after="0" w:line="178" w:lineRule="exact"/>
        <w:rPr>
          <w:rFonts w:ascii="Arial" w:cs="Arial" w:eastAsia="Arial" w:hAnsi="Arial"/>
          <w:sz w:val="18"/>
          <w:szCs w:val="18"/>
          <w:color w:val="auto"/>
        </w:rPr>
      </w:pPr>
    </w:p>
    <w:p>
      <w:pPr>
        <w:ind w:left="1260" w:right="300" w:hanging="559"/>
        <w:spacing w:after="0" w:line="267" w:lineRule="auto"/>
        <w:tabs>
          <w:tab w:leader="none" w:pos="1276" w:val="left"/>
        </w:tabs>
        <w:numPr>
          <w:ilvl w:val="1"/>
          <w:numId w:val="438"/>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79" w:lineRule="exact"/>
        <w:rPr>
          <w:sz w:val="20"/>
          <w:szCs w:val="20"/>
          <w:color w:val="auto"/>
        </w:rPr>
      </w:pPr>
    </w:p>
    <w:p>
      <w:pPr>
        <w:spacing w:after="0"/>
        <w:tabs>
          <w:tab w:leader="none" w:pos="680" w:val="left"/>
          <w:tab w:leader="none" w:pos="32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The proposed Transfer Date is [</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700" w:hanging="693"/>
        <w:spacing w:after="0"/>
        <w:tabs>
          <w:tab w:leader="none" w:pos="7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On the Transfer Date, the New Lender becomes Party to the Finance Documents as a Lender.</w:t>
      </w:r>
    </w:p>
    <w:p>
      <w:pPr>
        <w:spacing w:after="0" w:line="219" w:lineRule="exact"/>
        <w:rPr>
          <w:rFonts w:ascii="Arial" w:cs="Arial" w:eastAsia="Arial" w:hAnsi="Arial"/>
          <w:sz w:val="18"/>
          <w:szCs w:val="18"/>
          <w:color w:val="auto"/>
        </w:rPr>
      </w:pPr>
    </w:p>
    <w:p>
      <w:pPr>
        <w:ind w:left="700" w:right="240" w:hanging="693"/>
        <w:spacing w:after="0" w:line="267" w:lineRule="auto"/>
        <w:tabs>
          <w:tab w:leader="none" w:pos="69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27.2 (Addresses) of the Facility Agreement are set out in the Schedule.</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New Lender expressly acknowledges:</w:t>
      </w:r>
    </w:p>
    <w:p>
      <w:pPr>
        <w:spacing w:after="0" w:line="219" w:lineRule="exact"/>
        <w:rPr>
          <w:rFonts w:ascii="Arial" w:cs="Arial" w:eastAsia="Arial" w:hAnsi="Arial"/>
          <w:sz w:val="18"/>
          <w:szCs w:val="18"/>
          <w:color w:val="auto"/>
        </w:rPr>
      </w:pPr>
    </w:p>
    <w:p>
      <w:pPr>
        <w:ind w:left="1260" w:right="180" w:hanging="559"/>
        <w:spacing w:after="0" w:line="267" w:lineRule="auto"/>
        <w:tabs>
          <w:tab w:leader="none" w:pos="126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the limitations on the Existing Lender’s obligations set out in paragraphs (a) and (c) of Clause 22.4 (Limitation of responsibility of Existing Lenders) of the Facility Agreement; and</w:t>
      </w:r>
    </w:p>
    <w:p>
      <w:pPr>
        <w:spacing w:after="0" w:line="178" w:lineRule="exact"/>
        <w:rPr>
          <w:rFonts w:ascii="Arial" w:cs="Arial" w:eastAsia="Arial" w:hAnsi="Arial"/>
          <w:sz w:val="18"/>
          <w:szCs w:val="18"/>
          <w:color w:val="auto"/>
        </w:rPr>
      </w:pPr>
    </w:p>
    <w:p>
      <w:pPr>
        <w:jc w:val="both"/>
        <w:ind w:left="1260" w:hanging="559"/>
        <w:spacing w:after="0" w:line="257" w:lineRule="auto"/>
        <w:tabs>
          <w:tab w:leader="none" w:pos="127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that it is the responsibility of the New Lender to ascertain whether any document is required or any formality or other condition requires to be satisfied to effect or perfect the transfer contemplated by this Assignment Agreement or otherwise to enable the New Lender to enjoy the full benefit of each Finance Document.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type w:val="continuous"/>
        </w:sectPr>
      </w:pPr>
    </w:p>
    <w:bookmarkStart w:id="269" w:name="page270"/>
    <w:bookmarkEnd w:id="269"/>
    <w:p>
      <w:pPr>
        <w:ind w:left="693" w:hanging="693"/>
        <w:spacing w:after="0"/>
        <w:tabs>
          <w:tab w:leader="none" w:pos="69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New Lender confirms that it is a “New Lender” within the meaning of Clause 22.1 (Assignments and transfers by the Lenders).</w:t>
      </w:r>
    </w:p>
    <w:p>
      <w:pPr>
        <w:spacing w:after="0" w:line="219" w:lineRule="exact"/>
        <w:rPr>
          <w:rFonts w:ascii="Arial" w:cs="Arial" w:eastAsia="Arial" w:hAnsi="Arial"/>
          <w:sz w:val="18"/>
          <w:szCs w:val="18"/>
          <w:color w:val="auto"/>
        </w:rPr>
      </w:pPr>
    </w:p>
    <w:p>
      <w:pPr>
        <w:ind w:left="693" w:hanging="693"/>
        <w:spacing w:after="0"/>
        <w:tabs>
          <w:tab w:leader="none" w:pos="69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Existing Lender and the New Lender confirm that the New Lender is not an Affiliate of the Borrower.</w:t>
      </w:r>
    </w:p>
    <w:p>
      <w:pPr>
        <w:spacing w:after="0" w:line="219" w:lineRule="exact"/>
        <w:rPr>
          <w:rFonts w:ascii="Arial" w:cs="Arial" w:eastAsia="Arial" w:hAnsi="Arial"/>
          <w:sz w:val="18"/>
          <w:szCs w:val="18"/>
          <w:color w:val="auto"/>
        </w:rPr>
      </w:pPr>
    </w:p>
    <w:p>
      <w:pPr>
        <w:ind w:left="693" w:right="160" w:hanging="693"/>
        <w:spacing w:after="0" w:line="267" w:lineRule="auto"/>
        <w:tabs>
          <w:tab w:leader="none" w:pos="69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Assignment Agreement acts as notice to the Agent (on behalf of each Finance Party) and, upon delivery in accordance with Clause 22.7 of the Facility Agreement, to the Borrower of the assignment referred to in this Assignment Agreement.</w:t>
      </w:r>
    </w:p>
    <w:p>
      <w:pPr>
        <w:spacing w:after="0" w:line="178" w:lineRule="exact"/>
        <w:rPr>
          <w:rFonts w:ascii="Arial" w:cs="Arial" w:eastAsia="Arial" w:hAnsi="Arial"/>
          <w:sz w:val="18"/>
          <w:szCs w:val="18"/>
          <w:color w:val="auto"/>
        </w:rPr>
      </w:pPr>
    </w:p>
    <w:p>
      <w:pPr>
        <w:ind w:left="693" w:hanging="693"/>
        <w:spacing w:after="0" w:line="267" w:lineRule="auto"/>
        <w:tabs>
          <w:tab w:leader="none" w:pos="68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Assignment Agreement may be executed in any number of counterparts and this has the same effect as if the signatures on the counterparts were on a single copy of this Assignment Agreement.</w:t>
      </w:r>
    </w:p>
    <w:p>
      <w:pPr>
        <w:spacing w:after="0" w:line="178" w:lineRule="exact"/>
        <w:rPr>
          <w:rFonts w:ascii="Arial" w:cs="Arial" w:eastAsia="Arial" w:hAnsi="Arial"/>
          <w:sz w:val="18"/>
          <w:szCs w:val="18"/>
          <w:color w:val="auto"/>
        </w:rPr>
      </w:pPr>
    </w:p>
    <w:p>
      <w:pPr>
        <w:ind w:left="673" w:hanging="673"/>
        <w:spacing w:after="0"/>
        <w:tabs>
          <w:tab w:leader="none" w:pos="67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Assignment Agreement is governed by the laws of Hong Kong.</w:t>
      </w:r>
    </w:p>
    <w:p>
      <w:pPr>
        <w:spacing w:after="0" w:line="219" w:lineRule="exact"/>
        <w:rPr>
          <w:rFonts w:ascii="Arial" w:cs="Arial" w:eastAsia="Arial" w:hAnsi="Arial"/>
          <w:sz w:val="18"/>
          <w:szCs w:val="18"/>
          <w:color w:val="auto"/>
        </w:rPr>
      </w:pPr>
    </w:p>
    <w:p>
      <w:pPr>
        <w:ind w:left="693" w:hanging="693"/>
        <w:spacing w:after="0"/>
        <w:tabs>
          <w:tab w:leader="none" w:pos="69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Assignment Agreement has been entered into on the date stated at the beginning of this Assignment Agreement.</w:t>
      </w:r>
    </w:p>
    <w:p>
      <w:pPr>
        <w:spacing w:after="0" w:line="219"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6948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13"/>
          </w:cols>
          <w:pgMar w:left="247" w:top="340" w:right="339" w:bottom="1440" w:gutter="0" w:footer="0" w:header="0"/>
        </w:sectPr>
      </w:pPr>
    </w:p>
    <w:bookmarkStart w:id="270" w:name="page271"/>
    <w:bookmarkEnd w:id="270"/>
    <w:p>
      <w:pPr>
        <w:jc w:val="center"/>
        <w:ind w:right="-339"/>
        <w:spacing w:after="0"/>
        <w:rPr>
          <w:sz w:val="20"/>
          <w:szCs w:val="20"/>
          <w:color w:val="auto"/>
        </w:rPr>
      </w:pPr>
      <w:r>
        <w:rPr>
          <w:rFonts w:ascii="Arial" w:cs="Arial" w:eastAsia="Arial" w:hAnsi="Arial"/>
          <w:sz w:val="18"/>
          <w:szCs w:val="18"/>
          <w:b w:val="1"/>
          <w:bCs w:val="1"/>
          <w:color w:val="auto"/>
        </w:rPr>
        <w:t>THE SCHEDULE</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Rights to be assigned and obligations to be released and undertaken</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19"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Facility office address, fax number and attention details for notices and account details for payments</w:t>
      </w:r>
      <w:r>
        <w:rPr>
          <w:rFonts w:ascii="Arial" w:cs="Arial" w:eastAsia="Arial" w:hAnsi="Arial"/>
          <w:sz w:val="16"/>
          <w:szCs w:val="16"/>
          <w:color w:val="auto"/>
        </w:rPr>
        <w:t>]</w:t>
      </w:r>
    </w:p>
    <w:p>
      <w:pPr>
        <w:sectPr>
          <w:pgSz w:w="11900" w:h="16838" w:orient="portrait"/>
          <w:cols w:equalWidth="0" w:num="1">
            <w:col w:w="11080"/>
          </w:cols>
          <w:pgMar w:left="240" w:top="334" w:right="57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Lender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4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Lender</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000" w:space="720"/>
            <w:col w:w="5360"/>
          </w:cols>
          <w:pgMar w:left="240" w:top="334" w:right="57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510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000" w:space="720"/>
            <w:col w:w="5360"/>
          </w:cols>
          <w:pgMar w:left="240" w:top="334" w:right="5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Agreement is accepted by the Agent and the Transfer Date is confirmed as [·].</w:t>
      </w:r>
    </w:p>
    <w:p>
      <w:pPr>
        <w:spacing w:after="0" w:line="2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Signature of this Assignment Agreement by the Agent constitutes confirmation by the Agent of receipt of notice of the assignment referred to herein, which notice the Agent receives on behalf of each Finance Party.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40" w:right="60" w:hanging="638"/>
        <w:spacing w:after="0" w:line="257" w:lineRule="auto"/>
        <w:tabs>
          <w:tab w:leader="none" w:pos="620" w:val="left"/>
        </w:tabs>
        <w:rPr>
          <w:sz w:val="20"/>
          <w:szCs w:val="20"/>
          <w:color w:val="auto"/>
        </w:rPr>
      </w:pPr>
      <w:r>
        <w:rPr>
          <w:rFonts w:ascii="Arial" w:cs="Arial" w:eastAsia="Arial" w:hAnsi="Arial"/>
          <w:sz w:val="18"/>
          <w:szCs w:val="18"/>
          <w:b w:val="1"/>
          <w:bCs w:val="1"/>
          <w:i w:val="1"/>
          <w:iCs w:val="1"/>
          <w:color w:val="auto"/>
        </w:rPr>
        <w:t>Note:</w:t>
        <w:tab/>
        <w:t>It is the New Lender’s responsibility to ascertain whether any other document is required, or any formality or other condition is required to be satisfied, to effect or perfect the assignment/release/assumption of obligations contemplated in this Assignment Agreement or to give the New Lender full enjoyment of all the Finance Documents.</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080"/>
          </w:cols>
          <w:pgMar w:left="240" w:top="334" w:right="579" w:bottom="1440" w:gutter="0" w:footer="0" w:header="0"/>
          <w:type w:val="continuous"/>
        </w:sectPr>
      </w:pPr>
    </w:p>
    <w:bookmarkStart w:id="271" w:name="page272"/>
    <w:bookmarkEnd w:id="271"/>
    <w:p>
      <w:pPr>
        <w:jc w:val="center"/>
        <w:ind w:right="-39"/>
        <w:spacing w:after="0"/>
        <w:rPr>
          <w:sz w:val="20"/>
          <w:szCs w:val="20"/>
          <w:color w:val="auto"/>
        </w:rPr>
      </w:pPr>
      <w:r>
        <w:rPr>
          <w:rFonts w:ascii="Arial" w:cs="Arial" w:eastAsia="Arial" w:hAnsi="Arial"/>
          <w:sz w:val="18"/>
          <w:szCs w:val="18"/>
          <w:b w:val="1"/>
          <w:bCs w:val="1"/>
          <w:color w:val="auto"/>
        </w:rPr>
        <w:t>SCHEDULE 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Compliance Certificate</w:t>
      </w:r>
    </w:p>
    <w:p>
      <w:pPr>
        <w:sectPr>
          <w:pgSz w:w="11900" w:h="16838" w:orient="portrait"/>
          <w:cols w:equalWidth="0" w:num="1">
            <w:col w:w="11380"/>
          </w:cols>
          <w:pgMar w:left="240" w:top="334"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Citicorp International Limited as Agent</w:t>
      </w:r>
    </w:p>
    <w:p>
      <w:pPr>
        <w:spacing w:after="0" w:line="200" w:lineRule="exact"/>
        <w:rPr>
          <w:sz w:val="20"/>
          <w:szCs w:val="20"/>
          <w:color w:val="auto"/>
        </w:rPr>
      </w:pPr>
    </w:p>
    <w:p>
      <w:pPr>
        <w:sectPr>
          <w:pgSz w:w="11900" w:h="16838" w:orient="portrait"/>
          <w:cols w:equalWidth="0" w:num="2">
            <w:col w:w="720" w:space="720"/>
            <w:col w:w="9940"/>
          </w:cols>
          <w:pgMar w:left="240" w:top="334"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NetEase, Inc. as Borrower</w:t>
      </w:r>
    </w:p>
    <w:p>
      <w:pPr>
        <w:spacing w:after="0" w:line="200" w:lineRule="exact"/>
        <w:rPr>
          <w:sz w:val="20"/>
          <w:szCs w:val="20"/>
          <w:color w:val="auto"/>
        </w:rPr>
      </w:pPr>
    </w:p>
    <w:p>
      <w:pPr>
        <w:sectPr>
          <w:pgSz w:w="11900" w:h="16838" w:orient="portrait"/>
          <w:cols w:equalWidth="0" w:num="2">
            <w:col w:w="720" w:space="720"/>
            <w:col w:w="9940"/>
          </w:cols>
          <w:pgMar w:left="240" w:top="334" w:right="27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NetEase, Inc. — US$500,000,000 Syndicated Facility Agreement</w:t>
      </w:r>
    </w:p>
    <w:p>
      <w:pPr>
        <w:spacing w:after="0" w:line="46" w:lineRule="exact"/>
        <w:rPr>
          <w:sz w:val="20"/>
          <w:szCs w:val="20"/>
          <w:color w:val="auto"/>
        </w:rPr>
      </w:pPr>
    </w:p>
    <w:p>
      <w:pPr>
        <w:jc w:val="center"/>
        <w:ind w:right="-39"/>
        <w:spacing w:after="0"/>
        <w:tabs>
          <w:tab w:leader="none" w:pos="280" w:val="left"/>
        </w:tabs>
        <w:rPr>
          <w:sz w:val="20"/>
          <w:szCs w:val="20"/>
          <w:color w:val="auto"/>
        </w:rPr>
      </w:pPr>
      <w:r>
        <w:rPr>
          <w:rFonts w:ascii="Arial" w:cs="Arial" w:eastAsia="Arial" w:hAnsi="Arial"/>
          <w:sz w:val="18"/>
          <w:szCs w:val="18"/>
          <w:b w:val="1"/>
          <w:bCs w:val="1"/>
          <w:color w:val="auto"/>
        </w:rPr>
        <w:t>dated [</w:t>
      </w:r>
      <w:r>
        <w:rPr>
          <w:sz w:val="20"/>
          <w:szCs w:val="20"/>
          <w:color w:val="auto"/>
        </w:rPr>
        <w:tab/>
      </w:r>
      <w:r>
        <w:rPr>
          <w:rFonts w:ascii="Arial" w:cs="Arial" w:eastAsia="Arial" w:hAnsi="Arial"/>
          <w:sz w:val="16"/>
          <w:szCs w:val="16"/>
          <w:b w:val="1"/>
          <w:bCs w:val="1"/>
          <w:color w:val="auto"/>
        </w:rPr>
        <w:t>] (the “Facility Agreement”)</w:t>
      </w:r>
    </w:p>
    <w:p>
      <w:pPr>
        <w:sectPr>
          <w:pgSz w:w="11900" w:h="16838" w:orient="portrait"/>
          <w:cols w:equalWidth="0" w:num="1">
            <w:col w:w="11380"/>
          </w:cols>
          <w:pgMar w:left="240" w:top="334" w:right="279" w:bottom="1440" w:gutter="0" w:footer="0" w:header="0"/>
          <w:type w:val="continuous"/>
        </w:sectPr>
      </w:pPr>
    </w:p>
    <w:p>
      <w:pPr>
        <w:spacing w:after="0" w:line="208" w:lineRule="exact"/>
        <w:rPr>
          <w:sz w:val="20"/>
          <w:szCs w:val="20"/>
          <w:color w:val="auto"/>
        </w:rPr>
      </w:pPr>
    </w:p>
    <w:p>
      <w:pPr>
        <w:ind w:left="700" w:right="400" w:hanging="693"/>
        <w:spacing w:after="0" w:line="267" w:lineRule="auto"/>
        <w:tabs>
          <w:tab w:leader="none" w:pos="69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We refer to the Facility Agreement. This is a Compliance Certificate. Terms used in the Facility Agreement shall have the same meaning in this Compliance Certificate.</w:t>
      </w:r>
    </w:p>
    <w:p>
      <w:pPr>
        <w:spacing w:after="0" w:line="178" w:lineRule="exact"/>
        <w:rPr>
          <w:rFonts w:ascii="Arial" w:cs="Arial" w:eastAsia="Arial" w:hAnsi="Arial"/>
          <w:sz w:val="18"/>
          <w:szCs w:val="18"/>
          <w:color w:val="auto"/>
        </w:rPr>
      </w:pPr>
    </w:p>
    <w:p>
      <w:pPr>
        <w:ind w:left="700" w:hanging="693"/>
        <w:spacing w:after="0"/>
        <w:tabs>
          <w:tab w:leader="none" w:pos="7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We confirm that: [Insert details of covenants to be certified including calculations]</w:t>
      </w:r>
    </w:p>
    <w:p>
      <w:pPr>
        <w:spacing w:after="0" w:line="219" w:lineRule="exact"/>
        <w:rPr>
          <w:rFonts w:ascii="Arial" w:cs="Arial" w:eastAsia="Arial" w:hAnsi="Arial"/>
          <w:sz w:val="18"/>
          <w:szCs w:val="18"/>
          <w:color w:val="auto"/>
        </w:rPr>
      </w:pPr>
    </w:p>
    <w:p>
      <w:pPr>
        <w:ind w:left="700" w:hanging="693"/>
        <w:spacing w:after="0" w:line="279" w:lineRule="auto"/>
        <w:tabs>
          <w:tab w:leader="none" w:pos="69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We confirm that the financial statements delivered with this Compliance Certificate [</w:t>
      </w:r>
      <w:r>
        <w:rPr>
          <w:rFonts w:ascii="Arial" w:cs="Arial" w:eastAsia="Arial" w:hAnsi="Arial"/>
          <w:sz w:val="17"/>
          <w:szCs w:val="17"/>
          <w:i w:val="1"/>
          <w:iCs w:val="1"/>
          <w:color w:val="auto"/>
        </w:rPr>
        <w:t>[in the case of any such financial statements which are audited]</w:t>
      </w:r>
      <w:r>
        <w:rPr>
          <w:rFonts w:ascii="Arial" w:cs="Arial" w:eastAsia="Arial" w:hAnsi="Arial"/>
          <w:sz w:val="17"/>
          <w:szCs w:val="17"/>
          <w:color w:val="auto"/>
        </w:rPr>
        <w:t xml:space="preserve"> gives a true and fair view of </w:t>
      </w:r>
      <w:r>
        <w:rPr>
          <w:rFonts w:ascii="Arial" w:cs="Arial" w:eastAsia="Arial" w:hAnsi="Arial"/>
          <w:sz w:val="17"/>
          <w:szCs w:val="17"/>
          <w:i w:val="1"/>
          <w:iCs w:val="1"/>
          <w:color w:val="auto"/>
        </w:rPr>
        <w:t>/ [in the case of any such financial statements which are unaudited]</w:t>
      </w:r>
      <w:r>
        <w:rPr>
          <w:rFonts w:ascii="Arial" w:cs="Arial" w:eastAsia="Arial" w:hAnsi="Arial"/>
          <w:sz w:val="17"/>
          <w:szCs w:val="17"/>
          <w:color w:val="auto"/>
        </w:rPr>
        <w:t xml:space="preserve"> fairly represents] the consolidated financial condition and operations of the Group as at the end of and during the applicable period to which those financial statements relate.</w:t>
      </w:r>
    </w:p>
    <w:p>
      <w:pPr>
        <w:spacing w:after="0" w:line="170" w:lineRule="exact"/>
        <w:rPr>
          <w:rFonts w:ascii="Arial" w:cs="Arial" w:eastAsia="Arial" w:hAnsi="Arial"/>
          <w:sz w:val="17"/>
          <w:szCs w:val="17"/>
          <w:color w:val="auto"/>
        </w:rPr>
      </w:pPr>
    </w:p>
    <w:p>
      <w:pPr>
        <w:ind w:left="700" w:hanging="693"/>
        <w:spacing w:after="0"/>
        <w:tabs>
          <w:tab w:leader="none" w:pos="7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[We confirm that no Default is continuing.]</w:t>
      </w:r>
      <w:r>
        <w:rPr>
          <w:rFonts w:ascii="Arial" w:cs="Arial" w:eastAsia="Arial" w:hAnsi="Arial"/>
          <w:sz w:val="23"/>
          <w:szCs w:val="23"/>
          <w:color w:val="auto"/>
          <w:vertAlign w:val="superscript"/>
        </w:rPr>
        <w:t>1</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11430</wp:posOffset>
            </wp:positionV>
            <wp:extent cx="30784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8">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Authorised signatory</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NetEase, Inc.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applicable certification language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1826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9">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580" w:right="1300" w:hanging="5573"/>
        <w:spacing w:after="0" w:line="447" w:lineRule="auto"/>
        <w:tabs>
          <w:tab w:leader="none" w:pos="152" w:val="left"/>
        </w:tabs>
        <w:numPr>
          <w:ilvl w:val="0"/>
          <w:numId w:val="442"/>
        </w:numPr>
        <w:rPr>
          <w:rFonts w:ascii="Arial" w:cs="Arial" w:eastAsia="Arial" w:hAnsi="Arial"/>
          <w:sz w:val="23"/>
          <w:szCs w:val="23"/>
          <w:color w:val="auto"/>
          <w:vertAlign w:val="superscript"/>
        </w:rPr>
      </w:pPr>
      <w:r>
        <w:rPr>
          <w:rFonts w:ascii="Arial" w:cs="Arial" w:eastAsia="Arial" w:hAnsi="Arial"/>
          <w:sz w:val="18"/>
          <w:szCs w:val="18"/>
          <w:color w:val="auto"/>
        </w:rPr>
        <w:t>If this statement cannot be made, the certificate should identify any Default that is continuing and the steps, if any, being taken to remedy 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type w:val="continuous"/>
        </w:sectPr>
      </w:pPr>
    </w:p>
    <w:bookmarkStart w:id="272" w:name="page273"/>
    <w:bookmarkEnd w:id="272"/>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7080" w:type="dxa"/>
            <w:vAlign w:val="bottom"/>
          </w:tcPr>
          <w:p>
            <w:pPr>
              <w:jc w:val="center"/>
              <w:ind w:right="4251"/>
              <w:spacing w:after="0"/>
              <w:rPr>
                <w:sz w:val="20"/>
                <w:szCs w:val="20"/>
                <w:color w:val="auto"/>
              </w:rPr>
            </w:pPr>
            <w:r>
              <w:rPr>
                <w:rFonts w:ascii="Arial" w:cs="Arial" w:eastAsia="Arial" w:hAnsi="Arial"/>
                <w:sz w:val="18"/>
                <w:szCs w:val="18"/>
                <w:b w:val="1"/>
                <w:bCs w:val="1"/>
                <w:color w:val="auto"/>
                <w:w w:val="96"/>
              </w:rPr>
              <w:t>SCHEDULE 7</w:t>
            </w:r>
          </w:p>
        </w:tc>
        <w:tc>
          <w:tcPr>
            <w:tcW w:w="40" w:type="dxa"/>
            <w:vAlign w:val="bottom"/>
          </w:tcPr>
          <w:p>
            <w:pPr>
              <w:spacing w:after="0"/>
              <w:rPr>
                <w:sz w:val="20"/>
                <w:szCs w:val="20"/>
                <w:color w:val="auto"/>
              </w:rPr>
            </w:pPr>
          </w:p>
        </w:tc>
      </w:tr>
      <w:tr>
        <w:trPr>
          <w:trHeight w:val="426"/>
        </w:trPr>
        <w:tc>
          <w:tcPr>
            <w:tcW w:w="4340" w:type="dxa"/>
            <w:vAlign w:val="bottom"/>
          </w:tcPr>
          <w:p>
            <w:pPr>
              <w:spacing w:after="0"/>
              <w:rPr>
                <w:sz w:val="24"/>
                <w:szCs w:val="24"/>
                <w:color w:val="auto"/>
              </w:rPr>
            </w:pPr>
          </w:p>
        </w:tc>
        <w:tc>
          <w:tcPr>
            <w:tcW w:w="7080" w:type="dxa"/>
            <w:vAlign w:val="bottom"/>
          </w:tcPr>
          <w:p>
            <w:pPr>
              <w:jc w:val="center"/>
              <w:ind w:right="4231"/>
              <w:spacing w:after="0"/>
              <w:rPr>
                <w:sz w:val="20"/>
                <w:szCs w:val="20"/>
                <w:color w:val="auto"/>
              </w:rPr>
            </w:pPr>
            <w:r>
              <w:rPr>
                <w:rFonts w:ascii="Arial" w:cs="Arial" w:eastAsia="Arial" w:hAnsi="Arial"/>
                <w:sz w:val="18"/>
                <w:szCs w:val="18"/>
                <w:b w:val="1"/>
                <w:bCs w:val="1"/>
                <w:color w:val="auto"/>
                <w:w w:val="89"/>
              </w:rPr>
              <w:t>Timetables</w:t>
            </w:r>
          </w:p>
        </w:tc>
        <w:tc>
          <w:tcPr>
            <w:tcW w:w="40" w:type="dxa"/>
            <w:vAlign w:val="bottom"/>
          </w:tcPr>
          <w:p>
            <w:pPr>
              <w:spacing w:after="0"/>
              <w:rPr>
                <w:sz w:val="24"/>
                <w:szCs w:val="24"/>
                <w:color w:val="auto"/>
              </w:rPr>
            </w:pPr>
          </w:p>
        </w:tc>
      </w:tr>
      <w:tr>
        <w:trPr>
          <w:trHeight w:val="214"/>
        </w:trPr>
        <w:tc>
          <w:tcPr>
            <w:tcW w:w="43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Delivery of a duly completed Utilisation Request (Clause</w:t>
            </w:r>
          </w:p>
        </w:tc>
        <w:tc>
          <w:tcPr>
            <w:tcW w:w="7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Three Business Days prior to the proposed Utilisation Date</w:t>
            </w:r>
          </w:p>
        </w:tc>
        <w:tc>
          <w:tcPr>
            <w:tcW w:w="40" w:type="dxa"/>
            <w:vAlign w:val="bottom"/>
          </w:tcPr>
          <w:p>
            <w:pPr>
              <w:spacing w:after="0"/>
              <w:rPr>
                <w:sz w:val="17"/>
                <w:szCs w:val="17"/>
                <w:color w:val="auto"/>
              </w:rPr>
            </w:pPr>
          </w:p>
        </w:tc>
      </w:tr>
      <w:tr>
        <w:trPr>
          <w:trHeight w:val="225"/>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5.1 (Delivery of a Utilisation Request))</w:t>
            </w:r>
          </w:p>
        </w:tc>
        <w:tc>
          <w:tcPr>
            <w:tcW w:w="7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43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Agent determines (in relation to a Utilisation) the amount</w:t>
            </w:r>
          </w:p>
        </w:tc>
        <w:tc>
          <w:tcPr>
            <w:tcW w:w="7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Two Business Days prior to the proposed Utilisation Date</w:t>
            </w:r>
          </w:p>
        </w:tc>
        <w:tc>
          <w:tcPr>
            <w:tcW w:w="40" w:type="dxa"/>
            <w:vAlign w:val="bottom"/>
          </w:tcPr>
          <w:p>
            <w:pPr>
              <w:spacing w:after="0"/>
              <w:rPr>
                <w:sz w:val="17"/>
                <w:szCs w:val="17"/>
                <w:color w:val="auto"/>
              </w:rPr>
            </w:pP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 the Loan, if required under Clause 5.4 (Lenders’</w:t>
            </w:r>
          </w:p>
        </w:tc>
        <w:tc>
          <w:tcPr>
            <w:tcW w:w="7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participation) and notifies the Lenders of the Loan in</w:t>
            </w:r>
          </w:p>
        </w:tc>
        <w:tc>
          <w:tcPr>
            <w:tcW w:w="7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accordance with Clause 5.4 (Lenders’ participation)</w:t>
            </w:r>
          </w:p>
        </w:tc>
        <w:tc>
          <w:tcPr>
            <w:tcW w:w="7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43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LIBOR is fixed</w:t>
            </w: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Quotation Day as at 11 a.m. London time</w:t>
            </w:r>
          </w:p>
        </w:tc>
        <w:tc>
          <w:tcPr>
            <w:tcW w:w="40" w:type="dxa"/>
            <w:vAlign w:val="bottom"/>
          </w:tcPr>
          <w:p>
            <w:pPr>
              <w:spacing w:after="0"/>
              <w:rPr>
                <w:sz w:val="18"/>
                <w:szCs w:val="18"/>
                <w:color w:val="auto"/>
              </w:rPr>
            </w:pPr>
          </w:p>
        </w:tc>
      </w:tr>
      <w:tr>
        <w:trPr>
          <w:trHeight w:val="213"/>
        </w:trPr>
        <w:tc>
          <w:tcPr>
            <w:tcW w:w="43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Reference Bank Rate calculated by reference to available</w:t>
            </w:r>
          </w:p>
        </w:tc>
        <w:tc>
          <w:tcPr>
            <w:tcW w:w="7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Noon London time on the Quotation Day in respect of LIBOR</w:t>
            </w:r>
          </w:p>
        </w:tc>
        <w:tc>
          <w:tcPr>
            <w:tcW w:w="40" w:type="dxa"/>
            <w:vAlign w:val="bottom"/>
          </w:tcPr>
          <w:p>
            <w:pPr>
              <w:spacing w:after="0"/>
              <w:rPr>
                <w:sz w:val="17"/>
                <w:szCs w:val="17"/>
                <w:color w:val="auto"/>
              </w:rPr>
            </w:pP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quotations in accordance with Clause 10.2 (Calculation of</w:t>
            </w:r>
          </w:p>
        </w:tc>
        <w:tc>
          <w:tcPr>
            <w:tcW w:w="7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Reference Bank Rate)</w:t>
            </w:r>
          </w:p>
        </w:tc>
        <w:tc>
          <w:tcPr>
            <w:tcW w:w="7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425"/>
        </w:trPr>
        <w:tc>
          <w:tcPr>
            <w:tcW w:w="4340" w:type="dxa"/>
            <w:vAlign w:val="bottom"/>
          </w:tcPr>
          <w:p>
            <w:pPr>
              <w:spacing w:after="0"/>
              <w:rPr>
                <w:sz w:val="24"/>
                <w:szCs w:val="24"/>
                <w:color w:val="auto"/>
              </w:rPr>
            </w:pPr>
          </w:p>
        </w:tc>
        <w:tc>
          <w:tcPr>
            <w:tcW w:w="7080" w:type="dxa"/>
            <w:vAlign w:val="bottom"/>
          </w:tcPr>
          <w:p>
            <w:pPr>
              <w:jc w:val="center"/>
              <w:ind w:right="4251"/>
              <w:spacing w:after="0"/>
              <w:rPr>
                <w:sz w:val="20"/>
                <w:szCs w:val="20"/>
                <w:color w:val="auto"/>
              </w:rPr>
            </w:pPr>
            <w:r>
              <w:rPr>
                <w:rFonts w:ascii="Arial" w:cs="Arial" w:eastAsia="Arial" w:hAnsi="Arial"/>
                <w:sz w:val="18"/>
                <w:szCs w:val="18"/>
                <w:color w:val="auto"/>
                <w:w w:val="86"/>
              </w:rPr>
              <w:t>106</w:t>
            </w:r>
          </w:p>
        </w:tc>
        <w:tc>
          <w:tcPr>
            <w:tcW w:w="40" w:type="dxa"/>
            <w:vAlign w:val="bottom"/>
          </w:tcPr>
          <w:p>
            <w:pPr>
              <w:spacing w:after="0"/>
              <w:rPr>
                <w:sz w:val="24"/>
                <w:szCs w:val="24"/>
                <w:color w:val="auto"/>
              </w:rPr>
            </w:pPr>
          </w:p>
        </w:tc>
      </w:tr>
      <w:tr>
        <w:trPr>
          <w:trHeight w:val="131"/>
        </w:trPr>
        <w:tc>
          <w:tcPr>
            <w:tcW w:w="434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73" w:name="page274"/>
    <w:bookmarkEnd w:id="273"/>
    <w:p>
      <w:pPr>
        <w:jc w:val="center"/>
        <w:ind w:right="-20"/>
        <w:spacing w:after="0"/>
        <w:rPr>
          <w:sz w:val="20"/>
          <w:szCs w:val="20"/>
          <w:color w:val="auto"/>
        </w:rPr>
      </w:pPr>
      <w:r>
        <w:rPr>
          <w:rFonts w:ascii="Arial" w:cs="Arial" w:eastAsia="Arial" w:hAnsi="Arial"/>
          <w:sz w:val="18"/>
          <w:szCs w:val="18"/>
          <w:b w:val="1"/>
          <w:bCs w:val="1"/>
          <w:color w:val="auto"/>
        </w:rPr>
        <w:t>SCHEDULE 8</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Syndication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77470</wp:posOffset>
            </wp:positionV>
            <wp:extent cx="726948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274" w:name="page275"/>
    <w:bookmarkEnd w:id="274"/>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224155</wp:posOffset>
            </wp:positionV>
            <wp:extent cx="1513840" cy="5835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1513840" cy="5835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Syndication Agreement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AUSTRALIA AND NEW ZEALAND BANKING GROUP LIMITED, CITIGROUP GLOBAL MARKETS ASIA LIMITED, DBS BANK LTD. and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HONGKONG AND SHANGHAI BANKING CORPORATION LIMITED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as MLABs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persons listed in Schedule 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Existing Lenders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persons listed in Schedule 3</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New Lenders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Citicorp International Limited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1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080"/>
          </w:cols>
          <w:pgMar w:left="240" w:top="1440" w:right="57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300" w:type="dxa"/>
            <w:vAlign w:val="bottom"/>
            <w:gridSpan w:val="4"/>
          </w:tcPr>
          <w:p>
            <w:pPr>
              <w:jc w:val="right"/>
              <w:ind w:right="5260"/>
              <w:spacing w:after="0"/>
              <w:rPr>
                <w:sz w:val="20"/>
                <w:szCs w:val="20"/>
                <w:color w:val="auto"/>
              </w:rPr>
            </w:pPr>
            <w:r>
              <w:rPr>
                <w:rFonts w:ascii="Arial" w:cs="Arial" w:eastAsia="Arial" w:hAnsi="Arial"/>
                <w:sz w:val="18"/>
                <w:szCs w:val="18"/>
                <w:b w:val="1"/>
                <w:bCs w:val="1"/>
                <w:color w:val="auto"/>
              </w:rPr>
              <w:t>CONTENTS</w:t>
            </w:r>
          </w:p>
        </w:tc>
      </w:tr>
      <w:tr>
        <w:trPr>
          <w:trHeight w:val="3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4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INTERPRETATION</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15"/>
        </w:trPr>
        <w:tc>
          <w:tcPr>
            <w:tcW w:w="74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1.1</w:t>
            </w:r>
          </w:p>
        </w:tc>
        <w:tc>
          <w:tcPr>
            <w:tcW w:w="39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224"/>
        </w:trPr>
        <w:tc>
          <w:tcPr>
            <w:tcW w:w="74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1.2</w:t>
            </w:r>
          </w:p>
        </w:tc>
        <w:tc>
          <w:tcPr>
            <w:tcW w:w="3940" w:type="dxa"/>
            <w:vAlign w:val="bottom"/>
          </w:tcPr>
          <w:p>
            <w:pPr>
              <w:ind w:left="220"/>
              <w:spacing w:after="0"/>
              <w:rPr>
                <w:sz w:val="20"/>
                <w:szCs w:val="20"/>
                <w:color w:val="auto"/>
              </w:rPr>
            </w:pPr>
            <w:r>
              <w:rPr>
                <w:rFonts w:ascii="Arial" w:cs="Arial" w:eastAsia="Arial" w:hAnsi="Arial"/>
                <w:sz w:val="18"/>
                <w:szCs w:val="18"/>
                <w:color w:val="auto"/>
              </w:rPr>
              <w:t>Construction and incorporation of terms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JOINING IN OF NEW LENDERS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15"/>
        </w:trPr>
        <w:tc>
          <w:tcPr>
            <w:tcW w:w="74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3940" w:type="dxa"/>
            <w:vAlign w:val="bottom"/>
          </w:tcPr>
          <w:p>
            <w:pPr>
              <w:ind w:left="220"/>
              <w:spacing w:after="0"/>
              <w:rPr>
                <w:sz w:val="20"/>
                <w:szCs w:val="20"/>
                <w:color w:val="auto"/>
              </w:rPr>
            </w:pPr>
            <w:r>
              <w:rPr>
                <w:rFonts w:ascii="Arial" w:cs="Arial" w:eastAsia="Arial" w:hAnsi="Arial"/>
                <w:sz w:val="18"/>
                <w:szCs w:val="18"/>
                <w:color w:val="auto"/>
              </w:rPr>
              <w:t>Transfer of rights and obligations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213"/>
        </w:trPr>
        <w:tc>
          <w:tcPr>
            <w:tcW w:w="74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2.2</w:t>
            </w:r>
          </w:p>
        </w:tc>
        <w:tc>
          <w:tcPr>
            <w:tcW w:w="3940" w:type="dxa"/>
            <w:vAlign w:val="bottom"/>
          </w:tcPr>
          <w:p>
            <w:pPr>
              <w:ind w:left="220"/>
              <w:spacing w:after="0"/>
              <w:rPr>
                <w:sz w:val="20"/>
                <w:szCs w:val="20"/>
                <w:color w:val="auto"/>
              </w:rPr>
            </w:pPr>
            <w:r>
              <w:rPr>
                <w:rFonts w:ascii="Arial" w:cs="Arial" w:eastAsia="Arial" w:hAnsi="Arial"/>
                <w:sz w:val="18"/>
                <w:szCs w:val="18"/>
                <w:color w:val="auto"/>
              </w:rPr>
              <w:t>Amounts due on or before the Transfer Date</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213"/>
        </w:trPr>
        <w:tc>
          <w:tcPr>
            <w:tcW w:w="74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2.3</w:t>
            </w:r>
          </w:p>
        </w:tc>
        <w:tc>
          <w:tcPr>
            <w:tcW w:w="3940" w:type="dxa"/>
            <w:vAlign w:val="bottom"/>
          </w:tcPr>
          <w:p>
            <w:pPr>
              <w:ind w:left="220"/>
              <w:spacing w:after="0"/>
              <w:rPr>
                <w:sz w:val="20"/>
                <w:szCs w:val="20"/>
                <w:color w:val="auto"/>
              </w:rPr>
            </w:pPr>
            <w:r>
              <w:rPr>
                <w:rFonts w:ascii="Arial" w:cs="Arial" w:eastAsia="Arial" w:hAnsi="Arial"/>
                <w:sz w:val="18"/>
                <w:szCs w:val="18"/>
                <w:color w:val="auto"/>
              </w:rPr>
              <w:t>Contact details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213"/>
        </w:trPr>
        <w:tc>
          <w:tcPr>
            <w:tcW w:w="74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2.4</w:t>
            </w:r>
          </w:p>
        </w:tc>
        <w:tc>
          <w:tcPr>
            <w:tcW w:w="3940" w:type="dxa"/>
            <w:vAlign w:val="bottom"/>
          </w:tcPr>
          <w:p>
            <w:pPr>
              <w:ind w:left="220"/>
              <w:spacing w:after="0"/>
              <w:rPr>
                <w:sz w:val="20"/>
                <w:szCs w:val="20"/>
                <w:color w:val="auto"/>
              </w:rPr>
            </w:pPr>
            <w:r>
              <w:rPr>
                <w:rFonts w:ascii="Arial" w:cs="Arial" w:eastAsia="Arial" w:hAnsi="Arial"/>
                <w:sz w:val="18"/>
                <w:szCs w:val="18"/>
                <w:color w:val="auto"/>
              </w:rPr>
              <w:t>Transfer fee</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213"/>
        </w:trPr>
        <w:tc>
          <w:tcPr>
            <w:tcW w:w="74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2.5</w:t>
            </w:r>
          </w:p>
        </w:tc>
        <w:tc>
          <w:tcPr>
            <w:tcW w:w="3940" w:type="dxa"/>
            <w:vAlign w:val="bottom"/>
          </w:tcPr>
          <w:p>
            <w:pPr>
              <w:ind w:left="220"/>
              <w:spacing w:after="0"/>
              <w:rPr>
                <w:sz w:val="20"/>
                <w:szCs w:val="20"/>
                <w:color w:val="auto"/>
              </w:rPr>
            </w:pPr>
            <w:r>
              <w:rPr>
                <w:rFonts w:ascii="Arial" w:cs="Arial" w:eastAsia="Arial" w:hAnsi="Arial"/>
                <w:sz w:val="18"/>
                <w:szCs w:val="18"/>
                <w:color w:val="auto"/>
              </w:rPr>
              <w:t>Consent</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213"/>
        </w:trPr>
        <w:tc>
          <w:tcPr>
            <w:tcW w:w="74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2.6</w:t>
            </w:r>
          </w:p>
        </w:tc>
        <w:tc>
          <w:tcPr>
            <w:tcW w:w="3940" w:type="dxa"/>
            <w:vAlign w:val="bottom"/>
          </w:tcPr>
          <w:p>
            <w:pPr>
              <w:ind w:left="220"/>
              <w:spacing w:after="0"/>
              <w:rPr>
                <w:sz w:val="20"/>
                <w:szCs w:val="20"/>
                <w:color w:val="auto"/>
              </w:rPr>
            </w:pPr>
            <w:r>
              <w:rPr>
                <w:rFonts w:ascii="Arial" w:cs="Arial" w:eastAsia="Arial" w:hAnsi="Arial"/>
                <w:sz w:val="18"/>
                <w:szCs w:val="18"/>
                <w:color w:val="auto"/>
                <w:w w:val="93"/>
              </w:rPr>
              <w:t>Limitation of responsibility of the Existing Lenders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224"/>
        </w:trPr>
        <w:tc>
          <w:tcPr>
            <w:tcW w:w="74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2.7</w:t>
            </w:r>
          </w:p>
        </w:tc>
        <w:tc>
          <w:tcPr>
            <w:tcW w:w="3940" w:type="dxa"/>
            <w:vAlign w:val="bottom"/>
          </w:tcPr>
          <w:p>
            <w:pPr>
              <w:ind w:left="220"/>
              <w:spacing w:after="0"/>
              <w:rPr>
                <w:sz w:val="20"/>
                <w:szCs w:val="20"/>
                <w:color w:val="auto"/>
              </w:rPr>
            </w:pPr>
            <w:r>
              <w:rPr>
                <w:rFonts w:ascii="Arial" w:cs="Arial" w:eastAsia="Arial" w:hAnsi="Arial"/>
                <w:sz w:val="18"/>
                <w:szCs w:val="18"/>
                <w:color w:val="auto"/>
              </w:rPr>
              <w:t>Confirmation</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NATURE OF THIS AGREEMENT</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426"/>
        </w:trPr>
        <w:tc>
          <w:tcPr>
            <w:tcW w:w="740" w:type="dxa"/>
            <w:vAlign w:val="bottom"/>
          </w:tcPr>
          <w:p>
            <w:pPr>
              <w:spacing w:after="0"/>
              <w:rPr>
                <w:sz w:val="20"/>
                <w:szCs w:val="20"/>
                <w:color w:val="auto"/>
              </w:rPr>
            </w:pPr>
            <w:r>
              <w:rPr>
                <w:rFonts w:ascii="Arial" w:cs="Arial" w:eastAsia="Arial" w:hAnsi="Arial"/>
                <w:sz w:val="18"/>
                <w:szCs w:val="18"/>
                <w:b w:val="1"/>
                <w:bCs w:val="1"/>
                <w:color w:val="auto"/>
                <w:w w:val="89"/>
              </w:rPr>
              <w:t>Schedule</w:t>
            </w:r>
          </w:p>
        </w:tc>
        <w:tc>
          <w:tcPr>
            <w:tcW w:w="4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5"/>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Transferred Commitment and Loans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213"/>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Existing Lenders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213"/>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New Lenders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Notice details of New Lenders</w:t>
            </w:r>
          </w:p>
        </w:tc>
        <w:tc>
          <w:tcPr>
            <w:tcW w:w="6300" w:type="dxa"/>
            <w:vAlign w:val="bottom"/>
            <w:gridSpan w:val="4"/>
          </w:tcPr>
          <w:p>
            <w:pPr>
              <w:jc w:val="right"/>
              <w:ind w:right="40"/>
              <w:spacing w:after="0"/>
              <w:rPr>
                <w:sz w:val="20"/>
                <w:szCs w:val="20"/>
                <w:color w:val="auto"/>
              </w:rPr>
            </w:pPr>
            <w:r>
              <w:rPr>
                <w:rFonts w:ascii="Arial" w:cs="Arial" w:eastAsia="Arial" w:hAnsi="Arial"/>
                <w:sz w:val="18"/>
                <w:szCs w:val="18"/>
                <w:color w:val="auto"/>
              </w:rPr>
              <w:t>8</w:t>
            </w:r>
          </w:p>
        </w:tc>
      </w:tr>
      <w:tr>
        <w:trPr>
          <w:trHeight w:val="344"/>
        </w:trPr>
        <w:tc>
          <w:tcPr>
            <w:tcW w:w="7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w:t>
            </w:r>
          </w:p>
        </w:tc>
        <w:tc>
          <w:tcPr>
            <w:tcW w:w="146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19" w:lineRule="exact"/>
        <w:rPr>
          <w:sz w:val="20"/>
          <w:szCs w:val="20"/>
          <w:color w:val="auto"/>
        </w:rPr>
      </w:pPr>
    </w:p>
    <w:p>
      <w:pPr>
        <w:ind w:left="640" w:right="200" w:hanging="633"/>
        <w:spacing w:after="0" w:line="260" w:lineRule="auto"/>
        <w:tabs>
          <w:tab w:leader="none" w:pos="647"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AUSTRALIA AND NEW ZEALAND BANKING GROUP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CITIGROUP GLOBAL MARKETS ASIA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DBS BANK LTD.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HONGKONG AND SHANGHAI BANKING CORPORATION LIMITED </w:t>
      </w:r>
      <w:r>
        <w:rPr>
          <w:rFonts w:ascii="Arial" w:cs="Arial" w:eastAsia="Arial" w:hAnsi="Arial"/>
          <w:sz w:val="18"/>
          <w:szCs w:val="18"/>
          <w:color w:val="auto"/>
        </w:rPr>
        <w:t>as mandated lead arrangers and bookrunners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capacity, the </w:t>
      </w:r>
      <w:r>
        <w:rPr>
          <w:rFonts w:ascii="Arial" w:cs="Arial" w:eastAsia="Arial" w:hAnsi="Arial"/>
          <w:sz w:val="18"/>
          <w:szCs w:val="18"/>
          <w:b w:val="1"/>
          <w:bCs w:val="1"/>
          <w:color w:val="auto"/>
        </w:rPr>
        <w:t>MLABs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660" w:hanging="653"/>
        <w:spacing w:after="0"/>
        <w:tabs>
          <w:tab w:leader="none" w:pos="6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2 (Existing Lenders) as existing Lenders (in this capacity, the</w:t>
      </w:r>
      <w:r>
        <w:rPr>
          <w:rFonts w:ascii="Arial" w:cs="Arial" w:eastAsia="Arial" w:hAnsi="Arial"/>
          <w:sz w:val="18"/>
          <w:szCs w:val="18"/>
          <w:b w:val="1"/>
          <w:bCs w:val="1"/>
          <w:color w:val="auto"/>
        </w:rPr>
        <w:t xml:space="preserve"> Existing Lenders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660" w:hanging="653"/>
        <w:spacing w:after="0"/>
        <w:tabs>
          <w:tab w:leader="none" w:pos="6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3 (New Lenders) as new Lenders (in this capacity, the</w:t>
      </w:r>
      <w:r>
        <w:rPr>
          <w:rFonts w:ascii="Arial" w:cs="Arial" w:eastAsia="Arial" w:hAnsi="Arial"/>
          <w:sz w:val="18"/>
          <w:szCs w:val="18"/>
          <w:b w:val="1"/>
          <w:bCs w:val="1"/>
          <w:color w:val="auto"/>
        </w:rPr>
        <w:t xml:space="preserve"> New Lenders</w:t>
      </w:r>
      <w:r>
        <w:rPr>
          <w:rFonts w:ascii="Arial" w:cs="Arial" w:eastAsia="Arial" w:hAnsi="Arial"/>
          <w:sz w:val="18"/>
          <w:szCs w:val="18"/>
          <w:color w:val="auto"/>
        </w:rPr>
        <w:t>); and</w:t>
      </w:r>
    </w:p>
    <w:p>
      <w:pPr>
        <w:spacing w:after="0" w:line="219" w:lineRule="exact"/>
        <w:rPr>
          <w:rFonts w:ascii="Arial" w:cs="Arial" w:eastAsia="Arial" w:hAnsi="Arial"/>
          <w:sz w:val="18"/>
          <w:szCs w:val="18"/>
          <w:color w:val="auto"/>
        </w:rPr>
      </w:pPr>
    </w:p>
    <w:p>
      <w:pPr>
        <w:ind w:left="640" w:right="120" w:hanging="633"/>
        <w:spacing w:after="0" w:line="274" w:lineRule="auto"/>
        <w:tabs>
          <w:tab w:leader="none" w:pos="647"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 xml:space="preserve">CITICORP INTERNATIONAL LIMITED </w:t>
      </w:r>
      <w:r>
        <w:rPr>
          <w:rFonts w:ascii="Arial" w:cs="Arial" w:eastAsia="Arial" w:hAnsi="Arial"/>
          <w:sz w:val="18"/>
          <w:szCs w:val="18"/>
          <w:color w:val="auto"/>
        </w:rPr>
        <w:t>as agent of the Finance Parties (other than itself) as defined in the Facility Agreement (in this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 AGREE AS FOLLOWS:</w:t>
      </w:r>
    </w:p>
    <w:p>
      <w:pPr>
        <w:spacing w:after="0" w:line="219" w:lineRule="exact"/>
        <w:rPr>
          <w:sz w:val="20"/>
          <w:szCs w:val="20"/>
          <w:color w:val="auto"/>
        </w:rPr>
      </w:pPr>
    </w:p>
    <w:p>
      <w:pPr>
        <w:ind w:left="640" w:hanging="633"/>
        <w:spacing w:after="0"/>
        <w:tabs>
          <w:tab w:leader="none" w:pos="640" w:val="left"/>
        </w:tabs>
        <w:numPr>
          <w:ilvl w:val="0"/>
          <w:numId w:val="444"/>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131"/>
              <w:spacing w:after="0"/>
              <w:rPr>
                <w:sz w:val="20"/>
                <w:szCs w:val="20"/>
                <w:color w:val="auto"/>
              </w:rPr>
            </w:pPr>
            <w:r>
              <w:rPr>
                <w:rFonts w:ascii="Arial" w:cs="Arial" w:eastAsia="Arial" w:hAnsi="Arial"/>
                <w:sz w:val="18"/>
                <w:szCs w:val="18"/>
                <w:color w:val="auto"/>
                <w:w w:val="79"/>
              </w:rPr>
              <w:t>1.1</w:t>
            </w:r>
          </w:p>
        </w:tc>
        <w:tc>
          <w:tcPr>
            <w:tcW w:w="598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4960" w:type="dxa"/>
            <w:vAlign w:val="bottom"/>
          </w:tcPr>
          <w:p>
            <w:pPr>
              <w:spacing w:after="0"/>
              <w:rPr>
                <w:sz w:val="20"/>
                <w:szCs w:val="20"/>
                <w:color w:val="auto"/>
              </w:rPr>
            </w:pPr>
          </w:p>
        </w:tc>
      </w:tr>
      <w:tr>
        <w:trPr>
          <w:trHeight w:val="426"/>
        </w:trPr>
        <w:tc>
          <w:tcPr>
            <w:tcW w:w="44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The following definitions apply in this document.</w:t>
            </w:r>
          </w:p>
        </w:tc>
        <w:tc>
          <w:tcPr>
            <w:tcW w:w="4960" w:type="dxa"/>
            <w:vAlign w:val="bottom"/>
          </w:tcPr>
          <w:p>
            <w:pPr>
              <w:spacing w:after="0"/>
              <w:rPr>
                <w:sz w:val="24"/>
                <w:szCs w:val="24"/>
                <w:color w:val="auto"/>
              </w:rPr>
            </w:pPr>
          </w:p>
        </w:tc>
      </w:tr>
      <w:tr>
        <w:trPr>
          <w:trHeight w:val="415"/>
        </w:trPr>
        <w:tc>
          <w:tcPr>
            <w:tcW w:w="440" w:type="dxa"/>
            <w:vAlign w:val="bottom"/>
          </w:tcPr>
          <w:p>
            <w:pPr>
              <w:spacing w:after="0"/>
              <w:rPr>
                <w:sz w:val="24"/>
                <w:szCs w:val="24"/>
                <w:color w:val="auto"/>
              </w:rPr>
            </w:pPr>
          </w:p>
        </w:tc>
        <w:tc>
          <w:tcPr>
            <w:tcW w:w="10940" w:type="dxa"/>
            <w:vAlign w:val="bottom"/>
            <w:gridSpan w:val="2"/>
          </w:tcPr>
          <w:p>
            <w:pPr>
              <w:ind w:left="200"/>
              <w:spacing w:after="0"/>
              <w:rPr>
                <w:sz w:val="20"/>
                <w:szCs w:val="20"/>
                <w:color w:val="auto"/>
              </w:rPr>
            </w:pPr>
            <w:r>
              <w:rPr>
                <w:rFonts w:ascii="Arial" w:cs="Arial" w:eastAsia="Arial" w:hAnsi="Arial"/>
                <w:sz w:val="18"/>
                <w:szCs w:val="18"/>
                <w:b w:val="1"/>
                <w:bCs w:val="1"/>
                <w:color w:val="auto"/>
                <w:w w:val="94"/>
              </w:rPr>
              <w:t xml:space="preserve">Borrower </w:t>
            </w:r>
            <w:r>
              <w:rPr>
                <w:rFonts w:ascii="Arial" w:cs="Arial" w:eastAsia="Arial" w:hAnsi="Arial"/>
                <w:sz w:val="18"/>
                <w:szCs w:val="18"/>
                <w:color w:val="auto"/>
                <w:w w:val="94"/>
              </w:rPr>
              <w:t>means NetEase, Inc., an exempted company incorporated with limited liability under the laws of the Cayman Islands with registration</w:t>
            </w:r>
          </w:p>
        </w:tc>
      </w:tr>
      <w:tr>
        <w:trPr>
          <w:trHeight w:val="224"/>
        </w:trPr>
        <w:tc>
          <w:tcPr>
            <w:tcW w:w="44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number 90896.</w:t>
            </w:r>
          </w:p>
        </w:tc>
        <w:tc>
          <w:tcPr>
            <w:tcW w:w="4960" w:type="dxa"/>
            <w:vAlign w:val="bottom"/>
          </w:tcPr>
          <w:p>
            <w:pPr>
              <w:spacing w:after="0"/>
              <w:rPr>
                <w:sz w:val="19"/>
                <w:szCs w:val="19"/>
                <w:color w:val="auto"/>
              </w:rPr>
            </w:pPr>
          </w:p>
        </w:tc>
      </w:tr>
      <w:tr>
        <w:trPr>
          <w:trHeight w:val="415"/>
        </w:trPr>
        <w:tc>
          <w:tcPr>
            <w:tcW w:w="44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b w:val="1"/>
                <w:bCs w:val="1"/>
                <w:color w:val="auto"/>
              </w:rPr>
              <w:t xml:space="preserve">Facility Agreement </w:t>
            </w:r>
            <w:r>
              <w:rPr>
                <w:rFonts w:ascii="Arial" w:cs="Arial" w:eastAsia="Arial" w:hAnsi="Arial"/>
                <w:sz w:val="18"/>
                <w:szCs w:val="18"/>
                <w:color w:val="auto"/>
              </w:rPr>
              <w:t>means the Syndicated Facility Agreement dated</w:t>
            </w:r>
          </w:p>
        </w:tc>
        <w:tc>
          <w:tcPr>
            <w:tcW w:w="4960" w:type="dxa"/>
            <w:vAlign w:val="bottom"/>
          </w:tcPr>
          <w:p>
            <w:pPr>
              <w:ind w:left="680"/>
              <w:spacing w:after="0"/>
              <w:rPr>
                <w:sz w:val="20"/>
                <w:szCs w:val="20"/>
                <w:color w:val="auto"/>
              </w:rPr>
            </w:pPr>
            <w:r>
              <w:rPr>
                <w:rFonts w:ascii="Arial" w:cs="Arial" w:eastAsia="Arial" w:hAnsi="Arial"/>
                <w:sz w:val="18"/>
                <w:szCs w:val="18"/>
                <w:color w:val="auto"/>
                <w:w w:val="88"/>
              </w:rPr>
              <w:t>2018 between, among others, the Borrower, the MLABs and</w:t>
            </w:r>
          </w:p>
        </w:tc>
      </w:tr>
      <w:tr>
        <w:trPr>
          <w:trHeight w:val="224"/>
        </w:trPr>
        <w:tc>
          <w:tcPr>
            <w:tcW w:w="44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the Agent.</w:t>
            </w:r>
          </w:p>
        </w:tc>
        <w:tc>
          <w:tcPr>
            <w:tcW w:w="4960" w:type="dxa"/>
            <w:vAlign w:val="bottom"/>
          </w:tcPr>
          <w:p>
            <w:pPr>
              <w:spacing w:after="0"/>
              <w:rPr>
                <w:sz w:val="19"/>
                <w:szCs w:val="19"/>
                <w:color w:val="auto"/>
              </w:rPr>
            </w:pPr>
          </w:p>
        </w:tc>
      </w:tr>
      <w:tr>
        <w:trPr>
          <w:trHeight w:val="426"/>
        </w:trPr>
        <w:tc>
          <w:tcPr>
            <w:tcW w:w="440" w:type="dxa"/>
            <w:vAlign w:val="bottom"/>
          </w:tcPr>
          <w:p>
            <w:pPr>
              <w:spacing w:after="0"/>
              <w:rPr>
                <w:sz w:val="24"/>
                <w:szCs w:val="24"/>
                <w:color w:val="auto"/>
              </w:rPr>
            </w:pPr>
          </w:p>
        </w:tc>
        <w:tc>
          <w:tcPr>
            <w:tcW w:w="5980" w:type="dxa"/>
            <w:vAlign w:val="bottom"/>
          </w:tcPr>
          <w:p>
            <w:pPr>
              <w:ind w:left="200"/>
              <w:spacing w:after="0"/>
              <w:rPr>
                <w:sz w:val="20"/>
                <w:szCs w:val="20"/>
                <w:color w:val="auto"/>
              </w:rPr>
            </w:pPr>
            <w:r>
              <w:rPr>
                <w:rFonts w:ascii="Arial" w:cs="Arial" w:eastAsia="Arial" w:hAnsi="Arial"/>
                <w:sz w:val="18"/>
                <w:szCs w:val="18"/>
                <w:b w:val="1"/>
                <w:bCs w:val="1"/>
                <w:color w:val="auto"/>
                <w:w w:val="99"/>
              </w:rPr>
              <w:t xml:space="preserve">Transfer Date </w:t>
            </w:r>
            <w:r>
              <w:rPr>
                <w:rFonts w:ascii="Arial" w:cs="Arial" w:eastAsia="Arial" w:hAnsi="Arial"/>
                <w:sz w:val="18"/>
                <w:szCs w:val="18"/>
                <w:color w:val="auto"/>
                <w:w w:val="99"/>
              </w:rPr>
              <w:t>means 3 Business Days after the date of this Agreement.</w:t>
            </w:r>
          </w:p>
        </w:tc>
        <w:tc>
          <w:tcPr>
            <w:tcW w:w="4960" w:type="dxa"/>
            <w:vAlign w:val="bottom"/>
          </w:tcPr>
          <w:p>
            <w:pPr>
              <w:spacing w:after="0"/>
              <w:rPr>
                <w:sz w:val="24"/>
                <w:szCs w:val="24"/>
                <w:color w:val="auto"/>
              </w:rPr>
            </w:pPr>
          </w:p>
        </w:tc>
      </w:tr>
      <w:tr>
        <w:trPr>
          <w:trHeight w:val="426"/>
        </w:trPr>
        <w:tc>
          <w:tcPr>
            <w:tcW w:w="440" w:type="dxa"/>
            <w:vAlign w:val="bottom"/>
          </w:tcPr>
          <w:p>
            <w:pPr>
              <w:jc w:val="right"/>
              <w:ind w:right="131"/>
              <w:spacing w:after="0"/>
              <w:rPr>
                <w:sz w:val="20"/>
                <w:szCs w:val="20"/>
                <w:color w:val="auto"/>
              </w:rPr>
            </w:pPr>
            <w:r>
              <w:rPr>
                <w:rFonts w:ascii="Arial" w:cs="Arial" w:eastAsia="Arial" w:hAnsi="Arial"/>
                <w:sz w:val="18"/>
                <w:szCs w:val="18"/>
                <w:color w:val="auto"/>
                <w:w w:val="79"/>
              </w:rPr>
              <w:t>1.2</w:t>
            </w:r>
          </w:p>
        </w:tc>
        <w:tc>
          <w:tcPr>
            <w:tcW w:w="5980" w:type="dxa"/>
            <w:vAlign w:val="bottom"/>
          </w:tcPr>
          <w:p>
            <w:pPr>
              <w:ind w:left="200"/>
              <w:spacing w:after="0"/>
              <w:rPr>
                <w:sz w:val="20"/>
                <w:szCs w:val="20"/>
                <w:color w:val="auto"/>
              </w:rPr>
            </w:pPr>
            <w:r>
              <w:rPr>
                <w:rFonts w:ascii="Arial" w:cs="Arial" w:eastAsia="Arial" w:hAnsi="Arial"/>
                <w:sz w:val="18"/>
                <w:szCs w:val="18"/>
                <w:b w:val="1"/>
                <w:bCs w:val="1"/>
                <w:color w:val="auto"/>
              </w:rPr>
              <w:t>Construction and incorporation of terms</w:t>
            </w:r>
          </w:p>
        </w:tc>
        <w:tc>
          <w:tcPr>
            <w:tcW w:w="4960" w:type="dxa"/>
            <w:vAlign w:val="bottom"/>
          </w:tcPr>
          <w:p>
            <w:pPr>
              <w:spacing w:after="0"/>
              <w:rPr>
                <w:sz w:val="24"/>
                <w:szCs w:val="24"/>
                <w:color w:val="auto"/>
              </w:rPr>
            </w:pPr>
          </w:p>
        </w:tc>
      </w:tr>
    </w:tbl>
    <w:p>
      <w:pPr>
        <w:spacing w:after="0" w:line="202" w:lineRule="exact"/>
        <w:rPr>
          <w:sz w:val="20"/>
          <w:szCs w:val="20"/>
          <w:color w:val="auto"/>
        </w:rPr>
      </w:pPr>
    </w:p>
    <w:p>
      <w:pPr>
        <w:ind w:left="1280" w:hanging="634"/>
        <w:spacing w:after="0"/>
        <w:tabs>
          <w:tab w:leader="none" w:pos="128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Capitalised terms defined in the Facility Agreement have, unless expressly defined in this Agreement, the same meaning in this Agreement.</w:t>
      </w:r>
    </w:p>
    <w:p>
      <w:pPr>
        <w:spacing w:after="0" w:line="242" w:lineRule="exact"/>
        <w:rPr>
          <w:rFonts w:ascii="Arial" w:cs="Arial" w:eastAsia="Arial" w:hAnsi="Arial"/>
          <w:sz w:val="16"/>
          <w:szCs w:val="16"/>
          <w:color w:val="auto"/>
        </w:rPr>
      </w:pPr>
    </w:p>
    <w:p>
      <w:pPr>
        <w:ind w:left="1280" w:right="220" w:hanging="634"/>
        <w:spacing w:after="0" w:line="279" w:lineRule="auto"/>
        <w:tabs>
          <w:tab w:leader="none" w:pos="1287" w:val="left"/>
        </w:tabs>
        <w:numPr>
          <w:ilvl w:val="1"/>
          <w:numId w:val="445"/>
        </w:numPr>
        <w:rPr>
          <w:rFonts w:ascii="Arial" w:cs="Arial" w:eastAsia="Arial" w:hAnsi="Arial"/>
          <w:sz w:val="17"/>
          <w:szCs w:val="17"/>
          <w:color w:val="auto"/>
        </w:rPr>
      </w:pPr>
      <w:r>
        <w:rPr>
          <w:rFonts w:ascii="Arial" w:cs="Arial" w:eastAsia="Arial" w:hAnsi="Arial"/>
          <w:sz w:val="17"/>
          <w:szCs w:val="17"/>
          <w:color w:val="auto"/>
        </w:rPr>
        <w:t>The provisions of clauses 1.2 (Construction), 1.3 (Currency symbols and definitions), 1.5 (Third party rights), 29 (Partial invalidity), 30 (Remedies and waivers) and 39 (Enforcement) of the Facility Agreement apply to this Agreement as though they were set out in full in this Agreement, except that references to the Facility Agreement are to be construed as references to this Agreement.</w:t>
      </w:r>
    </w:p>
    <w:p>
      <w:pPr>
        <w:spacing w:after="0" w:line="164" w:lineRule="exact"/>
        <w:rPr>
          <w:rFonts w:ascii="Arial" w:cs="Arial" w:eastAsia="Arial" w:hAnsi="Arial"/>
          <w:sz w:val="17"/>
          <w:szCs w:val="17"/>
          <w:color w:val="auto"/>
        </w:rPr>
      </w:pPr>
    </w:p>
    <w:p>
      <w:pPr>
        <w:ind w:left="640" w:hanging="633"/>
        <w:spacing w:after="0"/>
        <w:tabs>
          <w:tab w:leader="none" w:pos="640"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JOINING IN OF NEW LENDERS</w:t>
      </w:r>
    </w:p>
    <w:p>
      <w:pPr>
        <w:spacing w:after="0" w:line="21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4"/>
          <w:szCs w:val="14"/>
          <w:b w:val="1"/>
          <w:bCs w:val="1"/>
          <w:color w:val="auto"/>
        </w:rPr>
        <w:t>Transfer of rights and obligations</w:t>
      </w:r>
    </w:p>
    <w:p>
      <w:pPr>
        <w:spacing w:after="0" w:line="225" w:lineRule="exact"/>
        <w:rPr>
          <w:sz w:val="20"/>
          <w:szCs w:val="20"/>
          <w:color w:val="auto"/>
        </w:rPr>
      </w:pPr>
    </w:p>
    <w:p>
      <w:pPr>
        <w:ind w:left="640" w:right="580"/>
        <w:spacing w:after="0" w:line="267" w:lineRule="auto"/>
        <w:rPr>
          <w:sz w:val="20"/>
          <w:szCs w:val="20"/>
          <w:color w:val="auto"/>
        </w:rPr>
      </w:pPr>
      <w:r>
        <w:rPr>
          <w:rFonts w:ascii="Arial" w:cs="Arial" w:eastAsia="Arial" w:hAnsi="Arial"/>
          <w:sz w:val="18"/>
          <w:szCs w:val="18"/>
          <w:color w:val="auto"/>
        </w:rPr>
        <w:t>The parties to this Agreement refer to Clause 22.5(a)(ii) (Procedure for transfer) of the Facility Agreement and agree that, on the Transfer Date (regardless of whether a Default is then outstanding):</w:t>
      </w:r>
    </w:p>
    <w:p>
      <w:pPr>
        <w:spacing w:after="0" w:line="179" w:lineRule="exact"/>
        <w:rPr>
          <w:sz w:val="20"/>
          <w:szCs w:val="20"/>
          <w:color w:val="auto"/>
        </w:rPr>
      </w:pPr>
    </w:p>
    <w:p>
      <w:pPr>
        <w:ind w:left="1280" w:hanging="634"/>
        <w:spacing w:after="0"/>
        <w:tabs>
          <w:tab w:leader="none" w:pos="128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each Existing Lender assigns absolutely to the New Lenders its rights under the Finance Documents which correspond to:</w:t>
      </w:r>
    </w:p>
    <w:p>
      <w:pPr>
        <w:spacing w:after="0" w:line="219" w:lineRule="exact"/>
        <w:rPr>
          <w:sz w:val="20"/>
          <w:szCs w:val="20"/>
          <w:color w:val="auto"/>
        </w:rPr>
      </w:pPr>
    </w:p>
    <w:p>
      <w:pPr>
        <w:ind w:left="1920" w:hanging="635"/>
        <w:spacing w:after="0" w:line="267" w:lineRule="auto"/>
        <w:tabs>
          <w:tab w:leader="none" w:pos="1941"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that Existing Lender’s Commitment as set out opposite its name in Part I of Schedule 1 (Transferred Commitment and Loans) so that the Commitment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77" w:name="page278"/>
    <w:bookmarkEnd w:id="277"/>
    <w:p>
      <w:pPr>
        <w:ind w:left="1920"/>
        <w:spacing w:after="0"/>
        <w:rPr>
          <w:sz w:val="20"/>
          <w:szCs w:val="20"/>
          <w:color w:val="auto"/>
        </w:rPr>
      </w:pPr>
      <w:r>
        <w:rPr>
          <w:rFonts w:ascii="Arial" w:cs="Arial" w:eastAsia="Arial" w:hAnsi="Arial"/>
          <w:sz w:val="17"/>
          <w:szCs w:val="17"/>
          <w:color w:val="auto"/>
        </w:rPr>
        <w:t>of each Existing Lender after such transfer will be as set out opposite its name in Part I of Schedule 2 (Existing Lenders);</w:t>
      </w:r>
    </w:p>
    <w:p>
      <w:pPr>
        <w:spacing w:after="0" w:line="231" w:lineRule="exact"/>
        <w:rPr>
          <w:sz w:val="20"/>
          <w:szCs w:val="20"/>
          <w:color w:val="auto"/>
        </w:rPr>
      </w:pPr>
    </w:p>
    <w:p>
      <w:pPr>
        <w:ind w:left="1920" w:right="60" w:hanging="635"/>
        <w:spacing w:after="0" w:line="257" w:lineRule="auto"/>
        <w:tabs>
          <w:tab w:leader="none" w:pos="195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that Existing Lender’s participation in the Loan(s) as set out opposite its name in Part II of Schedule 1 (Transferred Commitment and Loans) so that the participations in any Loans by each Existing Lender after such transfer will be as set out opposite its name in Part II of Schedule 2 (Existing Lenders);</w:t>
      </w:r>
    </w:p>
    <w:p>
      <w:pPr>
        <w:spacing w:after="0" w:line="187" w:lineRule="exact"/>
        <w:rPr>
          <w:rFonts w:ascii="Arial" w:cs="Arial" w:eastAsia="Arial" w:hAnsi="Arial"/>
          <w:sz w:val="18"/>
          <w:szCs w:val="18"/>
          <w:color w:val="auto"/>
        </w:rPr>
      </w:pPr>
    </w:p>
    <w:p>
      <w:pPr>
        <w:ind w:left="1280" w:right="560" w:hanging="634"/>
        <w:spacing w:after="0" w:line="267" w:lineRule="auto"/>
        <w:tabs>
          <w:tab w:leader="none" w:pos="1287"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each Existing Lender will be released from those of its obligations under the Facility Agreement which correspond to those of its rights assigned to the New Lenders under paragraph (a) above but will retain:</w:t>
      </w:r>
    </w:p>
    <w:p>
      <w:pPr>
        <w:spacing w:after="0" w:line="178" w:lineRule="exact"/>
        <w:rPr>
          <w:rFonts w:ascii="Arial" w:cs="Arial" w:eastAsia="Arial" w:hAnsi="Arial"/>
          <w:sz w:val="18"/>
          <w:szCs w:val="18"/>
          <w:color w:val="auto"/>
        </w:rPr>
      </w:pPr>
    </w:p>
    <w:p>
      <w:pPr>
        <w:ind w:left="1940" w:hanging="655"/>
        <w:spacing w:after="0"/>
        <w:tabs>
          <w:tab w:leader="none" w:pos="194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the Commitments set out opposite its name in Part I of Schedule 2 (Existing Lenders); and</w:t>
      </w:r>
    </w:p>
    <w:p>
      <w:pPr>
        <w:spacing w:after="0" w:line="219" w:lineRule="exact"/>
        <w:rPr>
          <w:sz w:val="20"/>
          <w:szCs w:val="20"/>
          <w:color w:val="auto"/>
        </w:rPr>
      </w:pPr>
    </w:p>
    <w:p>
      <w:pPr>
        <w:ind w:left="1960" w:hanging="675"/>
        <w:spacing w:after="0"/>
        <w:tabs>
          <w:tab w:leader="none" w:pos="196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participations in any Loans then outstanding set out opposite its name in Part II of Schedule 2 (Existing Lenders);</w:t>
      </w:r>
    </w:p>
    <w:p>
      <w:pPr>
        <w:spacing w:after="0" w:line="219" w:lineRule="exact"/>
        <w:rPr>
          <w:rFonts w:ascii="Arial" w:cs="Arial" w:eastAsia="Arial" w:hAnsi="Arial"/>
          <w:sz w:val="18"/>
          <w:szCs w:val="18"/>
          <w:color w:val="auto"/>
        </w:rPr>
      </w:pPr>
    </w:p>
    <w:p>
      <w:pPr>
        <w:ind w:left="1300" w:hanging="65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each New Lender will:</w:t>
      </w:r>
    </w:p>
    <w:p>
      <w:pPr>
        <w:spacing w:after="0" w:line="219" w:lineRule="exact"/>
        <w:rPr>
          <w:rFonts w:ascii="Arial" w:cs="Arial" w:eastAsia="Arial" w:hAnsi="Arial"/>
          <w:sz w:val="18"/>
          <w:szCs w:val="18"/>
          <w:color w:val="auto"/>
        </w:rPr>
      </w:pPr>
    </w:p>
    <w:p>
      <w:pPr>
        <w:ind w:left="1940" w:hanging="655"/>
        <w:spacing w:after="0"/>
        <w:tabs>
          <w:tab w:leader="none" w:pos="19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become a “Lender” under the Facility Agreement; and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(ii)</w:t>
            </w:r>
          </w:p>
        </w:tc>
        <w:tc>
          <w:tcPr>
            <w:tcW w:w="9740" w:type="dxa"/>
            <w:vAlign w:val="bottom"/>
            <w:gridSpan w:val="2"/>
          </w:tcPr>
          <w:p>
            <w:pPr>
              <w:ind w:left="240"/>
              <w:spacing w:after="0"/>
              <w:rPr>
                <w:sz w:val="20"/>
                <w:szCs w:val="20"/>
                <w:color w:val="auto"/>
              </w:rPr>
            </w:pPr>
            <w:r>
              <w:rPr>
                <w:rFonts w:ascii="Arial" w:cs="Arial" w:eastAsia="Arial" w:hAnsi="Arial"/>
                <w:sz w:val="18"/>
                <w:szCs w:val="18"/>
                <w:color w:val="auto"/>
                <w:w w:val="96"/>
              </w:rPr>
              <w:t>be bound by obligations to each other party to the Facility Agreement, equivalent to those from which the Existing Lender is</w:t>
            </w:r>
          </w:p>
        </w:tc>
      </w:tr>
      <w:tr>
        <w:trPr>
          <w:trHeight w:val="224"/>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40" w:type="dxa"/>
            <w:vAlign w:val="bottom"/>
            <w:gridSpan w:val="2"/>
          </w:tcPr>
          <w:p>
            <w:pPr>
              <w:ind w:left="200"/>
              <w:spacing w:after="0"/>
              <w:rPr>
                <w:sz w:val="20"/>
                <w:szCs w:val="20"/>
                <w:color w:val="auto"/>
              </w:rPr>
            </w:pPr>
            <w:r>
              <w:rPr>
                <w:rFonts w:ascii="Arial" w:cs="Arial" w:eastAsia="Arial" w:hAnsi="Arial"/>
                <w:sz w:val="18"/>
                <w:szCs w:val="18"/>
                <w:color w:val="auto"/>
              </w:rPr>
              <w:t>released under paragraph (b) above, as if it was an Original Lender under the Facility Agreement; and</w:t>
            </w:r>
          </w:p>
        </w:tc>
      </w:tr>
      <w:tr>
        <w:trPr>
          <w:trHeight w:val="41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(d)</w:t>
            </w:r>
          </w:p>
        </w:tc>
        <w:tc>
          <w:tcPr>
            <w:tcW w:w="10400" w:type="dxa"/>
            <w:vAlign w:val="bottom"/>
            <w:gridSpan w:val="3"/>
          </w:tcPr>
          <w:p>
            <w:pPr>
              <w:ind w:left="240"/>
              <w:spacing w:after="0"/>
              <w:rPr>
                <w:sz w:val="20"/>
                <w:szCs w:val="20"/>
                <w:color w:val="auto"/>
              </w:rPr>
            </w:pPr>
            <w:r>
              <w:rPr>
                <w:rFonts w:ascii="Arial" w:cs="Arial" w:eastAsia="Arial" w:hAnsi="Arial"/>
                <w:sz w:val="18"/>
                <w:szCs w:val="18"/>
                <w:color w:val="auto"/>
                <w:w w:val="93"/>
              </w:rPr>
              <w:t>each New Lender must pay to the Agent to the following account such amount as advised by the Agent to it in respect of the share in the</w:t>
            </w:r>
          </w:p>
        </w:tc>
      </w:tr>
      <w:tr>
        <w:trPr>
          <w:trHeight w:val="213"/>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2"/>
              </w:rPr>
              <w:t>Loans transferred to it under this clause (being an amount equal to the principal amount of the Loans to be transferred to such New Lender</w:t>
            </w:r>
          </w:p>
        </w:tc>
      </w:tr>
      <w:tr>
        <w:trPr>
          <w:trHeight w:val="213"/>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0"/>
              </w:rPr>
              <w:t>[less the amount of any up-front fee such New Lender is entitled to receive as agreed between the Existing Lender and such New Lender]) for</w:t>
            </w:r>
          </w:p>
        </w:tc>
      </w:tr>
      <w:tr>
        <w:trPr>
          <w:trHeight w:val="213"/>
        </w:trPr>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w w:val="93"/>
              </w:rPr>
              <w:t>distribution by the Agent to the Existing Lenders in such amount as agreed between the Existing Lenders and the Agent in respect of the</w:t>
            </w:r>
          </w:p>
        </w:tc>
      </w:tr>
      <w:tr>
        <w:trPr>
          <w:trHeight w:val="224"/>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0" w:type="dxa"/>
            <w:vAlign w:val="bottom"/>
            <w:gridSpan w:val="3"/>
          </w:tcPr>
          <w:p>
            <w:pPr>
              <w:ind w:left="220"/>
              <w:spacing w:after="0"/>
              <w:rPr>
                <w:sz w:val="20"/>
                <w:szCs w:val="20"/>
                <w:color w:val="auto"/>
              </w:rPr>
            </w:pPr>
            <w:r>
              <w:rPr>
                <w:rFonts w:ascii="Arial" w:cs="Arial" w:eastAsia="Arial" w:hAnsi="Arial"/>
                <w:sz w:val="18"/>
                <w:szCs w:val="18"/>
                <w:color w:val="auto"/>
              </w:rPr>
              <w:t>amount of the Loans of that Existing Lender which is assigned under paragraph (a) above:</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Correspondent Bank:</w:t>
            </w:r>
          </w:p>
        </w:tc>
        <w:tc>
          <w:tcPr>
            <w:tcW w:w="7220" w:type="dxa"/>
            <w:vAlign w:val="bottom"/>
          </w:tcPr>
          <w:p>
            <w:pPr>
              <w:ind w:left="260"/>
              <w:spacing w:after="0"/>
              <w:rPr>
                <w:sz w:val="20"/>
                <w:szCs w:val="20"/>
                <w:color w:val="auto"/>
              </w:rPr>
            </w:pPr>
            <w:r>
              <w:rPr>
                <w:rFonts w:ascii="Arial" w:cs="Arial" w:eastAsia="Arial" w:hAnsi="Arial"/>
                <w:sz w:val="18"/>
                <w:szCs w:val="18"/>
                <w:color w:val="auto"/>
              </w:rPr>
              <w:t>Citibank, N.A., New York Branch (SWIFT:CITIUS33)</w:t>
            </w:r>
          </w:p>
        </w:tc>
      </w:tr>
      <w:tr>
        <w:trPr>
          <w:trHeight w:val="415"/>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Beneficiary Bank:</w:t>
            </w:r>
          </w:p>
        </w:tc>
        <w:tc>
          <w:tcPr>
            <w:tcW w:w="7220" w:type="dxa"/>
            <w:vAlign w:val="bottom"/>
          </w:tcPr>
          <w:p>
            <w:pPr>
              <w:ind w:left="260"/>
              <w:spacing w:after="0"/>
              <w:rPr>
                <w:sz w:val="20"/>
                <w:szCs w:val="20"/>
                <w:color w:val="auto"/>
              </w:rPr>
            </w:pPr>
            <w:r>
              <w:rPr>
                <w:rFonts w:ascii="Arial" w:cs="Arial" w:eastAsia="Arial" w:hAnsi="Arial"/>
                <w:sz w:val="18"/>
                <w:szCs w:val="18"/>
                <w:color w:val="auto"/>
              </w:rPr>
              <w:t>Citibank, N.A., Hong Kong Branch</w:t>
            </w:r>
          </w:p>
        </w:tc>
      </w:tr>
      <w:tr>
        <w:trPr>
          <w:trHeight w:val="224"/>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220" w:type="dxa"/>
            <w:vAlign w:val="bottom"/>
          </w:tcPr>
          <w:p>
            <w:pPr>
              <w:ind w:left="260"/>
              <w:spacing w:after="0"/>
              <w:rPr>
                <w:sz w:val="20"/>
                <w:szCs w:val="20"/>
                <w:color w:val="auto"/>
              </w:rPr>
            </w:pPr>
            <w:r>
              <w:rPr>
                <w:rFonts w:ascii="Arial" w:cs="Arial" w:eastAsia="Arial" w:hAnsi="Arial"/>
                <w:sz w:val="18"/>
                <w:szCs w:val="18"/>
                <w:color w:val="auto"/>
              </w:rPr>
              <w:t>(SWIFT: CITIHKHX)</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Beneficiary Bank A/C No.:</w:t>
            </w:r>
          </w:p>
        </w:tc>
        <w:tc>
          <w:tcPr>
            <w:tcW w:w="7220" w:type="dxa"/>
            <w:vAlign w:val="bottom"/>
          </w:tcPr>
          <w:p>
            <w:pPr>
              <w:ind w:left="260"/>
              <w:spacing w:after="0"/>
              <w:rPr>
                <w:sz w:val="20"/>
                <w:szCs w:val="20"/>
                <w:color w:val="auto"/>
              </w:rPr>
            </w:pPr>
            <w:r>
              <w:rPr>
                <w:rFonts w:ascii="Arial" w:cs="Arial" w:eastAsia="Arial" w:hAnsi="Arial"/>
                <w:sz w:val="18"/>
                <w:szCs w:val="18"/>
                <w:color w:val="auto"/>
              </w:rPr>
              <w:t>10990845</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Beneficiary Name:</w:t>
            </w:r>
          </w:p>
        </w:tc>
        <w:tc>
          <w:tcPr>
            <w:tcW w:w="7220" w:type="dxa"/>
            <w:vAlign w:val="bottom"/>
          </w:tcPr>
          <w:p>
            <w:pPr>
              <w:ind w:left="260"/>
              <w:spacing w:after="0"/>
              <w:rPr>
                <w:sz w:val="20"/>
                <w:szCs w:val="20"/>
                <w:color w:val="auto"/>
              </w:rPr>
            </w:pPr>
            <w:r>
              <w:rPr>
                <w:rFonts w:ascii="Arial" w:cs="Arial" w:eastAsia="Arial" w:hAnsi="Arial"/>
                <w:sz w:val="18"/>
                <w:szCs w:val="18"/>
                <w:color w:val="auto"/>
              </w:rPr>
              <w:t>Citicorp International Limited</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Beneficiary A/C No.:</w:t>
            </w:r>
          </w:p>
        </w:tc>
        <w:tc>
          <w:tcPr>
            <w:tcW w:w="7220" w:type="dxa"/>
            <w:vAlign w:val="bottom"/>
          </w:tcPr>
          <w:p>
            <w:pPr>
              <w:ind w:left="260"/>
              <w:spacing w:after="0"/>
              <w:rPr>
                <w:sz w:val="20"/>
                <w:szCs w:val="20"/>
                <w:color w:val="auto"/>
              </w:rPr>
            </w:pPr>
            <w:r>
              <w:rPr>
                <w:rFonts w:ascii="Arial" w:cs="Arial" w:eastAsia="Arial" w:hAnsi="Arial"/>
                <w:sz w:val="18"/>
                <w:szCs w:val="18"/>
                <w:color w:val="auto"/>
              </w:rPr>
              <w:t>5-888991-001</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Attention:</w:t>
            </w:r>
          </w:p>
        </w:tc>
        <w:tc>
          <w:tcPr>
            <w:tcW w:w="7220" w:type="dxa"/>
            <w:vAlign w:val="bottom"/>
          </w:tcPr>
          <w:p>
            <w:pPr>
              <w:ind w:left="260"/>
              <w:spacing w:after="0"/>
              <w:rPr>
                <w:sz w:val="20"/>
                <w:szCs w:val="20"/>
                <w:color w:val="auto"/>
              </w:rPr>
            </w:pPr>
            <w:r>
              <w:rPr>
                <w:rFonts w:ascii="Arial" w:cs="Arial" w:eastAsia="Arial" w:hAnsi="Arial"/>
                <w:sz w:val="18"/>
                <w:szCs w:val="18"/>
                <w:color w:val="auto"/>
              </w:rPr>
              <w:t>Regional Loans Agency</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Reference:</w:t>
            </w:r>
          </w:p>
        </w:tc>
        <w:tc>
          <w:tcPr>
            <w:tcW w:w="7220" w:type="dxa"/>
            <w:vAlign w:val="bottom"/>
          </w:tcPr>
          <w:p>
            <w:pPr>
              <w:ind w:left="260"/>
              <w:spacing w:after="0"/>
              <w:rPr>
                <w:sz w:val="20"/>
                <w:szCs w:val="20"/>
                <w:color w:val="auto"/>
              </w:rPr>
            </w:pPr>
            <w:r>
              <w:rPr>
                <w:rFonts w:ascii="Arial" w:cs="Arial" w:eastAsia="Arial" w:hAnsi="Arial"/>
                <w:sz w:val="18"/>
                <w:szCs w:val="18"/>
                <w:color w:val="auto"/>
              </w:rPr>
              <w:t>Netease Inc. 2018 – Syndication</w:t>
            </w:r>
          </w:p>
        </w:tc>
      </w:tr>
      <w:tr>
        <w:trPr>
          <w:trHeight w:val="426"/>
        </w:trPr>
        <w:tc>
          <w:tcPr>
            <w:tcW w:w="440" w:type="dxa"/>
            <w:vAlign w:val="bottom"/>
          </w:tcPr>
          <w:p>
            <w:pPr>
              <w:jc w:val="right"/>
              <w:ind w:right="131"/>
              <w:spacing w:after="0"/>
              <w:rPr>
                <w:sz w:val="20"/>
                <w:szCs w:val="20"/>
                <w:color w:val="auto"/>
              </w:rPr>
            </w:pPr>
            <w:r>
              <w:rPr>
                <w:rFonts w:ascii="Arial" w:cs="Arial" w:eastAsia="Arial" w:hAnsi="Arial"/>
                <w:sz w:val="18"/>
                <w:szCs w:val="18"/>
                <w:color w:val="auto"/>
                <w:w w:val="79"/>
              </w:rPr>
              <w:t>2.2</w:t>
            </w:r>
          </w:p>
        </w:tc>
        <w:tc>
          <w:tcPr>
            <w:tcW w:w="3800" w:type="dxa"/>
            <w:vAlign w:val="bottom"/>
            <w:gridSpan w:val="3"/>
          </w:tcPr>
          <w:p>
            <w:pPr>
              <w:ind w:left="200"/>
              <w:spacing w:after="0"/>
              <w:rPr>
                <w:sz w:val="20"/>
                <w:szCs w:val="20"/>
                <w:color w:val="auto"/>
              </w:rPr>
            </w:pPr>
            <w:r>
              <w:rPr>
                <w:rFonts w:ascii="Arial" w:cs="Arial" w:eastAsia="Arial" w:hAnsi="Arial"/>
                <w:sz w:val="18"/>
                <w:szCs w:val="18"/>
                <w:b w:val="1"/>
                <w:bCs w:val="1"/>
                <w:color w:val="auto"/>
                <w:w w:val="94"/>
              </w:rPr>
              <w:t>Amounts due on or before the Transfer Date</w:t>
            </w:r>
          </w:p>
        </w:tc>
        <w:tc>
          <w:tcPr>
            <w:tcW w:w="7220" w:type="dxa"/>
            <w:vAlign w:val="bottom"/>
          </w:tcPr>
          <w:p>
            <w:pPr>
              <w:spacing w:after="0"/>
              <w:rPr>
                <w:sz w:val="24"/>
                <w:szCs w:val="24"/>
                <w:color w:val="auto"/>
              </w:rPr>
            </w:pPr>
          </w:p>
        </w:tc>
      </w:tr>
      <w:tr>
        <w:trPr>
          <w:trHeight w:val="415"/>
        </w:trPr>
        <w:tc>
          <w:tcPr>
            <w:tcW w:w="440" w:type="dxa"/>
            <w:vAlign w:val="bottom"/>
          </w:tcPr>
          <w:p>
            <w:pPr>
              <w:spacing w:after="0"/>
              <w:rPr>
                <w:sz w:val="24"/>
                <w:szCs w:val="24"/>
                <w:color w:val="auto"/>
              </w:rPr>
            </w:pPr>
          </w:p>
        </w:tc>
        <w:tc>
          <w:tcPr>
            <w:tcW w:w="11020" w:type="dxa"/>
            <w:vAlign w:val="bottom"/>
            <w:gridSpan w:val="4"/>
          </w:tcPr>
          <w:p>
            <w:pPr>
              <w:ind w:left="200"/>
              <w:spacing w:after="0"/>
              <w:rPr>
                <w:sz w:val="20"/>
                <w:szCs w:val="20"/>
                <w:color w:val="auto"/>
              </w:rPr>
            </w:pPr>
            <w:r>
              <w:rPr>
                <w:rFonts w:ascii="Arial" w:cs="Arial" w:eastAsia="Arial" w:hAnsi="Arial"/>
                <w:sz w:val="18"/>
                <w:szCs w:val="18"/>
                <w:color w:val="auto"/>
                <w:w w:val="93"/>
              </w:rPr>
              <w:t>Any amounts payable to an Existing Lender by the Borrower on or prior to the Transfer Date will be for the account of that Existing Lender, and no</w:t>
            </w:r>
          </w:p>
        </w:tc>
      </w:tr>
      <w:tr>
        <w:trPr>
          <w:trHeight w:val="224"/>
        </w:trPr>
        <w:tc>
          <w:tcPr>
            <w:tcW w:w="440" w:type="dxa"/>
            <w:vAlign w:val="bottom"/>
          </w:tcPr>
          <w:p>
            <w:pPr>
              <w:spacing w:after="0"/>
              <w:rPr>
                <w:sz w:val="19"/>
                <w:szCs w:val="19"/>
                <w:color w:val="auto"/>
              </w:rPr>
            </w:pPr>
          </w:p>
        </w:tc>
        <w:tc>
          <w:tcPr>
            <w:tcW w:w="11020" w:type="dxa"/>
            <w:vAlign w:val="bottom"/>
            <w:gridSpan w:val="4"/>
          </w:tcPr>
          <w:p>
            <w:pPr>
              <w:ind w:left="200"/>
              <w:spacing w:after="0"/>
              <w:rPr>
                <w:sz w:val="20"/>
                <w:szCs w:val="20"/>
                <w:color w:val="auto"/>
              </w:rPr>
            </w:pPr>
            <w:r>
              <w:rPr>
                <w:rFonts w:ascii="Arial" w:cs="Arial" w:eastAsia="Arial" w:hAnsi="Arial"/>
                <w:sz w:val="18"/>
                <w:szCs w:val="18"/>
                <w:color w:val="auto"/>
              </w:rPr>
              <w:t>New Lender will have any interest in, or any rights in respect of, those amounts.</w:t>
            </w:r>
          </w:p>
        </w:tc>
      </w:tr>
      <w:tr>
        <w:trPr>
          <w:trHeight w:val="426"/>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220" w:type="dxa"/>
            <w:vAlign w:val="bottom"/>
          </w:tcPr>
          <w:p>
            <w:pPr>
              <w:ind w:left="1420"/>
              <w:spacing w:after="0"/>
              <w:rPr>
                <w:sz w:val="20"/>
                <w:szCs w:val="20"/>
                <w:color w:val="auto"/>
              </w:rPr>
            </w:pPr>
            <w:r>
              <w:rPr>
                <w:rFonts w:ascii="Arial" w:cs="Arial" w:eastAsia="Arial" w:hAnsi="Arial"/>
                <w:sz w:val="18"/>
                <w:szCs w:val="18"/>
                <w:color w:val="auto"/>
              </w:rPr>
              <w:t>2</w:t>
            </w:r>
          </w:p>
        </w:tc>
      </w:tr>
      <w:tr>
        <w:trPr>
          <w:trHeight w:val="131"/>
        </w:trPr>
        <w:tc>
          <w:tcPr>
            <w:tcW w:w="4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7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278" w:name="page279"/>
    <w:bookmarkEnd w:id="278"/>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4"/>
          <w:szCs w:val="14"/>
          <w:b w:val="1"/>
          <w:bCs w:val="1"/>
          <w:color w:val="auto"/>
        </w:rPr>
        <w:t>Contact details</w:t>
      </w:r>
    </w:p>
    <w:p>
      <w:pPr>
        <w:spacing w:after="0" w:line="225" w:lineRule="exact"/>
        <w:rPr>
          <w:sz w:val="20"/>
          <w:szCs w:val="20"/>
          <w:color w:val="auto"/>
        </w:rPr>
      </w:pPr>
    </w:p>
    <w:p>
      <w:pPr>
        <w:ind w:left="640"/>
        <w:spacing w:after="0" w:line="267" w:lineRule="auto"/>
        <w:rPr>
          <w:sz w:val="20"/>
          <w:szCs w:val="20"/>
          <w:color w:val="auto"/>
        </w:rPr>
      </w:pPr>
      <w:r>
        <w:rPr>
          <w:rFonts w:ascii="Arial" w:cs="Arial" w:eastAsia="Arial" w:hAnsi="Arial"/>
          <w:sz w:val="18"/>
          <w:szCs w:val="18"/>
          <w:color w:val="auto"/>
        </w:rPr>
        <w:t>The contact details of the New Lenders for the purposes of the Facility Agreement are set out opposite to its name in Schedule 4 (Notice details of New Lenders).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Transfer fee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Agent confirms that no transfer fees are payable to it under the Facility Agreement in respect of any transaction contemplated by this Agreement.</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4"/>
          <w:szCs w:val="14"/>
          <w:b w:val="1"/>
          <w:bCs w:val="1"/>
          <w:color w:val="auto"/>
        </w:rPr>
        <w:t>Consent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parties to this Agreement confirms its consent to the New Lenders becoming Lenders under the Facility Agreement.</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color w:val="auto"/>
        </w:rPr>
        <w:t>Limitation of responsibility of the Existing Lenders</w:t>
      </w:r>
    </w:p>
    <w:p>
      <w:pPr>
        <w:spacing w:after="0" w:line="225" w:lineRule="exact"/>
        <w:rPr>
          <w:sz w:val="20"/>
          <w:szCs w:val="20"/>
          <w:color w:val="auto"/>
        </w:rPr>
      </w:pPr>
    </w:p>
    <w:p>
      <w:pPr>
        <w:ind w:left="1280" w:hanging="634"/>
        <w:spacing w:after="0"/>
        <w:tabs>
          <w:tab w:leader="none" w:pos="12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No Existing Lender makes any representation or warranty and assumes no responsibility to any New Lender for:</w:t>
      </w:r>
    </w:p>
    <w:p>
      <w:pPr>
        <w:spacing w:after="0" w:line="219" w:lineRule="exact"/>
        <w:rPr>
          <w:rFonts w:ascii="Arial" w:cs="Arial" w:eastAsia="Arial" w:hAnsi="Arial"/>
          <w:sz w:val="18"/>
          <w:szCs w:val="18"/>
          <w:color w:val="auto"/>
        </w:rPr>
      </w:pPr>
    </w:p>
    <w:p>
      <w:pPr>
        <w:ind w:left="1940" w:hanging="655"/>
        <w:spacing w:after="0"/>
        <w:tabs>
          <w:tab w:leader="none" w:pos="194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19" w:lineRule="exact"/>
        <w:rPr>
          <w:rFonts w:ascii="Arial" w:cs="Arial" w:eastAsia="Arial" w:hAnsi="Arial"/>
          <w:sz w:val="18"/>
          <w:szCs w:val="18"/>
          <w:color w:val="auto"/>
        </w:rPr>
      </w:pPr>
    </w:p>
    <w:p>
      <w:pPr>
        <w:ind w:left="1960" w:hanging="675"/>
        <w:spacing w:after="0"/>
        <w:tabs>
          <w:tab w:leader="none" w:pos="19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financial condition of any member of the Group or any Affiliate of any member of the Group;</w:t>
      </w:r>
    </w:p>
    <w:p>
      <w:pPr>
        <w:spacing w:after="0" w:line="219" w:lineRule="exact"/>
        <w:rPr>
          <w:rFonts w:ascii="Arial" w:cs="Arial" w:eastAsia="Arial" w:hAnsi="Arial"/>
          <w:sz w:val="18"/>
          <w:szCs w:val="18"/>
          <w:color w:val="auto"/>
        </w:rPr>
      </w:pPr>
    </w:p>
    <w:p>
      <w:pPr>
        <w:ind w:left="1960" w:hanging="675"/>
        <w:spacing w:after="0"/>
        <w:tabs>
          <w:tab w:leader="none" w:pos="196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the performance and observance by the Borrower of its obligations under the Finance Documents or any other documents; or</w:t>
      </w:r>
    </w:p>
    <w:p>
      <w:pPr>
        <w:spacing w:after="0" w:line="230" w:lineRule="exact"/>
        <w:rPr>
          <w:rFonts w:ascii="Arial" w:cs="Arial" w:eastAsia="Arial" w:hAnsi="Arial"/>
          <w:sz w:val="17"/>
          <w:szCs w:val="17"/>
          <w:color w:val="auto"/>
        </w:rPr>
      </w:pPr>
    </w:p>
    <w:p>
      <w:pPr>
        <w:ind w:left="1920" w:right="720" w:hanging="635"/>
        <w:spacing w:after="0" w:line="267" w:lineRule="auto"/>
        <w:tabs>
          <w:tab w:leader="none" w:pos="1936"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19" w:lineRule="exact"/>
        <w:rPr>
          <w:sz w:val="20"/>
          <w:szCs w:val="20"/>
          <w:color w:val="auto"/>
        </w:rPr>
      </w:pPr>
    </w:p>
    <w:p>
      <w:pPr>
        <w:ind w:left="1300" w:hanging="65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Administrative Party is responsible or liable for:</w:t>
      </w:r>
    </w:p>
    <w:p>
      <w:pPr>
        <w:spacing w:after="0" w:line="219" w:lineRule="exact"/>
        <w:rPr>
          <w:rFonts w:ascii="Arial" w:cs="Arial" w:eastAsia="Arial" w:hAnsi="Arial"/>
          <w:sz w:val="18"/>
          <w:szCs w:val="18"/>
          <w:color w:val="auto"/>
        </w:rPr>
      </w:pPr>
    </w:p>
    <w:p>
      <w:pPr>
        <w:ind w:left="1920" w:right="160" w:hanging="635"/>
        <w:spacing w:after="0" w:line="273" w:lineRule="auto"/>
        <w:tabs>
          <w:tab w:leader="none" w:pos="1941" w:val="left"/>
        </w:tabs>
        <w:numPr>
          <w:ilvl w:val="1"/>
          <w:numId w:val="454"/>
        </w:numPr>
        <w:rPr>
          <w:rFonts w:ascii="Arial" w:cs="Arial" w:eastAsia="Arial" w:hAnsi="Arial"/>
          <w:sz w:val="17"/>
          <w:szCs w:val="17"/>
          <w:color w:val="auto"/>
        </w:rPr>
      </w:pPr>
      <w:r>
        <w:rPr>
          <w:rFonts w:ascii="Arial" w:cs="Arial" w:eastAsia="Arial" w:hAnsi="Arial"/>
          <w:sz w:val="17"/>
          <w:szCs w:val="17"/>
          <w:color w:val="auto"/>
        </w:rPr>
        <w:t>the adequacy, accuracy and/or completeness of any information (whether oral or written) supplied by any Administrative Party, the Borrower or any other person given in or in connection with any Finance Document, the Information Memorandum or the transactions contemplated in the Finance Documents or any other agreement, arrangement or document entered into, made or executed in anticipation of, under or in connection with any Finance Document;</w:t>
      </w:r>
    </w:p>
    <w:p>
      <w:pPr>
        <w:spacing w:after="0" w:line="176" w:lineRule="exact"/>
        <w:rPr>
          <w:rFonts w:ascii="Arial" w:cs="Arial" w:eastAsia="Arial" w:hAnsi="Arial"/>
          <w:sz w:val="17"/>
          <w:szCs w:val="17"/>
          <w:color w:val="auto"/>
        </w:rPr>
      </w:pPr>
    </w:p>
    <w:p>
      <w:pPr>
        <w:ind w:left="1920" w:right="320" w:hanging="635"/>
        <w:spacing w:after="0" w:line="330" w:lineRule="auto"/>
        <w:tabs>
          <w:tab w:leader="none" w:pos="195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33" w:lineRule="exact"/>
        <w:rPr>
          <w:rFonts w:ascii="Arial" w:cs="Arial" w:eastAsia="Arial" w:hAnsi="Arial"/>
          <w:sz w:val="16"/>
          <w:szCs w:val="16"/>
          <w:color w:val="auto"/>
        </w:rPr>
      </w:pPr>
    </w:p>
    <w:p>
      <w:pPr>
        <w:ind w:left="1920" w:right="120" w:hanging="635"/>
        <w:spacing w:after="0" w:line="296" w:lineRule="auto"/>
        <w:tabs>
          <w:tab w:leader="none" w:pos="1960" w:val="left"/>
        </w:tabs>
        <w:numPr>
          <w:ilvl w:val="1"/>
          <w:numId w:val="454"/>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57" w:lineRule="exact"/>
        <w:rPr>
          <w:rFonts w:ascii="Arial" w:cs="Arial" w:eastAsia="Arial" w:hAnsi="Arial"/>
          <w:sz w:val="17"/>
          <w:szCs w:val="17"/>
          <w:color w:val="auto"/>
        </w:rPr>
      </w:pPr>
    </w:p>
    <w:p>
      <w:pPr>
        <w:ind w:left="1300" w:hanging="65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19" w:lineRule="exact"/>
        <w:rPr>
          <w:rFonts w:ascii="Arial" w:cs="Arial" w:eastAsia="Arial" w:hAnsi="Arial"/>
          <w:sz w:val="18"/>
          <w:szCs w:val="18"/>
          <w:color w:val="auto"/>
        </w:rPr>
      </w:pPr>
    </w:p>
    <w:p>
      <w:pPr>
        <w:ind w:left="1940" w:hanging="655"/>
        <w:spacing w:after="0"/>
        <w:tabs>
          <w:tab w:leader="none" w:pos="19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accept a re-transfer from any New Lender of any of the rights and obligations transferred under this Agreement;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79" w:name="page280"/>
    <w:bookmarkEnd w:id="279"/>
    <w:p>
      <w:pPr>
        <w:ind w:left="1920" w:right="120" w:hanging="635"/>
        <w:spacing w:after="0" w:line="267" w:lineRule="auto"/>
        <w:tabs>
          <w:tab w:leader="none" w:pos="195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a New Lender by reason of non-performance by the Borrower of its obligations under the Finance Documents, or otherwise.</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Confirmation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New Lender confirms that it:</w:t>
      </w:r>
    </w:p>
    <w:p>
      <w:pPr>
        <w:spacing w:after="0" w:line="219" w:lineRule="exact"/>
        <w:rPr>
          <w:sz w:val="20"/>
          <w:szCs w:val="20"/>
          <w:color w:val="auto"/>
        </w:rPr>
      </w:pPr>
    </w:p>
    <w:p>
      <w:pPr>
        <w:ind w:left="1280" w:right="40" w:hanging="634"/>
        <w:spacing w:after="0" w:line="267" w:lineRule="auto"/>
        <w:tabs>
          <w:tab w:leader="none" w:pos="1277" w:val="left"/>
        </w:tabs>
        <w:numPr>
          <w:ilvl w:val="1"/>
          <w:numId w:val="456"/>
        </w:numPr>
        <w:rPr>
          <w:rFonts w:ascii="Arial" w:cs="Arial" w:eastAsia="Arial" w:hAnsi="Arial"/>
          <w:sz w:val="18"/>
          <w:szCs w:val="18"/>
          <w:color w:val="auto"/>
        </w:rPr>
      </w:pPr>
      <w:r>
        <w:rPr>
          <w:rFonts w:ascii="Arial" w:cs="Arial" w:eastAsia="Arial" w:hAnsi="Arial"/>
          <w:sz w:val="18"/>
          <w:szCs w:val="18"/>
          <w:color w:val="auto"/>
        </w:rPr>
        <w:t>has received a copy of each of the Finance Documents together with such other information as it has required in connection of this transaction and it is satisfied with such Finance Documents;</w:t>
      </w:r>
    </w:p>
    <w:p>
      <w:pPr>
        <w:spacing w:after="0" w:line="178" w:lineRule="exact"/>
        <w:rPr>
          <w:rFonts w:ascii="Arial" w:cs="Arial" w:eastAsia="Arial" w:hAnsi="Arial"/>
          <w:sz w:val="18"/>
          <w:szCs w:val="18"/>
          <w:color w:val="auto"/>
        </w:rPr>
      </w:pPr>
    </w:p>
    <w:p>
      <w:pPr>
        <w:ind w:left="1280" w:right="220" w:hanging="634"/>
        <w:spacing w:after="0" w:line="304" w:lineRule="auto"/>
        <w:tabs>
          <w:tab w:leader="none" w:pos="1287" w:val="left"/>
        </w:tabs>
        <w:numPr>
          <w:ilvl w:val="1"/>
          <w:numId w:val="456"/>
        </w:numPr>
        <w:rPr>
          <w:rFonts w:ascii="Arial" w:cs="Arial" w:eastAsia="Arial" w:hAnsi="Arial"/>
          <w:sz w:val="16"/>
          <w:szCs w:val="16"/>
          <w:color w:val="auto"/>
        </w:rPr>
      </w:pPr>
      <w:r>
        <w:rPr>
          <w:rFonts w:ascii="Arial" w:cs="Arial" w:eastAsia="Arial" w:hAnsi="Arial"/>
          <w:sz w:val="16"/>
          <w:szCs w:val="16"/>
          <w:color w:val="auto"/>
        </w:rPr>
        <w:t>has made (and shall continue to make) its own independent investigation and assessment of the financial condition and affairs of the Borrower, members of the Group and their related entities in connection with its participation in this agreement and/or the other Finance Documents has not relied exclusively on any information provided to it by the Existing Lenders in connection with any Finance Document;</w:t>
      </w:r>
    </w:p>
    <w:p>
      <w:pPr>
        <w:spacing w:after="0" w:line="153" w:lineRule="exact"/>
        <w:rPr>
          <w:rFonts w:ascii="Arial" w:cs="Arial" w:eastAsia="Arial" w:hAnsi="Arial"/>
          <w:sz w:val="16"/>
          <w:szCs w:val="16"/>
          <w:color w:val="auto"/>
        </w:rPr>
      </w:pPr>
    </w:p>
    <w:p>
      <w:pPr>
        <w:ind w:left="1280" w:right="300" w:hanging="634"/>
        <w:spacing w:after="0" w:line="267" w:lineRule="auto"/>
        <w:tabs>
          <w:tab w:leader="none" w:pos="129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the Borrower, members of the Group and its related entities whilst any amount is or may be outstanding under the Finance Documents or any Commitment is in force;</w:t>
      </w:r>
    </w:p>
    <w:p>
      <w:pPr>
        <w:spacing w:after="0" w:line="178" w:lineRule="exact"/>
        <w:rPr>
          <w:rFonts w:ascii="Arial" w:cs="Arial" w:eastAsia="Arial" w:hAnsi="Arial"/>
          <w:sz w:val="18"/>
          <w:szCs w:val="18"/>
          <w:color w:val="auto"/>
        </w:rPr>
      </w:pPr>
    </w:p>
    <w:p>
      <w:pPr>
        <w:ind w:left="1280" w:right="760" w:hanging="634"/>
        <w:spacing w:after="0" w:line="267" w:lineRule="auto"/>
        <w:tabs>
          <w:tab w:leader="none" w:pos="1287"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shall be bound by any consent, waiver, election or decision given or made by the Existing Lenders under or pursuant to any Finance Document prior to the Transfer Date; and</w:t>
      </w:r>
    </w:p>
    <w:p>
      <w:pPr>
        <w:spacing w:after="0" w:line="178" w:lineRule="exact"/>
        <w:rPr>
          <w:rFonts w:ascii="Arial" w:cs="Arial" w:eastAsia="Arial" w:hAnsi="Arial"/>
          <w:sz w:val="18"/>
          <w:szCs w:val="18"/>
          <w:color w:val="auto"/>
        </w:rPr>
      </w:pPr>
    </w:p>
    <w:p>
      <w:pPr>
        <w:ind w:left="1280" w:right="840" w:hanging="634"/>
        <w:spacing w:after="0" w:line="267" w:lineRule="auto"/>
        <w:tabs>
          <w:tab w:leader="none" w:pos="129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is not an Affiliate of the Borrower and not a person as listed in clause 22.2(b) (Conditions of assignment or transfer) of the Facility Agreement.</w:t>
      </w:r>
    </w:p>
    <w:p>
      <w:pPr>
        <w:spacing w:after="0" w:line="172" w:lineRule="exact"/>
        <w:rPr>
          <w:rFonts w:ascii="Arial" w:cs="Arial" w:eastAsia="Arial" w:hAnsi="Arial"/>
          <w:sz w:val="18"/>
          <w:szCs w:val="18"/>
          <w:color w:val="auto"/>
        </w:rPr>
      </w:pPr>
    </w:p>
    <w:p>
      <w:pPr>
        <w:ind w:left="640" w:hanging="633"/>
        <w:spacing w:after="0"/>
        <w:tabs>
          <w:tab w:leader="none" w:pos="64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t>NATURE OF THIS AGREEMENT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This is the “Syndication Agreement” for the purposes of the Facility Agreement.</w:t>
      </w:r>
    </w:p>
    <w:p>
      <w:pPr>
        <w:spacing w:after="0" w:line="213" w:lineRule="exact"/>
        <w:rPr>
          <w:rFonts w:ascii="Arial" w:cs="Arial" w:eastAsia="Arial" w:hAnsi="Arial"/>
          <w:sz w:val="18"/>
          <w:szCs w:val="18"/>
          <w:color w:val="auto"/>
        </w:rPr>
      </w:pPr>
    </w:p>
    <w:p>
      <w:pPr>
        <w:ind w:left="640" w:hanging="633"/>
        <w:spacing w:after="0"/>
        <w:tabs>
          <w:tab w:leader="none" w:pos="640" w:val="left"/>
        </w:tabs>
        <w:numPr>
          <w:ilvl w:val="0"/>
          <w:numId w:val="457"/>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color w:val="auto"/>
        </w:rPr>
      </w:pPr>
    </w:p>
    <w:p>
      <w:pPr>
        <w:ind w:left="1280" w:right="160" w:hanging="634"/>
        <w:spacing w:after="0" w:line="267" w:lineRule="auto"/>
        <w:tabs>
          <w:tab w:leader="none" w:pos="127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Clauses 38 (Governing Law) and 39 (Enforcement) of the Facility Agreement shall apply to this letter and shall be incorporated in this letter as if they had been set out in full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1280" w:hanging="634"/>
        <w:spacing w:after="0" w:line="267" w:lineRule="auto"/>
        <w:tabs>
          <w:tab w:leader="none" w:pos="1287"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this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80" w:name="page281"/>
    <w:bookmarkEnd w:id="280"/>
    <w:p>
      <w:pPr>
        <w:jc w:val="center"/>
        <w:ind w:right="40"/>
        <w:spacing w:after="0"/>
        <w:rPr>
          <w:sz w:val="20"/>
          <w:szCs w:val="20"/>
          <w:color w:val="auto"/>
        </w:rPr>
      </w:pPr>
      <w:r>
        <w:rPr>
          <w:rFonts w:ascii="Arial" w:cs="Arial" w:eastAsia="Arial" w:hAnsi="Arial"/>
          <w:sz w:val="18"/>
          <w:szCs w:val="18"/>
          <w:b w:val="1"/>
          <w:bCs w:val="1"/>
          <w:color w:val="auto"/>
        </w:rPr>
        <w:t>SCHEDULE 1</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Transferred Commitment and Loans</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Transferred Commitment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80" w:type="dxa"/>
            <w:vAlign w:val="bottom"/>
          </w:tcPr>
          <w:p>
            <w:pPr>
              <w:spacing w:after="0"/>
              <w:rPr>
                <w:sz w:val="20"/>
                <w:szCs w:val="20"/>
                <w:color w:val="auto"/>
              </w:rPr>
            </w:pPr>
            <w:r>
              <w:rPr>
                <w:rFonts w:ascii="Arial" w:cs="Arial" w:eastAsia="Arial" w:hAnsi="Arial"/>
                <w:sz w:val="14"/>
                <w:szCs w:val="14"/>
                <w:b w:val="1"/>
                <w:bCs w:val="1"/>
                <w:color w:val="auto"/>
              </w:rPr>
              <w:t>Name of Existing Lender</w:t>
            </w:r>
          </w:p>
        </w:tc>
        <w:tc>
          <w:tcPr>
            <w:tcW w:w="280" w:type="dxa"/>
            <w:vAlign w:val="bottom"/>
          </w:tcPr>
          <w:p>
            <w:pPr>
              <w:spacing w:after="0"/>
              <w:rPr>
                <w:sz w:val="14"/>
                <w:szCs w:val="14"/>
                <w:color w:val="auto"/>
              </w:rPr>
            </w:pPr>
          </w:p>
        </w:tc>
        <w:tc>
          <w:tcPr>
            <w:tcW w:w="296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Commitment (US dollars)</w:t>
            </w:r>
          </w:p>
        </w:tc>
        <w:tc>
          <w:tcPr>
            <w:tcW w:w="40" w:type="dxa"/>
            <w:vAlign w:val="bottom"/>
          </w:tcPr>
          <w:p>
            <w:pPr>
              <w:spacing w:after="0"/>
              <w:rPr>
                <w:sz w:val="14"/>
                <w:szCs w:val="14"/>
                <w:color w:val="auto"/>
              </w:rPr>
            </w:pPr>
          </w:p>
        </w:tc>
      </w:tr>
      <w:tr>
        <w:trPr>
          <w:trHeight w:val="206"/>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 AND NEW ZEALAND BANKING GROUP LIMITED</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CITIBANK, N.A., HONG KONG BRANCH</w:t>
            </w:r>
          </w:p>
        </w:tc>
        <w:tc>
          <w:tcPr>
            <w:tcW w:w="114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DBS BANK LTD., HONG KONG BRANCH</w:t>
            </w:r>
          </w:p>
        </w:tc>
        <w:tc>
          <w:tcPr>
            <w:tcW w:w="1140" w:type="dxa"/>
            <w:vAlign w:val="bottom"/>
            <w:gridSpan w:val="2"/>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114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6"/>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418"/>
        </w:trPr>
        <w:tc>
          <w:tcPr>
            <w:tcW w:w="8180" w:type="dxa"/>
            <w:vAlign w:val="bottom"/>
          </w:tcPr>
          <w:p>
            <w:pPr>
              <w:ind w:left="4660"/>
              <w:spacing w:after="0"/>
              <w:rPr>
                <w:sz w:val="20"/>
                <w:szCs w:val="20"/>
                <w:color w:val="auto"/>
              </w:rPr>
            </w:pPr>
            <w:r>
              <w:rPr>
                <w:rFonts w:ascii="Arial" w:cs="Arial" w:eastAsia="Arial" w:hAnsi="Arial"/>
                <w:sz w:val="18"/>
                <w:szCs w:val="18"/>
                <w:b w:val="1"/>
                <w:bCs w:val="1"/>
                <w:color w:val="auto"/>
              </w:rPr>
              <w:t>Part II – Transferred Loans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8180" w:type="dxa"/>
            <w:vAlign w:val="bottom"/>
          </w:tcPr>
          <w:p>
            <w:pPr>
              <w:spacing w:after="0"/>
              <w:rPr>
                <w:sz w:val="20"/>
                <w:szCs w:val="20"/>
                <w:color w:val="auto"/>
              </w:rPr>
            </w:pPr>
            <w:r>
              <w:rPr>
                <w:rFonts w:ascii="Arial" w:cs="Arial" w:eastAsia="Arial" w:hAnsi="Arial"/>
                <w:sz w:val="14"/>
                <w:szCs w:val="14"/>
                <w:b w:val="1"/>
                <w:bCs w:val="1"/>
                <w:color w:val="auto"/>
              </w:rPr>
              <w:t>Name of Existing Lender</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Loan (US dollars)</w:t>
            </w:r>
          </w:p>
        </w:tc>
        <w:tc>
          <w:tcPr>
            <w:tcW w:w="40" w:type="dxa"/>
            <w:vAlign w:val="bottom"/>
          </w:tcPr>
          <w:p>
            <w:pPr>
              <w:spacing w:after="0"/>
              <w:rPr>
                <w:sz w:val="24"/>
                <w:szCs w:val="24"/>
                <w:color w:val="auto"/>
              </w:rPr>
            </w:pPr>
          </w:p>
        </w:tc>
      </w:tr>
      <w:tr>
        <w:trPr>
          <w:trHeight w:val="206"/>
        </w:trPr>
        <w:tc>
          <w:tcPr>
            <w:tcW w:w="8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 AND NEW ZEALAND BANKING GROUP LIMITED</w:t>
            </w:r>
          </w:p>
        </w:tc>
        <w:tc>
          <w:tcPr>
            <w:tcW w:w="1140" w:type="dxa"/>
            <w:vAlign w:val="bottom"/>
            <w:tcBorders>
              <w:top w:val="single" w:sz="8" w:color="auto"/>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CITIBANK, N.A., HONG KONG BRANCH</w:t>
            </w:r>
          </w:p>
        </w:tc>
        <w:tc>
          <w:tcPr>
            <w:tcW w:w="1780" w:type="dxa"/>
            <w:vAlign w:val="bottom"/>
            <w:gridSpan w:val="4"/>
          </w:tcPr>
          <w:p>
            <w:pPr>
              <w:jc w:val="right"/>
              <w:ind w:right="17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DBS BANK LTD., HONG KONG BRANCH</w:t>
            </w:r>
          </w:p>
        </w:tc>
        <w:tc>
          <w:tcPr>
            <w:tcW w:w="1780" w:type="dxa"/>
            <w:vAlign w:val="bottom"/>
            <w:gridSpan w:val="4"/>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1780" w:type="dxa"/>
            <w:vAlign w:val="bottom"/>
            <w:gridSpan w:val="4"/>
          </w:tcPr>
          <w:p>
            <w:pPr>
              <w:jc w:val="right"/>
              <w:ind w:right="171"/>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6"/>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418"/>
        </w:trPr>
        <w:tc>
          <w:tcPr>
            <w:tcW w:w="8180" w:type="dxa"/>
            <w:vAlign w:val="bottom"/>
          </w:tcPr>
          <w:p>
            <w:pPr>
              <w:ind w:left="56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8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81" w:name="page282"/>
    <w:bookmarkEnd w:id="281"/>
    <w:p>
      <w:pPr>
        <w:jc w:val="center"/>
        <w:ind w:right="40"/>
        <w:spacing w:after="0"/>
        <w:rPr>
          <w:sz w:val="20"/>
          <w:szCs w:val="20"/>
          <w:color w:val="auto"/>
        </w:rPr>
      </w:pPr>
      <w:r>
        <w:rPr>
          <w:rFonts w:ascii="Arial" w:cs="Arial" w:eastAsia="Arial" w:hAnsi="Arial"/>
          <w:sz w:val="18"/>
          <w:szCs w:val="18"/>
          <w:b w:val="1"/>
          <w:bCs w:val="1"/>
          <w:color w:val="auto"/>
        </w:rPr>
        <w:t>SCHEDULE 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Existing Lenders</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 Commitment of Existing Lenders as at Transfer Date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Existing Lender</w:t>
            </w:r>
          </w:p>
        </w:tc>
        <w:tc>
          <w:tcPr>
            <w:tcW w:w="28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Commitment (US dollars)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0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AUSTRALIA AND NEW ZEALAND BANKING GROUP LIMITED</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CITIBANK, N.A., HONG KONG BRANCH</w:t>
            </w:r>
          </w:p>
        </w:tc>
        <w:tc>
          <w:tcPr>
            <w:tcW w:w="114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DBS BANK LTD., HONG KONG BRANCH</w:t>
            </w:r>
          </w:p>
        </w:tc>
        <w:tc>
          <w:tcPr>
            <w:tcW w:w="1140" w:type="dxa"/>
            <w:vAlign w:val="bottom"/>
            <w:gridSpan w:val="2"/>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114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6"/>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418"/>
        </w:trPr>
        <w:tc>
          <w:tcPr>
            <w:tcW w:w="8180" w:type="dxa"/>
            <w:vAlign w:val="bottom"/>
          </w:tcPr>
          <w:p>
            <w:pPr>
              <w:ind w:left="3520"/>
              <w:spacing w:after="0"/>
              <w:rPr>
                <w:sz w:val="20"/>
                <w:szCs w:val="20"/>
                <w:color w:val="auto"/>
              </w:rPr>
            </w:pPr>
            <w:r>
              <w:rPr>
                <w:rFonts w:ascii="Arial" w:cs="Arial" w:eastAsia="Arial" w:hAnsi="Arial"/>
                <w:sz w:val="18"/>
                <w:szCs w:val="18"/>
                <w:b w:val="1"/>
                <w:bCs w:val="1"/>
                <w:color w:val="auto"/>
                <w:w w:val="91"/>
              </w:rPr>
              <w:t>Part II – Loans held by Existing Lenders as at Transfer Date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Existing Lender</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Loan (US dollars)</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AUSTRALIA AND NEW ZEALAND BANKING GROUP LIMITED</w:t>
            </w:r>
          </w:p>
        </w:tc>
        <w:tc>
          <w:tcPr>
            <w:tcW w:w="114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297"/>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CITIBANK, N.A., HONG KONG BRANCH</w:t>
            </w:r>
          </w:p>
        </w:tc>
        <w:tc>
          <w:tcPr>
            <w:tcW w:w="2900" w:type="dxa"/>
            <w:vAlign w:val="bottom"/>
            <w:gridSpan w:val="4"/>
          </w:tcPr>
          <w:p>
            <w:pPr>
              <w:jc w:val="right"/>
              <w:ind w:right="129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DBS BANK LTD., HONG KONG BRANCH</w:t>
            </w:r>
          </w:p>
        </w:tc>
        <w:tc>
          <w:tcPr>
            <w:tcW w:w="2900" w:type="dxa"/>
            <w:vAlign w:val="bottom"/>
            <w:gridSpan w:val="4"/>
            <w:shd w:val="clear" w:color="auto" w:fill="CCEEFF"/>
          </w:tcPr>
          <w:p>
            <w:pPr>
              <w:jc w:val="right"/>
              <w:ind w:right="129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2900" w:type="dxa"/>
            <w:vAlign w:val="bottom"/>
            <w:gridSpan w:val="4"/>
          </w:tcPr>
          <w:p>
            <w:pPr>
              <w:jc w:val="right"/>
              <w:ind w:right="129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6"/>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ind w:right="1297"/>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418"/>
        </w:trPr>
        <w:tc>
          <w:tcPr>
            <w:tcW w:w="8180" w:type="dxa"/>
            <w:vAlign w:val="bottom"/>
          </w:tcPr>
          <w:p>
            <w:pPr>
              <w:ind w:left="56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8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6020" w:type="dxa"/>
            <w:vAlign w:val="bottom"/>
            <w:gridSpan w:val="3"/>
          </w:tcPr>
          <w:p>
            <w:pPr>
              <w:jc w:val="center"/>
              <w:ind w:right="111"/>
              <w:spacing w:after="0"/>
              <w:rPr>
                <w:sz w:val="20"/>
                <w:szCs w:val="20"/>
                <w:color w:val="auto"/>
              </w:rPr>
            </w:pPr>
            <w:r>
              <w:rPr>
                <w:rFonts w:ascii="Arial" w:cs="Arial" w:eastAsia="Arial" w:hAnsi="Arial"/>
                <w:sz w:val="18"/>
                <w:szCs w:val="18"/>
                <w:b w:val="1"/>
                <w:bCs w:val="1"/>
                <w:color w:val="auto"/>
                <w:w w:val="96"/>
              </w:rPr>
              <w:t>SCHEDULE 3</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2800" w:type="dxa"/>
            <w:vAlign w:val="bottom"/>
          </w:tcPr>
          <w:p>
            <w:pPr>
              <w:spacing w:after="0"/>
              <w:rPr>
                <w:sz w:val="24"/>
                <w:szCs w:val="24"/>
                <w:color w:val="auto"/>
              </w:rPr>
            </w:pPr>
          </w:p>
        </w:tc>
        <w:tc>
          <w:tcPr>
            <w:tcW w:w="6020" w:type="dxa"/>
            <w:vAlign w:val="bottom"/>
            <w:gridSpan w:val="3"/>
          </w:tcPr>
          <w:p>
            <w:pPr>
              <w:jc w:val="center"/>
              <w:ind w:right="91"/>
              <w:spacing w:after="0"/>
              <w:rPr>
                <w:sz w:val="20"/>
                <w:szCs w:val="20"/>
                <w:color w:val="auto"/>
              </w:rPr>
            </w:pPr>
            <w:r>
              <w:rPr>
                <w:rFonts w:ascii="Arial" w:cs="Arial" w:eastAsia="Arial" w:hAnsi="Arial"/>
                <w:sz w:val="18"/>
                <w:szCs w:val="18"/>
                <w:b w:val="1"/>
                <w:bCs w:val="1"/>
                <w:color w:val="auto"/>
                <w:w w:val="89"/>
              </w:rPr>
              <w:t>New Lenders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2800" w:type="dxa"/>
            <w:vAlign w:val="bottom"/>
          </w:tcPr>
          <w:p>
            <w:pPr>
              <w:spacing w:after="0"/>
              <w:rPr>
                <w:sz w:val="24"/>
                <w:szCs w:val="24"/>
                <w:color w:val="auto"/>
              </w:rPr>
            </w:pPr>
          </w:p>
        </w:tc>
        <w:tc>
          <w:tcPr>
            <w:tcW w:w="6020" w:type="dxa"/>
            <w:vAlign w:val="bottom"/>
            <w:gridSpan w:val="3"/>
          </w:tcPr>
          <w:p>
            <w:pPr>
              <w:jc w:val="center"/>
              <w:ind w:right="91"/>
              <w:spacing w:after="0"/>
              <w:rPr>
                <w:sz w:val="20"/>
                <w:szCs w:val="20"/>
                <w:color w:val="auto"/>
              </w:rPr>
            </w:pPr>
            <w:r>
              <w:rPr>
                <w:rFonts w:ascii="Arial" w:cs="Arial" w:eastAsia="Arial" w:hAnsi="Arial"/>
                <w:sz w:val="18"/>
                <w:szCs w:val="18"/>
                <w:b w:val="1"/>
                <w:bCs w:val="1"/>
                <w:color w:val="auto"/>
                <w:w w:val="90"/>
              </w:rPr>
              <w:t>Part I – Commitment of New Lenders as at Transfer Date</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2800" w:type="dxa"/>
            <w:vAlign w:val="bottom"/>
          </w:tcPr>
          <w:p>
            <w:pPr>
              <w:spacing w:after="0"/>
              <w:rPr>
                <w:sz w:val="20"/>
                <w:szCs w:val="20"/>
                <w:color w:val="auto"/>
              </w:rPr>
            </w:pPr>
            <w:r>
              <w:rPr>
                <w:rFonts w:ascii="Arial" w:cs="Arial" w:eastAsia="Arial" w:hAnsi="Arial"/>
                <w:sz w:val="14"/>
                <w:szCs w:val="14"/>
                <w:b w:val="1"/>
                <w:bCs w:val="1"/>
                <w:color w:val="auto"/>
              </w:rPr>
              <w:t>Name of New Lender</w:t>
            </w:r>
          </w:p>
        </w:tc>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Commitment (US dollars)</w:t>
            </w:r>
          </w:p>
        </w:tc>
      </w:tr>
      <w:tr>
        <w:trPr>
          <w:trHeight w:val="206"/>
        </w:trPr>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[insert name of New Lender]</w:t>
            </w:r>
          </w:p>
        </w:tc>
        <w:tc>
          <w:tcPr>
            <w:tcW w:w="5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[insert name of New Lender]</w:t>
            </w:r>
          </w:p>
        </w:tc>
        <w:tc>
          <w:tcPr>
            <w:tcW w:w="6020" w:type="dxa"/>
            <w:vAlign w:val="bottom"/>
            <w:gridSpan w:val="3"/>
          </w:tcPr>
          <w:p>
            <w:pPr>
              <w:jc w:val="right"/>
              <w:ind w:right="171"/>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[insert name of New Lender]</w:t>
            </w:r>
          </w:p>
        </w:tc>
        <w:tc>
          <w:tcPr>
            <w:tcW w:w="6020" w:type="dxa"/>
            <w:vAlign w:val="bottom"/>
            <w:gridSpan w:val="3"/>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[insert name of New Lender]</w:t>
            </w:r>
          </w:p>
        </w:tc>
        <w:tc>
          <w:tcPr>
            <w:tcW w:w="6020" w:type="dxa"/>
            <w:vAlign w:val="bottom"/>
            <w:gridSpan w:val="3"/>
          </w:tcPr>
          <w:p>
            <w:pPr>
              <w:jc w:val="right"/>
              <w:ind w:right="171"/>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6"/>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7000" w:type="dxa"/>
            <w:vAlign w:val="bottom"/>
            <w:gridSpan w:val="3"/>
          </w:tcPr>
          <w:p>
            <w:pPr>
              <w:jc w:val="center"/>
              <w:ind w:right="1131"/>
              <w:spacing w:after="0"/>
              <w:rPr>
                <w:sz w:val="20"/>
                <w:szCs w:val="20"/>
                <w:color w:val="auto"/>
              </w:rPr>
            </w:pPr>
            <w:r>
              <w:rPr>
                <w:rFonts w:ascii="Arial" w:cs="Arial" w:eastAsia="Arial" w:hAnsi="Arial"/>
                <w:sz w:val="18"/>
                <w:szCs w:val="18"/>
                <w:b w:val="1"/>
                <w:bCs w:val="1"/>
                <w:color w:val="auto"/>
                <w:w w:val="90"/>
              </w:rPr>
              <w:t>Part II – Loans held by New Lenders as at Transfer Date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1"/>
        </w:trPr>
        <w:tc>
          <w:tcPr>
            <w:tcW w:w="2820" w:type="dxa"/>
            <w:vAlign w:val="bottom"/>
          </w:tcPr>
          <w:p>
            <w:pPr>
              <w:spacing w:after="0"/>
              <w:rPr>
                <w:sz w:val="20"/>
                <w:szCs w:val="20"/>
                <w:color w:val="auto"/>
              </w:rPr>
            </w:pPr>
            <w:r>
              <w:rPr>
                <w:rFonts w:ascii="Arial" w:cs="Arial" w:eastAsia="Arial" w:hAnsi="Arial"/>
                <w:sz w:val="14"/>
                <w:szCs w:val="14"/>
                <w:b w:val="1"/>
                <w:bCs w:val="1"/>
                <w:color w:val="auto"/>
              </w:rPr>
              <w:t>Name of New Lender</w:t>
            </w:r>
          </w:p>
        </w:tc>
        <w:tc>
          <w:tcPr>
            <w:tcW w:w="6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Loan (US dollars)</w:t>
            </w:r>
          </w:p>
        </w:tc>
        <w:tc>
          <w:tcPr>
            <w:tcW w:w="40" w:type="dxa"/>
            <w:vAlign w:val="bottom"/>
          </w:tcPr>
          <w:p>
            <w:pPr>
              <w:spacing w:after="0"/>
              <w:rPr>
                <w:sz w:val="24"/>
                <w:szCs w:val="24"/>
                <w:color w:val="auto"/>
              </w:rPr>
            </w:pPr>
          </w:p>
        </w:tc>
      </w:tr>
      <w:tr>
        <w:trPr>
          <w:trHeight w:val="206"/>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[insert name of New Lender]</w:t>
            </w:r>
          </w:p>
        </w:tc>
        <w:tc>
          <w:tcPr>
            <w:tcW w:w="6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[insert name of New Lender]</w:t>
            </w:r>
          </w:p>
        </w:tc>
        <w:tc>
          <w:tcPr>
            <w:tcW w:w="700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[insert name of New Lender]</w:t>
            </w:r>
          </w:p>
        </w:tc>
        <w:tc>
          <w:tcPr>
            <w:tcW w:w="70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[insert name of New Lender]</w:t>
            </w:r>
          </w:p>
        </w:tc>
        <w:tc>
          <w:tcPr>
            <w:tcW w:w="700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6"/>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418"/>
        </w:trPr>
        <w:tc>
          <w:tcPr>
            <w:tcW w:w="2820" w:type="dxa"/>
            <w:vAlign w:val="bottom"/>
          </w:tcPr>
          <w:p>
            <w:pPr>
              <w:spacing w:after="0"/>
              <w:rPr>
                <w:sz w:val="24"/>
                <w:szCs w:val="24"/>
                <w:color w:val="auto"/>
              </w:rPr>
            </w:pPr>
          </w:p>
        </w:tc>
        <w:tc>
          <w:tcPr>
            <w:tcW w:w="6500" w:type="dxa"/>
            <w:vAlign w:val="bottom"/>
          </w:tcPr>
          <w:p>
            <w:pPr>
              <w:jc w:val="right"/>
              <w:ind w:right="3471"/>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2820" w:type="dxa"/>
            <w:vAlign w:val="bottom"/>
            <w:tcBorders>
              <w:bottom w:val="single" w:sz="8" w:color="808080"/>
            </w:tcBorders>
          </w:tcPr>
          <w:p>
            <w:pPr>
              <w:spacing w:after="0"/>
              <w:rPr>
                <w:sz w:val="11"/>
                <w:szCs w:val="11"/>
                <w:color w:val="auto"/>
              </w:rPr>
            </w:pPr>
          </w:p>
        </w:tc>
        <w:tc>
          <w:tcPr>
            <w:tcW w:w="6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8100" w:type="dxa"/>
            <w:vAlign w:val="bottom"/>
            <w:gridSpan w:val="4"/>
          </w:tcPr>
          <w:p>
            <w:pPr>
              <w:jc w:val="center"/>
              <w:ind w:right="3320"/>
              <w:spacing w:after="0"/>
              <w:rPr>
                <w:sz w:val="20"/>
                <w:szCs w:val="20"/>
                <w:color w:val="auto"/>
              </w:rPr>
            </w:pPr>
            <w:r>
              <w:rPr>
                <w:rFonts w:ascii="Arial" w:cs="Arial" w:eastAsia="Arial" w:hAnsi="Arial"/>
                <w:sz w:val="18"/>
                <w:szCs w:val="18"/>
                <w:b w:val="1"/>
                <w:bCs w:val="1"/>
                <w:color w:val="auto"/>
                <w:w w:val="96"/>
              </w:rPr>
              <w:t>SCHEDULE 4</w:t>
            </w:r>
          </w:p>
        </w:tc>
        <w:tc>
          <w:tcPr>
            <w:tcW w:w="40" w:type="dxa"/>
            <w:vAlign w:val="bottom"/>
          </w:tcPr>
          <w:p>
            <w:pPr>
              <w:spacing w:after="0"/>
              <w:rPr>
                <w:sz w:val="20"/>
                <w:szCs w:val="20"/>
                <w:color w:val="auto"/>
              </w:rPr>
            </w:pPr>
          </w:p>
        </w:tc>
      </w:tr>
      <w:tr>
        <w:trPr>
          <w:trHeight w:val="426"/>
        </w:trPr>
        <w:tc>
          <w:tcPr>
            <w:tcW w:w="3320" w:type="dxa"/>
            <w:vAlign w:val="bottom"/>
          </w:tcPr>
          <w:p>
            <w:pPr>
              <w:spacing w:after="0"/>
              <w:rPr>
                <w:sz w:val="24"/>
                <w:szCs w:val="24"/>
                <w:color w:val="auto"/>
              </w:rPr>
            </w:pPr>
          </w:p>
        </w:tc>
        <w:tc>
          <w:tcPr>
            <w:tcW w:w="8100" w:type="dxa"/>
            <w:vAlign w:val="bottom"/>
            <w:gridSpan w:val="4"/>
          </w:tcPr>
          <w:p>
            <w:pPr>
              <w:jc w:val="center"/>
              <w:ind w:right="3320"/>
              <w:spacing w:after="0"/>
              <w:rPr>
                <w:sz w:val="20"/>
                <w:szCs w:val="20"/>
                <w:color w:val="auto"/>
              </w:rPr>
            </w:pPr>
            <w:r>
              <w:rPr>
                <w:rFonts w:ascii="Arial" w:cs="Arial" w:eastAsia="Arial" w:hAnsi="Arial"/>
                <w:sz w:val="18"/>
                <w:szCs w:val="18"/>
                <w:b w:val="1"/>
                <w:bCs w:val="1"/>
                <w:color w:val="auto"/>
                <w:w w:val="88"/>
              </w:rPr>
              <w:t>Notice details of New Lenders</w:t>
            </w:r>
          </w:p>
        </w:tc>
        <w:tc>
          <w:tcPr>
            <w:tcW w:w="40" w:type="dxa"/>
            <w:vAlign w:val="bottom"/>
          </w:tcPr>
          <w:p>
            <w:pPr>
              <w:spacing w:after="0"/>
              <w:rPr>
                <w:sz w:val="24"/>
                <w:szCs w:val="24"/>
                <w:color w:val="auto"/>
              </w:rPr>
            </w:pPr>
          </w:p>
        </w:tc>
      </w:tr>
      <w:tr>
        <w:trPr>
          <w:trHeight w:val="361"/>
        </w:trPr>
        <w:tc>
          <w:tcPr>
            <w:tcW w:w="3320" w:type="dxa"/>
            <w:vAlign w:val="bottom"/>
          </w:tcPr>
          <w:p>
            <w:pPr>
              <w:spacing w:after="0"/>
              <w:rPr>
                <w:sz w:val="20"/>
                <w:szCs w:val="20"/>
                <w:color w:val="auto"/>
              </w:rPr>
            </w:pPr>
            <w:r>
              <w:rPr>
                <w:rFonts w:ascii="Arial" w:cs="Arial" w:eastAsia="Arial" w:hAnsi="Arial"/>
                <w:sz w:val="14"/>
                <w:szCs w:val="14"/>
                <w:b w:val="1"/>
                <w:bCs w:val="1"/>
                <w:color w:val="auto"/>
              </w:rPr>
              <w:t>Name of New Lender</w:t>
            </w: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Notice details</w:t>
            </w:r>
          </w:p>
        </w:tc>
        <w:tc>
          <w:tcPr>
            <w:tcW w:w="40" w:type="dxa"/>
            <w:vAlign w:val="bottom"/>
          </w:tcPr>
          <w:p>
            <w:pPr>
              <w:spacing w:after="0"/>
              <w:rPr>
                <w:sz w:val="24"/>
                <w:szCs w:val="24"/>
                <w:color w:val="auto"/>
              </w:rPr>
            </w:pPr>
          </w:p>
        </w:tc>
      </w:tr>
      <w:tr>
        <w:trPr>
          <w:trHeight w:val="206"/>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[insert name of New Lender]</w:t>
            </w:r>
          </w:p>
        </w:tc>
        <w:tc>
          <w:tcPr>
            <w:tcW w:w="6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8"/>
                <w:szCs w:val="18"/>
                <w:color w:val="auto"/>
              </w:rPr>
              <w:t>[insert name of New Lender]</w:t>
            </w:r>
          </w:p>
        </w:tc>
        <w:tc>
          <w:tcPr>
            <w:tcW w:w="8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[insert name of New Lender]</w:t>
            </w:r>
          </w:p>
        </w:tc>
        <w:tc>
          <w:tcPr>
            <w:tcW w:w="8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[insert name of New Lender]</w:t>
            </w:r>
          </w:p>
        </w:tc>
        <w:tc>
          <w:tcPr>
            <w:tcW w:w="8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414"/>
        </w:trPr>
        <w:tc>
          <w:tcPr>
            <w:tcW w:w="3320" w:type="dxa"/>
            <w:vAlign w:val="bottom"/>
          </w:tcPr>
          <w:p>
            <w:pPr>
              <w:spacing w:after="0"/>
              <w:rPr>
                <w:sz w:val="24"/>
                <w:szCs w:val="24"/>
                <w:color w:val="auto"/>
              </w:rPr>
            </w:pPr>
          </w:p>
        </w:tc>
        <w:tc>
          <w:tcPr>
            <w:tcW w:w="6000" w:type="dxa"/>
            <w:vAlign w:val="bottom"/>
          </w:tcPr>
          <w:p>
            <w:pPr>
              <w:jc w:val="center"/>
              <w:ind w:right="1131"/>
              <w:spacing w:after="0"/>
              <w:rPr>
                <w:sz w:val="20"/>
                <w:szCs w:val="20"/>
                <w:color w:val="auto"/>
              </w:rPr>
            </w:pPr>
            <w:r>
              <w:rPr>
                <w:rFonts w:ascii="Arial" w:cs="Arial" w:eastAsia="Arial" w:hAnsi="Arial"/>
                <w:sz w:val="18"/>
                <w:szCs w:val="18"/>
                <w:color w:val="auto"/>
                <w:w w:val="99"/>
              </w:rPr>
              <w:t>8</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3320" w:type="dxa"/>
            <w:vAlign w:val="bottom"/>
            <w:tcBorders>
              <w:bottom w:val="single" w:sz="8" w:color="808080"/>
            </w:tcBorders>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t>EXECUTED as an agreement.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MLABs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[Execution blocks for MLABs to be inserted]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[Execution blocks for Existing Lenders to be inserted]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Lenders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[Execution blocks for New Lenders to be inserted]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[Execution block for Agent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t>SCHEDULE 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Increase Confirmation</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Citicorp International Limited as Agent</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Increase Lender</w:t>
      </w:r>
      <w:r>
        <w:rPr>
          <w:rFonts w:ascii="Arial" w:cs="Arial" w:eastAsia="Arial" w:hAnsi="Arial"/>
          <w:sz w:val="18"/>
          <w:szCs w:val="18"/>
          <w:color w:val="auto"/>
        </w:rPr>
        <w:t>] (the “</w:t>
      </w:r>
      <w:r>
        <w:rPr>
          <w:rFonts w:ascii="Arial" w:cs="Arial" w:eastAsia="Arial" w:hAnsi="Arial"/>
          <w:sz w:val="18"/>
          <w:szCs w:val="18"/>
          <w:b w:val="1"/>
          <w:bCs w:val="1"/>
          <w:color w:val="auto"/>
        </w:rPr>
        <w:t>Increase Lender</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 — US$500 million Syndicated Facility Agreement (the “Facility Agreement”)</w:t>
      </w:r>
    </w:p>
    <w:p>
      <w:pPr>
        <w:spacing w:after="0" w:line="219" w:lineRule="exact"/>
        <w:rPr>
          <w:sz w:val="20"/>
          <w:szCs w:val="20"/>
          <w:color w:val="auto"/>
        </w:rPr>
      </w:pPr>
    </w:p>
    <w:p>
      <w:pPr>
        <w:jc w:val="both"/>
        <w:ind w:left="640" w:right="100" w:hanging="633"/>
        <w:spacing w:after="0" w:line="338" w:lineRule="auto"/>
        <w:tabs>
          <w:tab w:leader="none" w:pos="64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We refer to the Facilities Agreement. 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shall take effect as an Increase Confirmation for the purpose of the Facilities Agreement. Terms defined in the Facilities Agreement have the same meaning in this Agreement unless given a different meaning in this Agreement.</w:t>
      </w:r>
    </w:p>
    <w:p>
      <w:pPr>
        <w:spacing w:after="0" w:line="127" w:lineRule="exact"/>
        <w:rPr>
          <w:rFonts w:ascii="Arial" w:cs="Arial" w:eastAsia="Arial" w:hAnsi="Arial"/>
          <w:sz w:val="16"/>
          <w:szCs w:val="16"/>
          <w:color w:val="auto"/>
        </w:rPr>
      </w:pPr>
    </w:p>
    <w:p>
      <w:pPr>
        <w:ind w:left="640" w:hanging="633"/>
        <w:spacing w:after="0"/>
        <w:tabs>
          <w:tab w:leader="none" w:pos="6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We refer to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Facilities Agreement.</w:t>
      </w:r>
    </w:p>
    <w:p>
      <w:pPr>
        <w:spacing w:after="0" w:line="219" w:lineRule="exact"/>
        <w:rPr>
          <w:rFonts w:ascii="Arial" w:cs="Arial" w:eastAsia="Arial" w:hAnsi="Arial"/>
          <w:sz w:val="18"/>
          <w:szCs w:val="18"/>
          <w:color w:val="auto"/>
        </w:rPr>
      </w:pPr>
    </w:p>
    <w:p>
      <w:pPr>
        <w:ind w:left="640" w:right="720" w:hanging="633"/>
        <w:spacing w:after="0" w:line="267" w:lineRule="auto"/>
        <w:tabs>
          <w:tab w:leader="none" w:pos="6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Increase Lender agrees to assume and will assume all of the obligations corresponding to the Commitment specified in the Schedule (the “</w:t>
      </w:r>
      <w:r>
        <w:rPr>
          <w:rFonts w:ascii="Arial" w:cs="Arial" w:eastAsia="Arial" w:hAnsi="Arial"/>
          <w:sz w:val="18"/>
          <w:szCs w:val="18"/>
          <w:b w:val="1"/>
          <w:bCs w:val="1"/>
          <w:color w:val="auto"/>
        </w:rPr>
        <w:t>Relevant Commitment</w:t>
      </w:r>
      <w:r>
        <w:rPr>
          <w:rFonts w:ascii="Arial" w:cs="Arial" w:eastAsia="Arial" w:hAnsi="Arial"/>
          <w:sz w:val="18"/>
          <w:szCs w:val="18"/>
          <w:color w:val="auto"/>
        </w:rPr>
        <w:t>”) as if it was an Original Lender under the Facilities Agreement.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proposed date on which the increase in relation to the Increase Lender and the Relevant Commitment is to take effect (the “</w:t>
      </w:r>
      <w:r>
        <w:rPr>
          <w:rFonts w:ascii="Arial" w:cs="Arial" w:eastAsia="Arial" w:hAnsi="Arial"/>
          <w:sz w:val="16"/>
          <w:szCs w:val="16"/>
          <w:b w:val="1"/>
          <w:bCs w:val="1"/>
          <w:color w:val="auto"/>
        </w:rPr>
        <w:t>Increase Date</w:t>
      </w:r>
      <w:r>
        <w:rPr>
          <w:rFonts w:ascii="Arial" w:cs="Arial" w:eastAsia="Arial" w:hAnsi="Arial"/>
          <w:sz w:val="16"/>
          <w:szCs w:val="16"/>
          <w:color w:val="auto"/>
        </w:rPr>
        <w:t>”) is [  ].</w:t>
      </w:r>
    </w:p>
    <w:p>
      <w:pPr>
        <w:spacing w:after="0" w:line="248" w:lineRule="exact"/>
        <w:rPr>
          <w:sz w:val="20"/>
          <w:szCs w:val="20"/>
          <w:color w:val="auto"/>
        </w:rPr>
      </w:pPr>
    </w:p>
    <w:p>
      <w:pPr>
        <w:ind w:left="640" w:hanging="633"/>
        <w:spacing w:after="0"/>
        <w:tabs>
          <w:tab w:leader="none" w:pos="6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On the Increase Date, the Increase Lender becomes party to the relevant Finance Documents as a Lender.</w:t>
      </w:r>
    </w:p>
    <w:p>
      <w:pPr>
        <w:spacing w:after="0" w:line="219" w:lineRule="exact"/>
        <w:rPr>
          <w:rFonts w:ascii="Arial" w:cs="Arial" w:eastAsia="Arial" w:hAnsi="Arial"/>
          <w:sz w:val="18"/>
          <w:szCs w:val="18"/>
          <w:color w:val="auto"/>
        </w:rPr>
      </w:pPr>
    </w:p>
    <w:p>
      <w:pPr>
        <w:ind w:left="640" w:right="120" w:hanging="633"/>
        <w:spacing w:after="0" w:line="267" w:lineRule="auto"/>
        <w:tabs>
          <w:tab w:leader="none" w:pos="6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to the Increase Lender for the purposes of Clause 27.2 (</w:t>
      </w:r>
      <w:r>
        <w:rPr>
          <w:rFonts w:ascii="Arial" w:cs="Arial" w:eastAsia="Arial" w:hAnsi="Arial"/>
          <w:sz w:val="18"/>
          <w:szCs w:val="18"/>
          <w:i w:val="1"/>
          <w:iCs w:val="1"/>
          <w:color w:val="auto"/>
        </w:rPr>
        <w:t>Addresses</w:t>
      </w:r>
      <w:r>
        <w:rPr>
          <w:rFonts w:ascii="Arial" w:cs="Arial" w:eastAsia="Arial" w:hAnsi="Arial"/>
          <w:sz w:val="18"/>
          <w:szCs w:val="18"/>
          <w:color w:val="auto"/>
        </w:rPr>
        <w:t>) of the Facilities Agreement are set out in the Schedule.</w:t>
      </w:r>
    </w:p>
    <w:p>
      <w:pPr>
        <w:spacing w:after="0" w:line="178" w:lineRule="exact"/>
        <w:rPr>
          <w:rFonts w:ascii="Arial" w:cs="Arial" w:eastAsia="Arial" w:hAnsi="Arial"/>
          <w:sz w:val="18"/>
          <w:szCs w:val="18"/>
          <w:color w:val="auto"/>
        </w:rPr>
      </w:pPr>
    </w:p>
    <w:p>
      <w:pPr>
        <w:ind w:left="640" w:right="300" w:hanging="633"/>
        <w:spacing w:after="0" w:line="267" w:lineRule="auto"/>
        <w:tabs>
          <w:tab w:leader="none" w:pos="6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Increase Lender expressly acknowledges the limitations on the Lenders’ obligations referred to in paragraph (g) of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Facilities Agreement.</w:t>
      </w:r>
    </w:p>
    <w:p>
      <w:pPr>
        <w:spacing w:after="0" w:line="178" w:lineRule="exact"/>
        <w:rPr>
          <w:rFonts w:ascii="Arial" w:cs="Arial" w:eastAsia="Arial" w:hAnsi="Arial"/>
          <w:sz w:val="18"/>
          <w:szCs w:val="18"/>
          <w:color w:val="auto"/>
        </w:rPr>
      </w:pPr>
    </w:p>
    <w:p>
      <w:pPr>
        <w:ind w:left="640" w:hanging="633"/>
        <w:spacing w:after="0"/>
        <w:tabs>
          <w:tab w:leader="none" w:pos="6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Increase Lender confirms that it is not a Sponsor Affiliate.</w:t>
      </w:r>
    </w:p>
    <w:p>
      <w:pPr>
        <w:spacing w:after="0" w:line="219" w:lineRule="exact"/>
        <w:rPr>
          <w:rFonts w:ascii="Arial" w:cs="Arial" w:eastAsia="Arial" w:hAnsi="Arial"/>
          <w:sz w:val="18"/>
          <w:szCs w:val="18"/>
          <w:color w:val="auto"/>
        </w:rPr>
      </w:pPr>
    </w:p>
    <w:p>
      <w:pPr>
        <w:ind w:left="640" w:right="200" w:hanging="633"/>
        <w:spacing w:after="0" w:line="267" w:lineRule="auto"/>
        <w:tabs>
          <w:tab w:leader="none" w:pos="6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78" w:lineRule="exact"/>
        <w:rPr>
          <w:rFonts w:ascii="Arial" w:cs="Arial" w:eastAsia="Arial" w:hAnsi="Arial"/>
          <w:sz w:val="18"/>
          <w:szCs w:val="18"/>
          <w:color w:val="auto"/>
        </w:rPr>
      </w:pPr>
    </w:p>
    <w:p>
      <w:pPr>
        <w:ind w:left="640" w:hanging="633"/>
        <w:spacing w:after="0"/>
        <w:tabs>
          <w:tab w:leader="none" w:pos="6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Agreement is governed by the laws of Hong Kong.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86" w:name="page287"/>
    <w:bookmarkEnd w:id="286"/>
    <w:p>
      <w:pPr>
        <w:spacing w:after="0"/>
        <w:rPr>
          <w:sz w:val="20"/>
          <w:szCs w:val="20"/>
          <w:color w:val="auto"/>
        </w:rPr>
      </w:pPr>
      <w:r>
        <w:rPr>
          <w:rFonts w:ascii="Arial" w:cs="Arial" w:eastAsia="Arial" w:hAnsi="Arial"/>
          <w:sz w:val="14"/>
          <w:szCs w:val="14"/>
          <w:b w:val="1"/>
          <w:bCs w:val="1"/>
          <w:color w:val="auto"/>
        </w:rPr>
        <w:t>Executed as an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YANG Zhaoxuan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3">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YANG Zhaoxuan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26948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auto"/>
        </w:rPr>
        <w:t>MLABs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 AND NEW ZEALAND BANKING GROUP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Patrick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5">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Patrick Chen</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Head, China Desk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TAI, Alan Pak 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6">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TAI, Alan Pak Ling</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 Loans Structuring &amp; Execution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t>CITIGROUP GLOBAL MARKETS ASIA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Vincent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8">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jc w:val="center"/>
        <w:ind w:right="8679"/>
        <w:spacing w:after="0"/>
        <w:tabs>
          <w:tab w:leader="none" w:pos="200" w:val="left"/>
        </w:tabs>
        <w:rPr>
          <w:sz w:val="20"/>
          <w:szCs w:val="20"/>
          <w:color w:val="auto"/>
        </w:rPr>
      </w:pPr>
      <w:r>
        <w:rPr>
          <w:rFonts w:ascii="Arial" w:cs="Arial" w:eastAsia="Arial" w:hAnsi="Arial"/>
          <w:sz w:val="18"/>
          <w:szCs w:val="18"/>
          <w:color w:val="auto"/>
        </w:rPr>
        <w:t>By:</w:t>
        <w:tab/>
        <w:t>Vincent Yeung</w:t>
      </w:r>
    </w:p>
    <w:p>
      <w:pPr>
        <w:spacing w:after="0" w:line="17" w:lineRule="exact"/>
        <w:rPr>
          <w:sz w:val="20"/>
          <w:szCs w:val="20"/>
          <w:color w:val="auto"/>
        </w:rPr>
      </w:pPr>
    </w:p>
    <w:p>
      <w:pPr>
        <w:jc w:val="center"/>
        <w:ind w:right="865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color w:val="auto"/>
        </w:rPr>
        <w:t>DBS BANK LTD.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STOCKOR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0">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STOCKOR NG</w:t>
      </w:r>
    </w:p>
    <w:p>
      <w:pPr>
        <w:spacing w:after="0" w:line="17" w:lineRule="exact"/>
        <w:rPr>
          <w:sz w:val="20"/>
          <w:szCs w:val="20"/>
          <w:color w:val="auto"/>
        </w:rPr>
      </w:pPr>
    </w:p>
    <w:p>
      <w:pPr>
        <w:jc w:val="right"/>
        <w:ind w:right="7299"/>
        <w:spacing w:after="0"/>
        <w:rPr>
          <w:sz w:val="20"/>
          <w:szCs w:val="20"/>
          <w:color w:val="auto"/>
        </w:rPr>
      </w:pPr>
      <w:r>
        <w:rPr>
          <w:rFonts w:ascii="Arial" w:cs="Arial" w:eastAsia="Arial" w:hAnsi="Arial"/>
          <w:sz w:val="18"/>
          <w:szCs w:val="18"/>
          <w:color w:val="auto"/>
        </w:rPr>
        <w:t>Senior Vice President, Team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color w:val="auto"/>
        </w:rPr>
        <w:t>THE HONGKONG AND SHANGHAI BANKING CORPORATION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Anita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2">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Anita So</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Loan Syndications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auto"/>
        </w:rPr>
        <w:t>Original Lenders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 AND NEW ZEALAND BANKING GROUP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Patrick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4">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Patrick Chen</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Head, China Desk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TAI, Alan Pak 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5">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TAI, Alan Pak Ling</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 Loans Structuring &amp; Execution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CITIBANK, N.A., HONG KONG BRANCH</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Vincent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7">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Vincent Yeung</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DBS BANK LTD., HONG KONG BRANCH</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Lu 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9">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Lu Wei</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t>THE HONGKONG AND SHANGHAI BANKING CORPORATION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SHAWN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1">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SHAWN LI</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039460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auto"/>
        </w:rPr>
        <w:t>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CITICORP INTERNATIONAL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Edmond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3">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Edmond Pang</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4.57</w:t>
      </w:r>
    </w:p>
    <w:p>
      <w:pPr>
        <w:spacing w:after="0" w:line="219" w:lineRule="exact"/>
        <w:rPr>
          <w:sz w:val="20"/>
          <w:szCs w:val="20"/>
          <w:color w:val="auto"/>
        </w:rPr>
      </w:pPr>
    </w:p>
    <w:p>
      <w:pPr>
        <w:jc w:val="center"/>
        <w:ind w:right="75"/>
        <w:spacing w:after="0"/>
        <w:rPr>
          <w:sz w:val="20"/>
          <w:szCs w:val="20"/>
          <w:color w:val="auto"/>
        </w:rPr>
      </w:pPr>
      <w:r>
        <w:rPr>
          <w:rFonts w:ascii="Arial" w:cs="Arial" w:eastAsia="Arial" w:hAnsi="Arial"/>
          <w:sz w:val="16"/>
          <w:szCs w:val="16"/>
          <w:b w:val="1"/>
          <w:bCs w:val="1"/>
          <w:color w:val="auto"/>
        </w:rPr>
        <w:t>Letter of Amendment</w:t>
      </w:r>
    </w:p>
    <w:p>
      <w:pPr>
        <w:sectPr>
          <w:pgSz w:w="11900" w:h="16838" w:orient="portrait"/>
          <w:cols w:equalWidth="0" w:num="1">
            <w:col w:w="11325"/>
          </w:cols>
          <w:pgMar w:left="335" w:top="121" w:right="239" w:bottom="1440" w:gutter="0" w:footer="0" w:header="0"/>
        </w:sectPr>
      </w:pPr>
    </w:p>
    <w:p>
      <w:pPr>
        <w:spacing w:after="0" w:line="248" w:lineRule="exact"/>
        <w:rPr>
          <w:sz w:val="20"/>
          <w:szCs w:val="20"/>
          <w:color w:val="auto"/>
        </w:rPr>
      </w:pPr>
    </w:p>
    <w:p>
      <w:pPr>
        <w:ind w:left="5"/>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Citicorp International Limited as agent (the </w:t>
      </w:r>
      <w:r>
        <w:rPr>
          <w:rFonts w:ascii="Arial" w:cs="Arial" w:eastAsia="Arial" w:hAnsi="Arial"/>
          <w:sz w:val="16"/>
          <w:szCs w:val="16"/>
          <w:b w:val="1"/>
          <w:bCs w:val="1"/>
          <w:color w:val="auto"/>
        </w:rPr>
        <w:t>“Agent”</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445" w:space="500"/>
            <w:col w:w="10380"/>
          </w:cols>
          <w:pgMar w:left="335" w:top="121" w:right="239" w:bottom="1440" w:gutter="0" w:footer="0" w:header="0"/>
          <w:type w:val="continuous"/>
        </w:sectPr>
      </w:pPr>
    </w:p>
    <w:p>
      <w:pPr>
        <w:spacing w:after="0" w:line="42" w:lineRule="exact"/>
        <w:rPr>
          <w:sz w:val="20"/>
          <w:szCs w:val="20"/>
          <w:color w:val="auto"/>
        </w:rPr>
      </w:pPr>
    </w:p>
    <w:p>
      <w:pPr>
        <w:ind w:left="5"/>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NetEase, Inc. as borrower (the </w:t>
      </w:r>
      <w:r>
        <w:rPr>
          <w:rFonts w:ascii="Arial" w:cs="Arial" w:eastAsia="Arial" w:hAnsi="Arial"/>
          <w:sz w:val="16"/>
          <w:szCs w:val="16"/>
          <w:b w:val="1"/>
          <w:bCs w:val="1"/>
          <w:color w:val="auto"/>
        </w:rPr>
        <w:t>“Borrower”</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245" w:space="700"/>
            <w:col w:w="10380"/>
          </w:cols>
          <w:pgMar w:left="335" w:top="121" w:right="239" w:bottom="1440" w:gutter="0" w:footer="0" w:header="0"/>
          <w:type w:val="continuous"/>
        </w:sectPr>
      </w:pPr>
    </w:p>
    <w:p>
      <w:pPr>
        <w:spacing w:after="0" w:line="42" w:lineRule="exact"/>
        <w:rPr>
          <w:sz w:val="20"/>
          <w:szCs w:val="20"/>
          <w:color w:val="auto"/>
        </w:rPr>
      </w:pPr>
    </w:p>
    <w:p>
      <w:pPr>
        <w:ind w:left="5"/>
        <w:spacing w:after="0"/>
        <w:rPr>
          <w:sz w:val="20"/>
          <w:szCs w:val="20"/>
          <w:color w:val="auto"/>
        </w:rPr>
      </w:pPr>
      <w:r>
        <w:rPr>
          <w:rFonts w:ascii="Arial" w:cs="Arial" w:eastAsia="Arial" w:hAnsi="Arial"/>
          <w:sz w:val="18"/>
          <w:szCs w:val="18"/>
          <w:color w:val="auto"/>
        </w:rPr>
        <w:t>Date: 21 September 2018</w:t>
      </w:r>
    </w:p>
    <w:p>
      <w:pPr>
        <w:spacing w:after="0" w:line="219" w:lineRule="exact"/>
        <w:rPr>
          <w:sz w:val="20"/>
          <w:szCs w:val="20"/>
          <w:color w:val="auto"/>
        </w:rPr>
      </w:pPr>
    </w:p>
    <w:p>
      <w:pPr>
        <w:ind w:left="5"/>
        <w:spacing w:after="0"/>
        <w:rPr>
          <w:sz w:val="20"/>
          <w:szCs w:val="20"/>
          <w:color w:val="auto"/>
        </w:rPr>
      </w:pPr>
      <w:r>
        <w:rPr>
          <w:rFonts w:ascii="Arial" w:cs="Arial" w:eastAsia="Arial" w:hAnsi="Arial"/>
          <w:sz w:val="18"/>
          <w:szCs w:val="18"/>
          <w:color w:val="auto"/>
        </w:rPr>
        <w:t>Dear Sirs,</w:t>
      </w:r>
    </w:p>
    <w:p>
      <w:pPr>
        <w:spacing w:after="0" w:line="213" w:lineRule="exact"/>
        <w:rPr>
          <w:sz w:val="20"/>
          <w:szCs w:val="20"/>
          <w:color w:val="auto"/>
        </w:rPr>
      </w:pPr>
    </w:p>
    <w:p>
      <w:pPr>
        <w:ind w:left="5" w:right="340"/>
        <w:spacing w:after="0" w:line="274" w:lineRule="auto"/>
        <w:rPr>
          <w:sz w:val="20"/>
          <w:szCs w:val="20"/>
          <w:color w:val="auto"/>
        </w:rPr>
      </w:pPr>
      <w:r>
        <w:rPr>
          <w:rFonts w:ascii="Arial" w:cs="Arial" w:eastAsia="Arial" w:hAnsi="Arial"/>
          <w:sz w:val="18"/>
          <w:szCs w:val="18"/>
          <w:b w:val="1"/>
          <w:bCs w:val="1"/>
          <w:color w:val="auto"/>
        </w:rPr>
        <w:t>NetEase Inc. - US$500,000,000 Syndicated Facility Agreement dated 9 August 2018 (the “Facility Agreement”) (as amended and/or supplemented from time to time)</w:t>
      </w:r>
    </w:p>
    <w:p>
      <w:pPr>
        <w:spacing w:after="0" w:line="167" w:lineRule="exact"/>
        <w:rPr>
          <w:sz w:val="20"/>
          <w:szCs w:val="20"/>
          <w:color w:val="auto"/>
        </w:rPr>
      </w:pPr>
    </w:p>
    <w:p>
      <w:pPr>
        <w:ind w:left="685" w:hanging="685"/>
        <w:spacing w:after="0"/>
        <w:tabs>
          <w:tab w:leader="none" w:pos="685"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rFonts w:ascii="Arial" w:cs="Arial" w:eastAsia="Arial" w:hAnsi="Arial"/>
          <w:sz w:val="18"/>
          <w:szCs w:val="18"/>
          <w:b w:val="1"/>
          <w:bCs w:val="1"/>
          <w:color w:val="auto"/>
        </w:rPr>
      </w:pPr>
    </w:p>
    <w:p>
      <w:pPr>
        <w:ind w:left="1245" w:hanging="550"/>
        <w:spacing w:after="0"/>
        <w:tabs>
          <w:tab w:leader="none" w:pos="1245" w:val="left"/>
        </w:tabs>
        <w:numPr>
          <w:ilvl w:val="1"/>
          <w:numId w:val="460"/>
        </w:numPr>
        <w:rPr>
          <w:rFonts w:ascii="Arial" w:cs="Arial" w:eastAsia="Arial" w:hAnsi="Arial"/>
          <w:sz w:val="18"/>
          <w:szCs w:val="18"/>
          <w:color w:val="auto"/>
        </w:rPr>
      </w:pPr>
      <w:r>
        <w:rPr>
          <w:rFonts w:ascii="Arial" w:cs="Arial" w:eastAsia="Arial" w:hAnsi="Arial"/>
          <w:sz w:val="18"/>
          <w:szCs w:val="18"/>
          <w:color w:val="auto"/>
        </w:rPr>
        <w:t>We refer to the Facility Agreement.</w:t>
      </w:r>
    </w:p>
    <w:p>
      <w:pPr>
        <w:spacing w:after="0" w:line="219" w:lineRule="exact"/>
        <w:rPr>
          <w:rFonts w:ascii="Arial" w:cs="Arial" w:eastAsia="Arial" w:hAnsi="Arial"/>
          <w:sz w:val="18"/>
          <w:szCs w:val="18"/>
          <w:color w:val="auto"/>
        </w:rPr>
      </w:pPr>
    </w:p>
    <w:p>
      <w:pPr>
        <w:ind w:left="1265" w:hanging="570"/>
        <w:spacing w:after="0"/>
        <w:tabs>
          <w:tab w:leader="none" w:pos="1265" w:val="left"/>
        </w:tabs>
        <w:numPr>
          <w:ilvl w:val="1"/>
          <w:numId w:val="460"/>
        </w:numPr>
        <w:rPr>
          <w:rFonts w:ascii="Arial" w:cs="Arial" w:eastAsia="Arial" w:hAnsi="Arial"/>
          <w:sz w:val="17"/>
          <w:szCs w:val="17"/>
          <w:color w:val="auto"/>
        </w:rPr>
      </w:pPr>
      <w:r>
        <w:rPr>
          <w:rFonts w:ascii="Arial" w:cs="Arial" w:eastAsia="Arial" w:hAnsi="Arial"/>
          <w:sz w:val="17"/>
          <w:szCs w:val="17"/>
          <w:color w:val="auto"/>
        </w:rPr>
        <w:t>Terms defined in the Facility Agreement have the same meaning when used in this letter unless expressly defined in this letter.</w:t>
      </w:r>
    </w:p>
    <w:p>
      <w:pPr>
        <w:spacing w:after="0" w:line="230" w:lineRule="exact"/>
        <w:rPr>
          <w:rFonts w:ascii="Arial" w:cs="Arial" w:eastAsia="Arial" w:hAnsi="Arial"/>
          <w:sz w:val="17"/>
          <w:szCs w:val="17"/>
          <w:color w:val="auto"/>
        </w:rPr>
      </w:pPr>
    </w:p>
    <w:p>
      <w:pPr>
        <w:ind w:left="1245" w:right="200" w:hanging="550"/>
        <w:spacing w:after="0" w:line="267" w:lineRule="auto"/>
        <w:tabs>
          <w:tab w:leader="none" w:pos="126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 xml:space="preserve">The principles of construction set out in clause 1.2 (Construction) of the Facility Agreement shall apply to this letter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out herein in full.</w:t>
      </w:r>
    </w:p>
    <w:p>
      <w:pPr>
        <w:spacing w:after="0" w:line="172" w:lineRule="exact"/>
        <w:rPr>
          <w:rFonts w:ascii="Arial" w:cs="Arial" w:eastAsia="Arial" w:hAnsi="Arial"/>
          <w:sz w:val="18"/>
          <w:szCs w:val="18"/>
          <w:color w:val="auto"/>
        </w:rPr>
      </w:pPr>
    </w:p>
    <w:p>
      <w:pPr>
        <w:ind w:left="685" w:hanging="685"/>
        <w:spacing w:after="0"/>
        <w:tabs>
          <w:tab w:leader="none" w:pos="685"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FACILITY AGREEMENT</w:t>
      </w:r>
    </w:p>
    <w:p>
      <w:pPr>
        <w:spacing w:after="0" w:line="225" w:lineRule="exact"/>
        <w:rPr>
          <w:rFonts w:ascii="Arial" w:cs="Arial" w:eastAsia="Arial" w:hAnsi="Arial"/>
          <w:sz w:val="18"/>
          <w:szCs w:val="18"/>
          <w:b w:val="1"/>
          <w:bCs w:val="1"/>
          <w:color w:val="auto"/>
        </w:rPr>
      </w:pPr>
    </w:p>
    <w:p>
      <w:pPr>
        <w:ind w:left="1245" w:hanging="550"/>
        <w:spacing w:after="0"/>
        <w:tabs>
          <w:tab w:leader="none" w:pos="1245" w:val="left"/>
        </w:tabs>
        <w:numPr>
          <w:ilvl w:val="1"/>
          <w:numId w:val="460"/>
        </w:numPr>
        <w:rPr>
          <w:rFonts w:ascii="Arial" w:cs="Arial" w:eastAsia="Arial" w:hAnsi="Arial"/>
          <w:sz w:val="18"/>
          <w:szCs w:val="18"/>
          <w:color w:val="auto"/>
        </w:rPr>
      </w:pPr>
      <w:r>
        <w:rPr>
          <w:rFonts w:ascii="Arial" w:cs="Arial" w:eastAsia="Arial" w:hAnsi="Arial"/>
          <w:sz w:val="18"/>
          <w:szCs w:val="18"/>
          <w:color w:val="auto"/>
        </w:rPr>
        <w:t>With effect from the Effective Date, the Facility Agreement shall be amended as set out in paragraphs (b) to (d) below.</w:t>
      </w:r>
    </w:p>
    <w:p>
      <w:pPr>
        <w:spacing w:after="0" w:line="219" w:lineRule="exact"/>
        <w:rPr>
          <w:rFonts w:ascii="Arial" w:cs="Arial" w:eastAsia="Arial" w:hAnsi="Arial"/>
          <w:sz w:val="18"/>
          <w:szCs w:val="18"/>
          <w:color w:val="auto"/>
        </w:rPr>
      </w:pPr>
    </w:p>
    <w:p>
      <w:pPr>
        <w:ind w:left="1245" w:right="280" w:hanging="550"/>
        <w:spacing w:after="0" w:line="267" w:lineRule="auto"/>
        <w:tabs>
          <w:tab w:leader="none" w:pos="1257"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definition of “Conflicted Lender” in Clause 1.1 (Definitions) of the Facility Agreement shall be deleted in its entirety and replaced as follows:</w:t>
      </w:r>
    </w:p>
    <w:p>
      <w:pPr>
        <w:spacing w:after="0" w:line="172" w:lineRule="exact"/>
        <w:rPr>
          <w:rFonts w:ascii="Arial" w:cs="Arial" w:eastAsia="Arial" w:hAnsi="Arial"/>
          <w:sz w:val="18"/>
          <w:szCs w:val="18"/>
          <w:color w:val="auto"/>
        </w:rPr>
      </w:pPr>
    </w:p>
    <w:p>
      <w:pPr>
        <w:ind w:left="1245" w:right="60"/>
        <w:spacing w:after="0" w:line="2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Conflicted Lender</w:t>
      </w:r>
      <w:r>
        <w:rPr>
          <w:rFonts w:ascii="Arial" w:cs="Arial" w:eastAsia="Arial" w:hAnsi="Arial"/>
          <w:sz w:val="18"/>
          <w:szCs w:val="18"/>
          <w:color w:val="auto"/>
        </w:rPr>
        <w:t xml:space="preserve"> means any Lender (which term, for the purposes of this definition shall include any Affiliate of that Lender) which is or is acting on behalf of (including in its capacity as the grantor of a sub-participation or sub-contract carrying economic, voting and/or information rights, or any other agreement pursuant to which such rights may pass) either:</w:t>
      </w:r>
    </w:p>
    <w:p>
      <w:pPr>
        <w:spacing w:after="0" w:line="185" w:lineRule="exact"/>
        <w:rPr>
          <w:rFonts w:ascii="Arial" w:cs="Arial" w:eastAsia="Arial" w:hAnsi="Arial"/>
          <w:sz w:val="18"/>
          <w:szCs w:val="18"/>
          <w:color w:val="auto"/>
        </w:rPr>
      </w:pPr>
    </w:p>
    <w:p>
      <w:pPr>
        <w:ind w:left="1885" w:hanging="625"/>
        <w:spacing w:after="0"/>
        <w:tabs>
          <w:tab w:leader="none" w:pos="1885" w:val="left"/>
        </w:tabs>
        <w:numPr>
          <w:ilvl w:val="2"/>
          <w:numId w:val="460"/>
        </w:numPr>
        <w:rPr>
          <w:rFonts w:ascii="Arial" w:cs="Arial" w:eastAsia="Arial" w:hAnsi="Arial"/>
          <w:sz w:val="18"/>
          <w:szCs w:val="18"/>
          <w:color w:val="auto"/>
        </w:rPr>
      </w:pPr>
      <w:r>
        <w:rPr>
          <w:rFonts w:ascii="Arial" w:cs="Arial" w:eastAsia="Arial" w:hAnsi="Arial"/>
          <w:sz w:val="18"/>
          <w:szCs w:val="18"/>
          <w:color w:val="auto"/>
        </w:rPr>
        <w:t>a competitor or supplier of the Group; or</w:t>
      </w:r>
    </w:p>
    <w:p>
      <w:pPr>
        <w:spacing w:after="0" w:line="219" w:lineRule="exact"/>
        <w:rPr>
          <w:rFonts w:ascii="Arial" w:cs="Arial" w:eastAsia="Arial" w:hAnsi="Arial"/>
          <w:sz w:val="18"/>
          <w:szCs w:val="18"/>
          <w:color w:val="auto"/>
        </w:rPr>
      </w:pPr>
    </w:p>
    <w:p>
      <w:pPr>
        <w:ind w:left="1885" w:hanging="625"/>
        <w:spacing w:after="0"/>
        <w:tabs>
          <w:tab w:leader="none" w:pos="1885" w:val="left"/>
        </w:tabs>
        <w:numPr>
          <w:ilvl w:val="2"/>
          <w:numId w:val="460"/>
        </w:numPr>
        <w:rPr>
          <w:rFonts w:ascii="Arial" w:cs="Arial" w:eastAsia="Arial" w:hAnsi="Arial"/>
          <w:sz w:val="16"/>
          <w:szCs w:val="16"/>
          <w:color w:val="auto"/>
        </w:rPr>
      </w:pPr>
      <w:r>
        <w:rPr>
          <w:rFonts w:ascii="Arial" w:cs="Arial" w:eastAsia="Arial" w:hAnsi="Arial"/>
          <w:sz w:val="16"/>
          <w:szCs w:val="16"/>
          <w:color w:val="auto"/>
        </w:rPr>
        <w:t>an investor or equity holder of more than five per cent. of the equity or total investment in a competitor or supplier of the Group,</w:t>
      </w:r>
    </w:p>
    <w:p>
      <w:pPr>
        <w:spacing w:after="0" w:line="242" w:lineRule="exact"/>
        <w:rPr>
          <w:sz w:val="20"/>
          <w:szCs w:val="20"/>
          <w:color w:val="auto"/>
        </w:rPr>
      </w:pPr>
    </w:p>
    <w:p>
      <w:pPr>
        <w:ind w:left="1245" w:right="160"/>
        <w:spacing w:after="0" w:line="304" w:lineRule="auto"/>
        <w:rPr>
          <w:sz w:val="20"/>
          <w:szCs w:val="20"/>
          <w:color w:val="auto"/>
        </w:rPr>
      </w:pPr>
      <w:r>
        <w:rPr>
          <w:rFonts w:ascii="Arial" w:cs="Arial" w:eastAsia="Arial" w:hAnsi="Arial"/>
          <w:sz w:val="16"/>
          <w:szCs w:val="16"/>
          <w:color w:val="auto"/>
        </w:rPr>
        <w:t xml:space="preserve">in each case whether before or after such person becomes a Lender and including where a Lender notifies the Agent that it is such (in a Transfer Certificate or otherwise) and where it has been notified as such to the Agent by the Borrower or another member of the Group (acting reasonably and in good faith),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a Lender will not be deemed to be a Conflicted Lender solely by virtue of that Lender:</w:t>
      </w:r>
    </w:p>
    <w:p>
      <w:pPr>
        <w:spacing w:after="0" w:line="153" w:lineRule="exact"/>
        <w:rPr>
          <w:sz w:val="20"/>
          <w:szCs w:val="20"/>
          <w:color w:val="auto"/>
        </w:rPr>
      </w:pPr>
    </w:p>
    <w:p>
      <w:pPr>
        <w:ind w:left="2525" w:right="180" w:hanging="637"/>
        <w:spacing w:after="0" w:line="267" w:lineRule="auto"/>
        <w:tabs>
          <w:tab w:leader="none" w:pos="254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dealing in shares in or securities of a competitor, where the relevant teams and employees of that Lender engaged in such dealings operate on the public side of an information barrier;</w:t>
      </w:r>
    </w:p>
    <w:p>
      <w:pPr>
        <w:spacing w:after="0" w:line="178" w:lineRule="exact"/>
        <w:rPr>
          <w:rFonts w:ascii="Arial" w:cs="Arial" w:eastAsia="Arial" w:hAnsi="Arial"/>
          <w:sz w:val="18"/>
          <w:szCs w:val="18"/>
          <w:color w:val="auto"/>
        </w:rPr>
      </w:pPr>
    </w:p>
    <w:p>
      <w:pPr>
        <w:ind w:left="2525" w:right="180" w:hanging="637"/>
        <w:spacing w:after="0" w:line="295" w:lineRule="auto"/>
        <w:tabs>
          <w:tab w:leader="none" w:pos="2551"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becoming an investor or equity holder in a competitor as a consequence of a debt-for-equity swap in, or enforcement of security over shares of, that competitor or supplier of the Group,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relevant teams and employees of that Lender involved in such transactions are separated from any teams or employees of that Lender working in relation to the Group and the Finance Documents (and related transactions) by way of an information barrier; or</w:t>
      </w:r>
    </w:p>
    <w:p>
      <w:pPr>
        <w:spacing w:after="0" w:line="161"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77470</wp:posOffset>
            </wp:positionV>
            <wp:extent cx="726948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25"/>
          </w:cols>
          <w:pgMar w:left="335" w:top="121" w:right="239" w:bottom="1440" w:gutter="0" w:footer="0" w:header="0"/>
          <w:type w:val="continuous"/>
        </w:sectPr>
      </w:pPr>
    </w:p>
    <w:bookmarkStart w:id="297" w:name="page298"/>
    <w:bookmarkEnd w:id="297"/>
    <w:p>
      <w:pPr>
        <w:ind w:left="1830" w:right="100" w:hanging="637"/>
        <w:spacing w:after="0" w:line="273" w:lineRule="auto"/>
        <w:tabs>
          <w:tab w:leader="none" w:pos="1866" w:val="left"/>
        </w:tabs>
        <w:numPr>
          <w:ilvl w:val="2"/>
          <w:numId w:val="462"/>
        </w:numPr>
        <w:rPr>
          <w:rFonts w:ascii="Arial" w:cs="Arial" w:eastAsia="Arial" w:hAnsi="Arial"/>
          <w:sz w:val="17"/>
          <w:szCs w:val="17"/>
          <w:color w:val="auto"/>
        </w:rPr>
      </w:pPr>
      <w:r>
        <w:rPr>
          <w:rFonts w:ascii="Arial" w:cs="Arial" w:eastAsia="Arial" w:hAnsi="Arial"/>
          <w:sz w:val="17"/>
          <w:szCs w:val="17"/>
          <w:color w:val="auto"/>
        </w:rPr>
        <w:t xml:space="preserve">being an investor or equity holder in a competitor through a separately managed private equity investment fund or similar entity owned or managed by that Lender,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relevant teams and employees of that Lender involved in such private equity fund are separated from any teams or employees of that Lender working in relation to the Group and the Finance Documents (and related transactions) by way of an information barrier.”</w:t>
      </w:r>
    </w:p>
    <w:p>
      <w:pPr>
        <w:spacing w:after="0" w:line="176" w:lineRule="exact"/>
        <w:rPr>
          <w:rFonts w:ascii="Arial" w:cs="Arial" w:eastAsia="Arial" w:hAnsi="Arial"/>
          <w:sz w:val="17"/>
          <w:szCs w:val="17"/>
          <w:color w:val="auto"/>
        </w:rPr>
      </w:pPr>
    </w:p>
    <w:p>
      <w:pPr>
        <w:ind w:left="570" w:right="400" w:hanging="570"/>
        <w:spacing w:after="0" w:line="494" w:lineRule="auto"/>
        <w:tabs>
          <w:tab w:leader="none" w:pos="5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definition of “LIBOR” in Clause 1.1 (Definitions) of the Facility Agreement shall be deleted in its entirety and replaced as follows: “</w:t>
      </w:r>
      <w:r>
        <w:rPr>
          <w:rFonts w:ascii="Arial" w:cs="Arial" w:eastAsia="Arial" w:hAnsi="Arial"/>
          <w:sz w:val="18"/>
          <w:szCs w:val="18"/>
          <w:b w:val="1"/>
          <w:bCs w:val="1"/>
          <w:color w:val="auto"/>
        </w:rPr>
        <w:t>LIBOR</w:t>
      </w:r>
      <w:r>
        <w:rPr>
          <w:rFonts w:ascii="Arial" w:cs="Arial" w:eastAsia="Arial" w:hAnsi="Arial"/>
          <w:sz w:val="18"/>
          <w:szCs w:val="18"/>
          <w:color w:val="auto"/>
        </w:rPr>
        <w:t xml:space="preserve"> means, in relation to any Loan:</w:t>
      </w:r>
    </w:p>
    <w:p>
      <w:pPr>
        <w:ind w:left="1190" w:right="380" w:hanging="625"/>
        <w:spacing w:after="0" w:line="267" w:lineRule="auto"/>
        <w:tabs>
          <w:tab w:leader="none" w:pos="118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applicable Screen Rate as of the Specified Time for the currency of that Loan and for a period equal in length to the Interest Period of that Loan; or</w:t>
      </w:r>
    </w:p>
    <w:p>
      <w:pPr>
        <w:spacing w:after="0" w:line="178" w:lineRule="exact"/>
        <w:rPr>
          <w:rFonts w:ascii="Arial" w:cs="Arial" w:eastAsia="Arial" w:hAnsi="Arial"/>
          <w:sz w:val="18"/>
          <w:szCs w:val="18"/>
          <w:color w:val="auto"/>
        </w:rPr>
      </w:pPr>
    </w:p>
    <w:p>
      <w:pPr>
        <w:ind w:left="1190" w:hanging="625"/>
        <w:spacing w:after="0"/>
        <w:tabs>
          <w:tab w:leader="none" w:pos="119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as otherwise determined pursuant to Clause 10.1 (Unavailability of Screen Rate),</w:t>
      </w:r>
    </w:p>
    <w:p>
      <w:pPr>
        <w:spacing w:after="0" w:line="219" w:lineRule="exact"/>
        <w:rPr>
          <w:sz w:val="20"/>
          <w:szCs w:val="20"/>
          <w:color w:val="auto"/>
        </w:rPr>
      </w:pPr>
    </w:p>
    <w:p>
      <w:pPr>
        <w:ind w:left="550"/>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219" w:lineRule="exact"/>
        <w:rPr>
          <w:sz w:val="20"/>
          <w:szCs w:val="20"/>
          <w:color w:val="auto"/>
        </w:rPr>
      </w:pPr>
    </w:p>
    <w:p>
      <w:pPr>
        <w:ind w:left="570" w:hanging="570"/>
        <w:spacing w:after="0"/>
        <w:tabs>
          <w:tab w:leader="none" w:pos="57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Paragraph (b) of Clause 20.5 (Disposals) of the Facility Agreement shall be deleted in its entirety and replaced as follows:</w:t>
      </w:r>
    </w:p>
    <w:p>
      <w:pPr>
        <w:spacing w:after="0" w:line="219" w:lineRule="exact"/>
        <w:rPr>
          <w:rFonts w:ascii="Arial" w:cs="Arial" w:eastAsia="Arial" w:hAnsi="Arial"/>
          <w:sz w:val="18"/>
          <w:szCs w:val="18"/>
          <w:color w:val="auto"/>
        </w:rPr>
      </w:pPr>
    </w:p>
    <w:p>
      <w:pPr>
        <w:ind w:left="1070" w:hanging="503"/>
        <w:spacing w:after="0" w:line="304" w:lineRule="auto"/>
        <w:rPr>
          <w:rFonts w:ascii="Arial" w:cs="Arial" w:eastAsia="Arial" w:hAnsi="Arial"/>
          <w:sz w:val="18"/>
          <w:szCs w:val="18"/>
          <w:color w:val="auto"/>
        </w:rPr>
      </w:pPr>
      <w:r>
        <w:rPr>
          <w:rFonts w:ascii="Arial" w:cs="Arial" w:eastAsia="Arial" w:hAnsi="Arial"/>
          <w:sz w:val="16"/>
          <w:szCs w:val="16"/>
          <w:color w:val="auto"/>
        </w:rPr>
        <w:t>“(b) Paragraph (a) above does not apply to any sale, lease, transfer or other disposal (other than shares in NetEase (Hangzhou) Network Co., Ltd, which shall not be disposed of in any circumstances except to the Borrower or a Material Subsidiary or to a member of the Group which is not itself a Material Subsidiary before such disposal and becomes a Material Subsidiary immediately after such disposal):</w:t>
      </w:r>
    </w:p>
    <w:p>
      <w:pPr>
        <w:spacing w:after="0" w:line="153" w:lineRule="exact"/>
        <w:rPr>
          <w:rFonts w:ascii="Arial" w:cs="Arial" w:eastAsia="Arial" w:hAnsi="Arial"/>
          <w:sz w:val="18"/>
          <w:szCs w:val="18"/>
          <w:color w:val="auto"/>
        </w:rPr>
      </w:pPr>
    </w:p>
    <w:p>
      <w:pPr>
        <w:ind w:left="1850" w:hanging="782"/>
        <w:spacing w:after="0"/>
        <w:tabs>
          <w:tab w:leader="none" w:pos="185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219" w:lineRule="exact"/>
        <w:rPr>
          <w:rFonts w:ascii="Arial" w:cs="Arial" w:eastAsia="Arial" w:hAnsi="Arial"/>
          <w:sz w:val="18"/>
          <w:szCs w:val="18"/>
          <w:color w:val="auto"/>
        </w:rPr>
      </w:pPr>
    </w:p>
    <w:p>
      <w:pPr>
        <w:ind w:left="1850" w:hanging="782"/>
        <w:spacing w:after="0"/>
        <w:tabs>
          <w:tab w:leader="none" w:pos="185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of assets in exchange for other assets comparable or superior as to type, value and quality;</w:t>
      </w:r>
    </w:p>
    <w:p>
      <w:pPr>
        <w:spacing w:after="0" w:line="219" w:lineRule="exact"/>
        <w:rPr>
          <w:rFonts w:ascii="Arial" w:cs="Arial" w:eastAsia="Arial" w:hAnsi="Arial"/>
          <w:sz w:val="18"/>
          <w:szCs w:val="18"/>
          <w:color w:val="auto"/>
        </w:rPr>
      </w:pPr>
    </w:p>
    <w:p>
      <w:pPr>
        <w:ind w:left="1870" w:hanging="802"/>
        <w:spacing w:after="0"/>
        <w:tabs>
          <w:tab w:leader="none" w:pos="187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w:t>
      </w:r>
    </w:p>
    <w:p>
      <w:pPr>
        <w:spacing w:after="0" w:line="219" w:lineRule="exact"/>
        <w:rPr>
          <w:rFonts w:ascii="Arial" w:cs="Arial" w:eastAsia="Arial" w:hAnsi="Arial"/>
          <w:sz w:val="18"/>
          <w:szCs w:val="18"/>
          <w:color w:val="auto"/>
        </w:rPr>
      </w:pPr>
    </w:p>
    <w:p>
      <w:pPr>
        <w:ind w:left="1850" w:hanging="782"/>
        <w:spacing w:after="0"/>
        <w:tabs>
          <w:tab w:leader="none" w:pos="185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made to another member of the Group;</w:t>
      </w:r>
    </w:p>
    <w:p>
      <w:pPr>
        <w:spacing w:after="0" w:line="219" w:lineRule="exact"/>
        <w:rPr>
          <w:rFonts w:ascii="Arial" w:cs="Arial" w:eastAsia="Arial" w:hAnsi="Arial"/>
          <w:sz w:val="18"/>
          <w:szCs w:val="18"/>
          <w:color w:val="auto"/>
        </w:rPr>
      </w:pPr>
    </w:p>
    <w:p>
      <w:pPr>
        <w:ind w:left="1830" w:right="140" w:hanging="762"/>
        <w:spacing w:after="0" w:line="267" w:lineRule="auto"/>
        <w:tabs>
          <w:tab w:leader="none" w:pos="1842" w:val="left"/>
        </w:tabs>
        <w:numPr>
          <w:ilvl w:val="1"/>
          <w:numId w:val="464"/>
        </w:numPr>
        <w:rPr>
          <w:rFonts w:ascii="Arial" w:cs="Arial" w:eastAsia="Arial" w:hAnsi="Arial"/>
          <w:sz w:val="18"/>
          <w:szCs w:val="18"/>
          <w:color w:val="auto"/>
        </w:rPr>
      </w:pPr>
      <w:r>
        <w:rPr>
          <w:rFonts w:ascii="Arial" w:cs="Arial" w:eastAsia="Arial" w:hAnsi="Arial"/>
          <w:sz w:val="18"/>
          <w:szCs w:val="18"/>
          <w:color w:val="auto"/>
        </w:rPr>
        <w:t>of any asset which is a financial asset that has been classified in the latest audited consolidated financial statements of the Borrower as being available for sale;</w:t>
      </w:r>
    </w:p>
    <w:p>
      <w:pPr>
        <w:spacing w:after="0" w:line="178" w:lineRule="exact"/>
        <w:rPr>
          <w:rFonts w:ascii="Arial" w:cs="Arial" w:eastAsia="Arial" w:hAnsi="Arial"/>
          <w:sz w:val="18"/>
          <w:szCs w:val="18"/>
          <w:color w:val="auto"/>
        </w:rPr>
      </w:pPr>
    </w:p>
    <w:p>
      <w:pPr>
        <w:ind w:left="1850" w:hanging="782"/>
        <w:spacing w:after="0"/>
        <w:tabs>
          <w:tab w:leader="none" w:pos="185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of any asset where:</w:t>
      </w:r>
    </w:p>
    <w:p>
      <w:pPr>
        <w:spacing w:after="0" w:line="219" w:lineRule="exact"/>
        <w:rPr>
          <w:rFonts w:ascii="Arial" w:cs="Arial" w:eastAsia="Arial" w:hAnsi="Arial"/>
          <w:sz w:val="18"/>
          <w:szCs w:val="18"/>
          <w:color w:val="auto"/>
        </w:rPr>
      </w:pPr>
    </w:p>
    <w:p>
      <w:pPr>
        <w:ind w:left="2470" w:hanging="647"/>
        <w:spacing w:after="0"/>
        <w:tabs>
          <w:tab w:leader="none" w:pos="247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such asset is being disposed as part of the Group’s business strategy;</w:t>
      </w:r>
    </w:p>
    <w:p>
      <w:pPr>
        <w:spacing w:after="0" w:line="219" w:lineRule="exact"/>
        <w:rPr>
          <w:rFonts w:ascii="Arial" w:cs="Arial" w:eastAsia="Arial" w:hAnsi="Arial"/>
          <w:sz w:val="18"/>
          <w:szCs w:val="18"/>
          <w:color w:val="auto"/>
        </w:rPr>
      </w:pPr>
    </w:p>
    <w:p>
      <w:pPr>
        <w:ind w:left="2450" w:hanging="627"/>
        <w:spacing w:after="0"/>
        <w:tabs>
          <w:tab w:leader="none" w:pos="245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such disposal is for good and valuable consideration; and</w:t>
      </w:r>
    </w:p>
    <w:p>
      <w:pPr>
        <w:spacing w:after="0" w:line="219" w:lineRule="exact"/>
        <w:rPr>
          <w:rFonts w:ascii="Arial" w:cs="Arial" w:eastAsia="Arial" w:hAnsi="Arial"/>
          <w:sz w:val="18"/>
          <w:szCs w:val="18"/>
          <w:color w:val="auto"/>
        </w:rPr>
      </w:pPr>
    </w:p>
    <w:p>
      <w:pPr>
        <w:ind w:left="2450" w:hanging="627"/>
        <w:spacing w:after="0"/>
        <w:tabs>
          <w:tab w:leader="none" w:pos="245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no Default is continuing or would result from such disposal;</w:t>
      </w:r>
    </w:p>
    <w:p>
      <w:pPr>
        <w:spacing w:after="0" w:line="219" w:lineRule="exact"/>
        <w:rPr>
          <w:sz w:val="20"/>
          <w:szCs w:val="20"/>
          <w:color w:val="auto"/>
        </w:rPr>
      </w:pPr>
    </w:p>
    <w:p>
      <w:pPr>
        <w:ind w:left="487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77470</wp:posOffset>
            </wp:positionV>
            <wp:extent cx="726948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610"/>
          </w:cols>
          <w:pgMar w:left="1030" w:top="340" w:right="259" w:bottom="1440" w:gutter="0" w:footer="0" w:header="0"/>
        </w:sectPr>
      </w:pPr>
    </w:p>
    <w:bookmarkStart w:id="298" w:name="page299"/>
    <w:bookmarkEnd w:id="298"/>
    <w:p>
      <w:pPr>
        <w:ind w:left="2545" w:hanging="782"/>
        <w:spacing w:after="0"/>
        <w:tabs>
          <w:tab w:leader="none" w:pos="2545" w:val="left"/>
        </w:tabs>
        <w:numPr>
          <w:ilvl w:val="2"/>
          <w:numId w:val="465"/>
        </w:numPr>
        <w:rPr>
          <w:rFonts w:ascii="Arial" w:cs="Arial" w:eastAsia="Arial" w:hAnsi="Arial"/>
          <w:sz w:val="18"/>
          <w:szCs w:val="18"/>
          <w:color w:val="auto"/>
        </w:rPr>
      </w:pPr>
      <w:r>
        <w:rPr>
          <w:rFonts w:ascii="Arial" w:cs="Arial" w:eastAsia="Arial" w:hAnsi="Arial"/>
          <w:sz w:val="18"/>
          <w:szCs w:val="18"/>
          <w:color w:val="auto"/>
        </w:rPr>
        <w:t>with prior written consent of the Agent (acting on the instructions of the Majority Lenders); or</w:t>
      </w:r>
    </w:p>
    <w:p>
      <w:pPr>
        <w:spacing w:after="0" w:line="219" w:lineRule="exact"/>
        <w:rPr>
          <w:rFonts w:ascii="Arial" w:cs="Arial" w:eastAsia="Arial" w:hAnsi="Arial"/>
          <w:sz w:val="18"/>
          <w:szCs w:val="18"/>
          <w:color w:val="auto"/>
        </w:rPr>
      </w:pPr>
    </w:p>
    <w:p>
      <w:pPr>
        <w:ind w:left="2525" w:hanging="762"/>
        <w:spacing w:after="0" w:line="291" w:lineRule="auto"/>
        <w:tabs>
          <w:tab w:leader="none" w:pos="2564" w:val="left"/>
        </w:tabs>
        <w:numPr>
          <w:ilvl w:val="2"/>
          <w:numId w:val="465"/>
        </w:numPr>
        <w:rPr>
          <w:rFonts w:ascii="Arial" w:cs="Arial" w:eastAsia="Arial" w:hAnsi="Arial"/>
          <w:sz w:val="16"/>
          <w:szCs w:val="16"/>
          <w:color w:val="auto"/>
        </w:rPr>
      </w:pPr>
      <w:r>
        <w:rPr>
          <w:rFonts w:ascii="Arial" w:cs="Arial" w:eastAsia="Arial" w:hAnsi="Arial"/>
          <w:sz w:val="16"/>
          <w:szCs w:val="16"/>
          <w:color w:val="auto"/>
        </w:rPr>
        <w:t>of any asset in any financial year of the Borrower, where the higher of the market value or consideration receivable in respect of such asset (when aggregated with the higher (in each case) of the market value or consideration receivable in respect of each other asset of the subject of any other sale, lease, transfer or other disposal by any or all of the Borrower and the Material Subsidiaries during such financial year, other than any permitted under paragraphs (b)(i) to (b)(vii) above) does not exceed US$100,000,000 (or its equivalent in another currency or currencies).”</w:t>
      </w:r>
    </w:p>
    <w:p>
      <w:pPr>
        <w:spacing w:after="0" w:line="157" w:lineRule="exact"/>
        <w:rPr>
          <w:rFonts w:ascii="Arial" w:cs="Arial" w:eastAsia="Arial" w:hAnsi="Arial"/>
          <w:sz w:val="16"/>
          <w:szCs w:val="16"/>
          <w:color w:val="auto"/>
        </w:rPr>
      </w:pPr>
    </w:p>
    <w:p>
      <w:pPr>
        <w:ind w:left="1265" w:hanging="570"/>
        <w:spacing w:after="0"/>
        <w:tabs>
          <w:tab w:leader="none" w:pos="1265"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The amendments referred to in paragraphs (b) to (d) above shall take effect on the date of this letter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685" w:hanging="685"/>
        <w:spacing w:after="0"/>
        <w:tabs>
          <w:tab w:leader="none" w:pos="685"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AGREEMENT</w:t>
      </w:r>
    </w:p>
    <w:p>
      <w:pPr>
        <w:spacing w:after="0" w:line="225" w:lineRule="exact"/>
        <w:rPr>
          <w:rFonts w:ascii="Arial" w:cs="Arial" w:eastAsia="Arial" w:hAnsi="Arial"/>
          <w:sz w:val="18"/>
          <w:szCs w:val="18"/>
          <w:b w:val="1"/>
          <w:bCs w:val="1"/>
          <w:color w:val="auto"/>
        </w:rPr>
      </w:pPr>
    </w:p>
    <w:p>
      <w:pPr>
        <w:ind w:left="1245" w:right="80" w:hanging="550"/>
        <w:spacing w:after="0" w:line="253" w:lineRule="auto"/>
        <w:tabs>
          <w:tab w:leader="none" w:pos="124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amendments contained in Clause 2 (Amendments to the Facility Agreement) are strictly without prejudice to the rights of the Finance Parties under the Finance Documents and at law and will not be (and will not be deemed to be) an amendment, of any other right, provision or condition of any Finance Document. The Facility Agreement and the other Finance Documents continue in full force and effect, except as expressly amended by this letter.</w:t>
      </w:r>
    </w:p>
    <w:p>
      <w:pPr>
        <w:spacing w:after="0" w:line="192" w:lineRule="exact"/>
        <w:rPr>
          <w:rFonts w:ascii="Arial" w:cs="Arial" w:eastAsia="Arial" w:hAnsi="Arial"/>
          <w:sz w:val="18"/>
          <w:szCs w:val="18"/>
          <w:color w:val="auto"/>
        </w:rPr>
      </w:pPr>
    </w:p>
    <w:p>
      <w:pPr>
        <w:ind w:left="1245" w:right="500" w:hanging="550"/>
        <w:spacing w:after="0" w:line="267" w:lineRule="auto"/>
        <w:tabs>
          <w:tab w:leader="none" w:pos="125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Agent confirms to the Borrower that it has obtained the written consent of the Majority Lenders to enter into this letter pursuant to Clause 31 (Amendments and Waivers) of the Facility Agreement on or before the date hereof.</w:t>
      </w:r>
    </w:p>
    <w:p>
      <w:pPr>
        <w:spacing w:after="0" w:line="172" w:lineRule="exact"/>
        <w:rPr>
          <w:rFonts w:ascii="Arial" w:cs="Arial" w:eastAsia="Arial" w:hAnsi="Arial"/>
          <w:sz w:val="18"/>
          <w:szCs w:val="18"/>
          <w:color w:val="auto"/>
        </w:rPr>
      </w:pPr>
    </w:p>
    <w:p>
      <w:pPr>
        <w:ind w:left="685" w:hanging="685"/>
        <w:spacing w:after="0"/>
        <w:tabs>
          <w:tab w:leader="none" w:pos="685"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5" w:lineRule="exact"/>
        <w:rPr>
          <w:rFonts w:ascii="Arial" w:cs="Arial" w:eastAsia="Arial" w:hAnsi="Arial"/>
          <w:sz w:val="18"/>
          <w:szCs w:val="18"/>
          <w:b w:val="1"/>
          <w:bCs w:val="1"/>
          <w:color w:val="auto"/>
        </w:rPr>
      </w:pPr>
    </w:p>
    <w:p>
      <w:pPr>
        <w:ind w:left="685" w:right="34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The Borrower confirms to each Finance Party that on the date of this letter and on the Effective Date, by reference to the facts and circumstances then existing:</w:t>
      </w:r>
    </w:p>
    <w:p>
      <w:pPr>
        <w:spacing w:after="0" w:line="178" w:lineRule="exact"/>
        <w:rPr>
          <w:rFonts w:ascii="Arial" w:cs="Arial" w:eastAsia="Arial" w:hAnsi="Arial"/>
          <w:sz w:val="18"/>
          <w:szCs w:val="18"/>
          <w:b w:val="1"/>
          <w:bCs w:val="1"/>
          <w:color w:val="auto"/>
        </w:rPr>
      </w:pPr>
    </w:p>
    <w:p>
      <w:pPr>
        <w:ind w:left="1245" w:right="720" w:hanging="550"/>
        <w:spacing w:after="0" w:line="267" w:lineRule="auto"/>
        <w:tabs>
          <w:tab w:leader="none" w:pos="124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Repeating Representations are true, and would also be true, in all material respects, if references to the Facility Agreement were construed as references to the Facility Agreement as amended by this letter; and</w:t>
      </w:r>
    </w:p>
    <w:p>
      <w:pPr>
        <w:spacing w:after="0" w:line="178" w:lineRule="exact"/>
        <w:rPr>
          <w:rFonts w:ascii="Arial" w:cs="Arial" w:eastAsia="Arial" w:hAnsi="Arial"/>
          <w:sz w:val="18"/>
          <w:szCs w:val="18"/>
          <w:color w:val="auto"/>
        </w:rPr>
      </w:pPr>
    </w:p>
    <w:p>
      <w:pPr>
        <w:ind w:left="1245" w:right="540" w:hanging="550"/>
        <w:spacing w:after="0" w:line="267" w:lineRule="auto"/>
        <w:tabs>
          <w:tab w:leader="none" w:pos="1257"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subject to the proposed amendments contained in Clause 3 (Amendments to the Facility Agreement) being consented to, no Default is continuing.</w:t>
      </w:r>
    </w:p>
    <w:p>
      <w:pPr>
        <w:spacing w:after="0" w:line="172" w:lineRule="exact"/>
        <w:rPr>
          <w:rFonts w:ascii="Arial" w:cs="Arial" w:eastAsia="Arial" w:hAnsi="Arial"/>
          <w:sz w:val="18"/>
          <w:szCs w:val="18"/>
          <w:color w:val="auto"/>
        </w:rPr>
      </w:pPr>
    </w:p>
    <w:p>
      <w:pPr>
        <w:ind w:left="685" w:hanging="685"/>
        <w:spacing w:after="0"/>
        <w:tabs>
          <w:tab w:leader="none" w:pos="685"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25" w:lineRule="exact"/>
        <w:rPr>
          <w:rFonts w:ascii="Arial" w:cs="Arial" w:eastAsia="Arial" w:hAnsi="Arial"/>
          <w:sz w:val="18"/>
          <w:szCs w:val="18"/>
          <w:b w:val="1"/>
          <w:bCs w:val="1"/>
          <w:color w:val="auto"/>
        </w:rPr>
      </w:pPr>
    </w:p>
    <w:p>
      <w:pPr>
        <w:ind w:left="685" w:right="4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Borrower will on demand pay to the Agent the amount of all costs and expenses (including legal fees) reasonably incurred by the Agent in connection with the negotiation, preparation, execution and completion of this letter and all documents, matters and things referred to in, or incidental to, this letter.</w:t>
      </w:r>
    </w:p>
    <w:p>
      <w:pPr>
        <w:spacing w:after="0" w:line="181" w:lineRule="exact"/>
        <w:rPr>
          <w:rFonts w:ascii="Arial" w:cs="Arial" w:eastAsia="Arial" w:hAnsi="Arial"/>
          <w:sz w:val="18"/>
          <w:szCs w:val="18"/>
          <w:b w:val="1"/>
          <w:bCs w:val="1"/>
          <w:color w:val="auto"/>
        </w:rPr>
      </w:pPr>
    </w:p>
    <w:p>
      <w:pPr>
        <w:ind w:left="685" w:hanging="685"/>
        <w:spacing w:after="0"/>
        <w:tabs>
          <w:tab w:leader="none" w:pos="685"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w:t>
      </w:r>
    </w:p>
    <w:p>
      <w:pPr>
        <w:spacing w:after="0" w:line="225" w:lineRule="exact"/>
        <w:rPr>
          <w:rFonts w:ascii="Arial" w:cs="Arial" w:eastAsia="Arial" w:hAnsi="Arial"/>
          <w:sz w:val="18"/>
          <w:szCs w:val="18"/>
          <w:b w:val="1"/>
          <w:bCs w:val="1"/>
          <w:color w:val="auto"/>
        </w:rPr>
      </w:pPr>
    </w:p>
    <w:p>
      <w:pPr>
        <w:ind w:left="685"/>
        <w:spacing w:after="0"/>
        <w:rPr>
          <w:rFonts w:ascii="Arial" w:cs="Arial" w:eastAsia="Arial" w:hAnsi="Arial"/>
          <w:sz w:val="18"/>
          <w:szCs w:val="18"/>
          <w:b w:val="1"/>
          <w:bCs w:val="1"/>
          <w:color w:val="auto"/>
        </w:rPr>
      </w:pPr>
      <w:r>
        <w:rPr>
          <w:rFonts w:ascii="Arial" w:cs="Arial" w:eastAsia="Arial" w:hAnsi="Arial"/>
          <w:sz w:val="18"/>
          <w:szCs w:val="18"/>
          <w:color w:val="auto"/>
        </w:rPr>
        <w:t>This letter is a Finance Document.</w:t>
      </w:r>
    </w:p>
    <w:p>
      <w:pPr>
        <w:spacing w:after="0" w:line="213" w:lineRule="exact"/>
        <w:rPr>
          <w:rFonts w:ascii="Arial" w:cs="Arial" w:eastAsia="Arial" w:hAnsi="Arial"/>
          <w:sz w:val="18"/>
          <w:szCs w:val="18"/>
          <w:b w:val="1"/>
          <w:bCs w:val="1"/>
          <w:color w:val="auto"/>
        </w:rPr>
      </w:pPr>
    </w:p>
    <w:p>
      <w:pPr>
        <w:ind w:left="685" w:hanging="685"/>
        <w:spacing w:after="0"/>
        <w:tabs>
          <w:tab w:leader="none" w:pos="685"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5" w:lineRule="exact"/>
        <w:rPr>
          <w:sz w:val="20"/>
          <w:szCs w:val="20"/>
          <w:color w:val="auto"/>
        </w:rPr>
      </w:pPr>
    </w:p>
    <w:p>
      <w:pPr>
        <w:ind w:left="685" w:right="80"/>
        <w:spacing w:after="0" w:line="267" w:lineRule="auto"/>
        <w:rPr>
          <w:sz w:val="20"/>
          <w:szCs w:val="20"/>
          <w:color w:val="auto"/>
        </w:rPr>
      </w:pPr>
      <w:r>
        <w:rPr>
          <w:rFonts w:ascii="Arial" w:cs="Arial" w:eastAsia="Arial" w:hAnsi="Arial"/>
          <w:sz w:val="18"/>
          <w:szCs w:val="18"/>
          <w:color w:val="auto"/>
        </w:rPr>
        <w:t>This letter may be executed in any number of counterparts, and this has the same effect as if the signatures on the counterparts were on a single copy of this letter.</w:t>
      </w:r>
    </w:p>
    <w:p>
      <w:pPr>
        <w:spacing w:after="0" w:line="179"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77470</wp:posOffset>
            </wp:positionV>
            <wp:extent cx="726948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325"/>
          </w:cols>
          <w:pgMar w:left="335" w:top="340" w:right="239" w:bottom="1440" w:gutter="0" w:footer="0" w:header="0"/>
        </w:sectPr>
      </w:pPr>
    </w:p>
    <w:bookmarkStart w:id="299" w:name="page300"/>
    <w:bookmarkEnd w:id="299"/>
    <w:p>
      <w:pPr>
        <w:ind w:left="685" w:hanging="685"/>
        <w:spacing w:after="0"/>
        <w:tabs>
          <w:tab w:leader="none" w:pos="685"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5" w:lineRule="exact"/>
        <w:rPr>
          <w:rFonts w:ascii="Arial" w:cs="Arial" w:eastAsia="Arial" w:hAnsi="Arial"/>
          <w:sz w:val="18"/>
          <w:szCs w:val="18"/>
          <w:b w:val="1"/>
          <w:bCs w:val="1"/>
          <w:color w:val="auto"/>
        </w:rPr>
      </w:pPr>
    </w:p>
    <w:p>
      <w:pPr>
        <w:ind w:left="685"/>
        <w:spacing w:after="0" w:line="296" w:lineRule="auto"/>
        <w:rPr>
          <w:rFonts w:ascii="Arial" w:cs="Arial" w:eastAsia="Arial" w:hAnsi="Arial"/>
          <w:sz w:val="18"/>
          <w:szCs w:val="18"/>
          <w:b w:val="1"/>
          <w:bCs w:val="1"/>
          <w:color w:val="auto"/>
        </w:rPr>
      </w:pPr>
      <w:r>
        <w:rPr>
          <w:rFonts w:ascii="Arial" w:cs="Arial" w:eastAsia="Arial" w:hAnsi="Arial"/>
          <w:sz w:val="17"/>
          <w:szCs w:val="17"/>
          <w:color w:val="auto"/>
        </w:rPr>
        <w:t>This letter is governed by Hong Kong law. Clause 39 (Enforcement) of the Facility Agreement shall be deemed to be incorporated in this letter as if set out in full, mutatis mutandis, save that references to “this agreement” shall be deemed to be references to this letter.</w:t>
      </w:r>
    </w:p>
    <w:p>
      <w:pPr>
        <w:spacing w:after="0" w:line="15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77470</wp:posOffset>
            </wp:positionV>
            <wp:extent cx="726948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185"/>
          </w:cols>
          <w:pgMar w:left="335" w:top="334" w:right="379" w:bottom="1440" w:gutter="0" w:footer="0" w:header="0"/>
        </w:sectPr>
      </w:pPr>
    </w:p>
    <w:bookmarkStart w:id="300" w:name="page301"/>
    <w:bookmarkEnd w:id="300"/>
    <w:p>
      <w:pPr>
        <w:jc w:val="right"/>
        <w:ind w:right="3679"/>
        <w:spacing w:after="0"/>
        <w:rPr>
          <w:sz w:val="20"/>
          <w:szCs w:val="20"/>
          <w:color w:val="auto"/>
        </w:rPr>
      </w:pPr>
      <w:r>
        <w:rPr>
          <w:rFonts w:ascii="Arial" w:cs="Arial" w:eastAsia="Arial" w:hAnsi="Arial"/>
          <w:sz w:val="18"/>
          <w:szCs w:val="18"/>
          <w:b w:val="1"/>
          <w:bCs w:val="1"/>
          <w:color w:val="auto"/>
        </w:rPr>
        <w:t>SIGNATURE PAGES</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Agent</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CITICORP INTERNATIONAL LIMITED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Edmond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9">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Name: Edmond Pang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301" w:name="page302"/>
    <w:bookmarkEnd w:id="301"/>
    <w:p>
      <w:pPr>
        <w:ind w:left="100"/>
        <w:spacing w:after="0"/>
        <w:rPr>
          <w:sz w:val="20"/>
          <w:szCs w:val="20"/>
          <w:color w:val="auto"/>
        </w:rPr>
      </w:pPr>
      <w:r>
        <w:rPr>
          <w:rFonts w:ascii="Arial" w:cs="Arial" w:eastAsia="Arial" w:hAnsi="Arial"/>
          <w:sz w:val="18"/>
          <w:szCs w:val="18"/>
          <w:b w:val="1"/>
          <w:bCs w:val="1"/>
          <w:u w:val="single" w:color="auto"/>
          <w:color w:val="auto"/>
        </w:rPr>
        <w:t>Borrower</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NETEASE,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YANG Zhaoxuan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1">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Name: YANG Zhaoxuan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Title: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726948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4.58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Agreement of Assignment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This Supplementary Agreement of Assignment (</w:t>
      </w:r>
      <w:r>
        <w:rPr>
          <w:rFonts w:ascii="Arial" w:cs="Arial" w:eastAsia="Arial" w:hAnsi="Arial"/>
          <w:sz w:val="17"/>
          <w:szCs w:val="17"/>
          <w:b w:val="1"/>
          <w:bCs w:val="1"/>
          <w:color w:val="auto"/>
        </w:rPr>
        <w:t>Supplementary Agreement)</w:t>
      </w:r>
      <w:r>
        <w:rPr>
          <w:rFonts w:ascii="Arial" w:cs="Arial" w:eastAsia="Arial" w:hAnsi="Arial"/>
          <w:sz w:val="17"/>
          <w:szCs w:val="17"/>
          <w:color w:val="auto"/>
        </w:rPr>
        <w:t xml:space="preserve"> is entered into as of April 18, 2019 by and between the following parties: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91"/>
              <w:spacing w:after="0"/>
              <w:rPr>
                <w:sz w:val="20"/>
                <w:szCs w:val="20"/>
                <w:color w:val="auto"/>
              </w:rPr>
            </w:pPr>
            <w:r>
              <w:rPr>
                <w:rFonts w:ascii="Arial" w:cs="Arial" w:eastAsia="Arial" w:hAnsi="Arial"/>
                <w:sz w:val="18"/>
                <w:szCs w:val="18"/>
                <w:color w:val="auto"/>
                <w:w w:val="90"/>
              </w:rPr>
              <w:t>(1)</w:t>
            </w:r>
          </w:p>
        </w:tc>
        <w:tc>
          <w:tcPr>
            <w:tcW w:w="4520" w:type="dxa"/>
            <w:vAlign w:val="bottom"/>
          </w:tcPr>
          <w:p>
            <w:pPr>
              <w:ind w:left="1260"/>
              <w:spacing w:after="0"/>
              <w:rPr>
                <w:sz w:val="20"/>
                <w:szCs w:val="20"/>
                <w:color w:val="auto"/>
              </w:rPr>
            </w:pPr>
            <w:r>
              <w:rPr>
                <w:rFonts w:ascii="Arial" w:cs="Arial" w:eastAsia="Arial" w:hAnsi="Arial"/>
                <w:sz w:val="18"/>
                <w:szCs w:val="18"/>
                <w:color w:val="auto"/>
              </w:rPr>
              <w:t>with its registered address at</w:t>
            </w:r>
          </w:p>
        </w:tc>
        <w:tc>
          <w:tcPr>
            <w:tcW w:w="1060" w:type="dxa"/>
            <w:vAlign w:val="bottom"/>
          </w:tcPr>
          <w:p>
            <w:pPr>
              <w:jc w:val="right"/>
              <w:spacing w:after="0"/>
              <w:rPr>
                <w:sz w:val="20"/>
                <w:szCs w:val="20"/>
                <w:color w:val="auto"/>
              </w:rPr>
            </w:pPr>
            <w:r>
              <w:rPr>
                <w:rFonts w:ascii="Arial" w:cs="Arial" w:eastAsia="Arial" w:hAnsi="Arial"/>
                <w:sz w:val="18"/>
                <w:szCs w:val="18"/>
                <w:color w:val="auto"/>
              </w:rPr>
              <w:t>599 4</w:t>
            </w:r>
          </w:p>
        </w:tc>
        <w:tc>
          <w:tcPr>
            <w:tcW w:w="1780" w:type="dxa"/>
            <w:vAlign w:val="bottom"/>
          </w:tcPr>
          <w:p>
            <w:pPr>
              <w:ind w:left="20"/>
              <w:spacing w:after="0"/>
              <w:rPr>
                <w:sz w:val="20"/>
                <w:szCs w:val="20"/>
                <w:color w:val="auto"/>
              </w:rPr>
            </w:pPr>
            <w:r>
              <w:rPr>
                <w:rFonts w:ascii="Arial" w:cs="Arial" w:eastAsia="Arial" w:hAnsi="Arial"/>
                <w:sz w:val="18"/>
                <w:szCs w:val="18"/>
                <w:color w:val="auto"/>
              </w:rPr>
              <w:t>7 (</w:t>
            </w:r>
            <w:r>
              <w:rPr>
                <w:rFonts w:ascii="Arial" w:cs="Arial" w:eastAsia="Arial" w:hAnsi="Arial"/>
                <w:sz w:val="18"/>
                <w:szCs w:val="18"/>
                <w:b w:val="1"/>
                <w:bCs w:val="1"/>
                <w:color w:val="auto"/>
              </w:rPr>
              <w:t>Party A</w:t>
            </w:r>
            <w:r>
              <w:rPr>
                <w:rFonts w:ascii="Arial" w:cs="Arial" w:eastAsia="Arial" w:hAnsi="Arial"/>
                <w:sz w:val="18"/>
                <w:szCs w:val="18"/>
                <w:color w:val="auto"/>
              </w:rPr>
              <w:t>);</w:t>
            </w:r>
          </w:p>
        </w:tc>
      </w:tr>
      <w:tr>
        <w:trPr>
          <w:trHeight w:val="426"/>
        </w:trPr>
        <w:tc>
          <w:tcPr>
            <w:tcW w:w="400" w:type="dxa"/>
            <w:vAlign w:val="bottom"/>
          </w:tcPr>
          <w:p>
            <w:pPr>
              <w:jc w:val="right"/>
              <w:ind w:right="91"/>
              <w:spacing w:after="0"/>
              <w:rPr>
                <w:sz w:val="20"/>
                <w:szCs w:val="20"/>
                <w:color w:val="auto"/>
              </w:rPr>
            </w:pPr>
            <w:r>
              <w:rPr>
                <w:rFonts w:ascii="Arial" w:cs="Arial" w:eastAsia="Arial" w:hAnsi="Arial"/>
                <w:sz w:val="18"/>
                <w:szCs w:val="18"/>
                <w:color w:val="auto"/>
                <w:w w:val="90"/>
              </w:rPr>
              <w:t>(2)</w:t>
            </w:r>
          </w:p>
        </w:tc>
        <w:tc>
          <w:tcPr>
            <w:tcW w:w="4520" w:type="dxa"/>
            <w:vAlign w:val="bottom"/>
          </w:tcPr>
          <w:p>
            <w:pPr>
              <w:ind w:left="1260"/>
              <w:spacing w:after="0"/>
              <w:rPr>
                <w:sz w:val="20"/>
                <w:szCs w:val="20"/>
                <w:color w:val="auto"/>
              </w:rPr>
            </w:pPr>
            <w:r>
              <w:rPr>
                <w:rFonts w:ascii="Arial" w:cs="Arial" w:eastAsia="Arial" w:hAnsi="Arial"/>
                <w:sz w:val="18"/>
                <w:szCs w:val="18"/>
                <w:color w:val="auto"/>
              </w:rPr>
              <w:t>with its registered address at</w:t>
            </w:r>
          </w:p>
        </w:tc>
        <w:tc>
          <w:tcPr>
            <w:tcW w:w="1060" w:type="dxa"/>
            <w:vAlign w:val="bottom"/>
          </w:tcPr>
          <w:p>
            <w:pPr>
              <w:jc w:val="right"/>
              <w:spacing w:after="0"/>
              <w:rPr>
                <w:sz w:val="20"/>
                <w:szCs w:val="20"/>
                <w:color w:val="auto"/>
              </w:rPr>
            </w:pPr>
            <w:r>
              <w:rPr>
                <w:rFonts w:ascii="Arial" w:cs="Arial" w:eastAsia="Arial" w:hAnsi="Arial"/>
                <w:sz w:val="18"/>
                <w:szCs w:val="18"/>
                <w:color w:val="auto"/>
              </w:rPr>
              <w:t>599 4 702</w:t>
            </w:r>
          </w:p>
        </w:tc>
        <w:tc>
          <w:tcPr>
            <w:tcW w:w="178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 B</w:t>
            </w:r>
            <w:r>
              <w:rPr>
                <w:rFonts w:ascii="Arial" w:cs="Arial" w:eastAsia="Arial" w:hAnsi="Arial"/>
                <w:sz w:val="18"/>
                <w:szCs w:val="18"/>
                <w:color w:val="auto"/>
              </w:rPr>
              <w:t>);</w:t>
            </w:r>
          </w:p>
        </w:tc>
      </w:tr>
      <w:tr>
        <w:trPr>
          <w:trHeight w:val="426"/>
        </w:trPr>
        <w:tc>
          <w:tcPr>
            <w:tcW w:w="400" w:type="dxa"/>
            <w:vAlign w:val="bottom"/>
          </w:tcPr>
          <w:p>
            <w:pPr>
              <w:jc w:val="right"/>
              <w:ind w:right="91"/>
              <w:spacing w:after="0"/>
              <w:rPr>
                <w:sz w:val="20"/>
                <w:szCs w:val="20"/>
                <w:color w:val="auto"/>
              </w:rPr>
            </w:pPr>
            <w:r>
              <w:rPr>
                <w:rFonts w:ascii="Arial" w:cs="Arial" w:eastAsia="Arial" w:hAnsi="Arial"/>
                <w:sz w:val="18"/>
                <w:szCs w:val="18"/>
                <w:color w:val="auto"/>
                <w:w w:val="90"/>
              </w:rPr>
              <w:t>(3)</w:t>
            </w:r>
          </w:p>
        </w:tc>
        <w:tc>
          <w:tcPr>
            <w:tcW w:w="4520" w:type="dxa"/>
            <w:vAlign w:val="bottom"/>
          </w:tcPr>
          <w:p>
            <w:pPr>
              <w:ind w:left="300"/>
              <w:spacing w:after="0"/>
              <w:rPr>
                <w:sz w:val="20"/>
                <w:szCs w:val="20"/>
                <w:color w:val="auto"/>
              </w:rPr>
            </w:pPr>
            <w:r>
              <w:rPr>
                <w:rFonts w:ascii="Arial" w:cs="Arial" w:eastAsia="Arial" w:hAnsi="Arial"/>
                <w:sz w:val="18"/>
                <w:szCs w:val="18"/>
                <w:color w:val="auto"/>
                <w:w w:val="93"/>
              </w:rPr>
              <w:t>, whose ID number is 330106197812210436, residing at</w:t>
            </w:r>
          </w:p>
        </w:tc>
        <w:tc>
          <w:tcPr>
            <w:tcW w:w="1060" w:type="dxa"/>
            <w:vAlign w:val="bottom"/>
          </w:tcPr>
          <w:p>
            <w:pPr>
              <w:spacing w:after="0"/>
              <w:rPr>
                <w:sz w:val="24"/>
                <w:szCs w:val="24"/>
                <w:color w:val="auto"/>
              </w:rPr>
            </w:pPr>
          </w:p>
        </w:tc>
        <w:tc>
          <w:tcPr>
            <w:tcW w:w="1780" w:type="dxa"/>
            <w:vAlign w:val="bottom"/>
          </w:tcPr>
          <w:p>
            <w:pPr>
              <w:ind w:left="680"/>
              <w:spacing w:after="0"/>
              <w:rPr>
                <w:sz w:val="20"/>
                <w:szCs w:val="20"/>
                <w:color w:val="auto"/>
              </w:rPr>
            </w:pPr>
            <w:r>
              <w:rPr>
                <w:rFonts w:ascii="Arial" w:cs="Arial" w:eastAsia="Arial" w:hAnsi="Arial"/>
                <w:sz w:val="18"/>
                <w:szCs w:val="18"/>
                <w:color w:val="auto"/>
                <w:w w:val="98"/>
              </w:rPr>
              <w:t>14  (</w:t>
            </w:r>
            <w:r>
              <w:rPr>
                <w:rFonts w:ascii="Arial" w:cs="Arial" w:eastAsia="Arial" w:hAnsi="Arial"/>
                <w:sz w:val="18"/>
                <w:szCs w:val="18"/>
                <w:b w:val="1"/>
                <w:bCs w:val="1"/>
                <w:color w:val="auto"/>
                <w:w w:val="98"/>
              </w:rPr>
              <w:t>Party C</w:t>
            </w:r>
            <w:r>
              <w:rPr>
                <w:rFonts w:ascii="Arial" w:cs="Arial" w:eastAsia="Arial" w:hAnsi="Arial"/>
                <w:sz w:val="18"/>
                <w:szCs w:val="18"/>
                <w:color w:val="auto"/>
                <w:w w:val="98"/>
              </w:rPr>
              <w:t>);</w:t>
            </w:r>
          </w:p>
        </w:tc>
      </w:tr>
      <w:tr>
        <w:trPr>
          <w:trHeight w:val="426"/>
        </w:trPr>
        <w:tc>
          <w:tcPr>
            <w:tcW w:w="400" w:type="dxa"/>
            <w:vAlign w:val="bottom"/>
          </w:tcPr>
          <w:p>
            <w:pPr>
              <w:jc w:val="right"/>
              <w:ind w:right="91"/>
              <w:spacing w:after="0"/>
              <w:rPr>
                <w:sz w:val="20"/>
                <w:szCs w:val="20"/>
                <w:color w:val="auto"/>
              </w:rPr>
            </w:pPr>
            <w:r>
              <w:rPr>
                <w:rFonts w:ascii="Arial" w:cs="Arial" w:eastAsia="Arial" w:hAnsi="Arial"/>
                <w:sz w:val="18"/>
                <w:szCs w:val="18"/>
                <w:color w:val="auto"/>
                <w:w w:val="90"/>
              </w:rPr>
              <w:t>(4)</w:t>
            </w:r>
          </w:p>
        </w:tc>
        <w:tc>
          <w:tcPr>
            <w:tcW w:w="4520" w:type="dxa"/>
            <w:vAlign w:val="bottom"/>
          </w:tcPr>
          <w:p>
            <w:pPr>
              <w:ind w:left="300"/>
              <w:spacing w:after="0"/>
              <w:rPr>
                <w:sz w:val="20"/>
                <w:szCs w:val="20"/>
                <w:color w:val="auto"/>
              </w:rPr>
            </w:pPr>
            <w:r>
              <w:rPr>
                <w:rFonts w:ascii="Arial" w:cs="Arial" w:eastAsia="Arial" w:hAnsi="Arial"/>
                <w:sz w:val="18"/>
                <w:szCs w:val="18"/>
                <w:color w:val="auto"/>
                <w:w w:val="93"/>
              </w:rPr>
              <w:t>, whose ID number is 330206198210210412, residing at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17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 D</w:t>
            </w:r>
            <w:r>
              <w:rPr>
                <w:rFonts w:ascii="Arial" w:cs="Arial" w:eastAsia="Arial" w:hAnsi="Arial"/>
                <w:sz w:val="18"/>
                <w:szCs w:val="18"/>
                <w:color w:val="auto"/>
              </w:rPr>
              <w:t>);</w:t>
            </w:r>
          </w:p>
        </w:tc>
      </w:tr>
      <w:tr>
        <w:trPr>
          <w:trHeight w:val="426"/>
        </w:trPr>
        <w:tc>
          <w:tcPr>
            <w:tcW w:w="400" w:type="dxa"/>
            <w:vAlign w:val="bottom"/>
          </w:tcPr>
          <w:p>
            <w:pPr>
              <w:jc w:val="right"/>
              <w:ind w:right="91"/>
              <w:spacing w:after="0"/>
              <w:rPr>
                <w:sz w:val="20"/>
                <w:szCs w:val="20"/>
                <w:color w:val="auto"/>
              </w:rPr>
            </w:pPr>
            <w:r>
              <w:rPr>
                <w:rFonts w:ascii="Arial" w:cs="Arial" w:eastAsia="Arial" w:hAnsi="Arial"/>
                <w:sz w:val="18"/>
                <w:szCs w:val="18"/>
                <w:color w:val="auto"/>
                <w:w w:val="90"/>
              </w:rPr>
              <w:t>(5)</w:t>
            </w:r>
          </w:p>
        </w:tc>
        <w:tc>
          <w:tcPr>
            <w:tcW w:w="4520" w:type="dxa"/>
            <w:vAlign w:val="bottom"/>
          </w:tcPr>
          <w:p>
            <w:pPr>
              <w:ind w:left="200"/>
              <w:spacing w:after="0"/>
              <w:rPr>
                <w:sz w:val="20"/>
                <w:szCs w:val="20"/>
                <w:color w:val="auto"/>
              </w:rPr>
            </w:pPr>
            <w:r>
              <w:rPr>
                <w:rFonts w:ascii="Arial" w:cs="Arial" w:eastAsia="Arial" w:hAnsi="Arial"/>
                <w:sz w:val="18"/>
                <w:szCs w:val="18"/>
                <w:color w:val="auto"/>
                <w:w w:val="96"/>
              </w:rPr>
              <w:t>, whose ID number is 330106197905090437, residing at</w:t>
            </w: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178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 E</w:t>
            </w: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Party A, Party B, Party C, Party D and Party E are each referred to as a “Party” and collectively referred to as the “Parties”.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hanging="313"/>
        <w:spacing w:after="0"/>
        <w:tabs>
          <w:tab w:leader="none" w:pos="3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Party A, Party B, Party C and Party D entered into an Operating Agreement (the </w:t>
      </w:r>
      <w:r>
        <w:rPr>
          <w:rFonts w:ascii="Arial" w:cs="Arial" w:eastAsia="Arial" w:hAnsi="Arial"/>
          <w:sz w:val="18"/>
          <w:szCs w:val="18"/>
          <w:b w:val="1"/>
          <w:bCs w:val="1"/>
          <w:color w:val="auto"/>
        </w:rPr>
        <w:t>Operating Agreement</w:t>
      </w:r>
      <w:r>
        <w:rPr>
          <w:rFonts w:ascii="Arial" w:cs="Arial" w:eastAsia="Arial" w:hAnsi="Arial"/>
          <w:sz w:val="18"/>
          <w:szCs w:val="18"/>
          <w:color w:val="auto"/>
        </w:rPr>
        <w:t>) on December 1, 2015;</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Party A and Party D entered into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on December 1, 2015;</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Party A and Party D entered into an Equity Pledge Agreement (the </w:t>
      </w:r>
      <w:r>
        <w:rPr>
          <w:rFonts w:ascii="Arial" w:cs="Arial" w:eastAsia="Arial" w:hAnsi="Arial"/>
          <w:sz w:val="18"/>
          <w:szCs w:val="18"/>
          <w:b w:val="1"/>
          <w:bCs w:val="1"/>
          <w:color w:val="auto"/>
        </w:rPr>
        <w:t>Equity Pledge Agreement</w:t>
      </w:r>
      <w:r>
        <w:rPr>
          <w:rFonts w:ascii="Arial" w:cs="Arial" w:eastAsia="Arial" w:hAnsi="Arial"/>
          <w:sz w:val="18"/>
          <w:szCs w:val="18"/>
          <w:color w:val="auto"/>
        </w:rPr>
        <w:t>) on December 1, 2015;</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Party A, Party B and Party D entered into an Exclusive Purchase Option Agreement (the </w:t>
      </w:r>
      <w:r>
        <w:rPr>
          <w:rFonts w:ascii="Arial" w:cs="Arial" w:eastAsia="Arial" w:hAnsi="Arial"/>
          <w:sz w:val="16"/>
          <w:szCs w:val="16"/>
          <w:b w:val="1"/>
          <w:bCs w:val="1"/>
          <w:color w:val="auto"/>
        </w:rPr>
        <w:t>Exclusive Purchase Option Agreement</w:t>
      </w:r>
      <w:r>
        <w:rPr>
          <w:rFonts w:ascii="Arial" w:cs="Arial" w:eastAsia="Arial" w:hAnsi="Arial"/>
          <w:sz w:val="16"/>
          <w:szCs w:val="16"/>
          <w:color w:val="auto"/>
        </w:rPr>
        <w:t>) on December 1, 2015;</w:t>
      </w:r>
    </w:p>
    <w:p>
      <w:pPr>
        <w:spacing w:after="0" w:line="242" w:lineRule="exact"/>
        <w:rPr>
          <w:rFonts w:ascii="Arial" w:cs="Arial" w:eastAsia="Arial" w:hAnsi="Arial"/>
          <w:sz w:val="16"/>
          <w:szCs w:val="16"/>
          <w:color w:val="auto"/>
        </w:rPr>
      </w:pPr>
    </w:p>
    <w:p>
      <w:pPr>
        <w:ind w:left="320" w:right="340" w:hanging="313"/>
        <w:spacing w:after="0" w:line="338" w:lineRule="auto"/>
        <w:tabs>
          <w:tab w:leader="none" w:pos="3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Party A and Party D entered into a Shareholder Voting Right Trust Agreement (the </w:t>
      </w:r>
      <w:r>
        <w:rPr>
          <w:rFonts w:ascii="Arial" w:cs="Arial" w:eastAsia="Arial" w:hAnsi="Arial"/>
          <w:sz w:val="16"/>
          <w:szCs w:val="16"/>
          <w:b w:val="1"/>
          <w:bCs w:val="1"/>
          <w:color w:val="auto"/>
        </w:rPr>
        <w:t>Shareholder Voting Right Trust Agreement,</w:t>
      </w:r>
      <w:r>
        <w:rPr>
          <w:rFonts w:ascii="Arial" w:cs="Arial" w:eastAsia="Arial" w:hAnsi="Arial"/>
          <w:sz w:val="16"/>
          <w:szCs w:val="16"/>
          <w:color w:val="auto"/>
        </w:rPr>
        <w:t xml:space="preserve"> together with the Operating Agreement, the Equity Pledge Agreement, and the Exclusive Purchase Option Agreement, the </w:t>
      </w:r>
      <w:r>
        <w:rPr>
          <w:rFonts w:ascii="Arial" w:cs="Arial" w:eastAsia="Arial" w:hAnsi="Arial"/>
          <w:sz w:val="16"/>
          <w:szCs w:val="16"/>
          <w:b w:val="1"/>
          <w:bCs w:val="1"/>
          <w:color w:val="auto"/>
        </w:rPr>
        <w:t>Original Agreements</w:t>
      </w:r>
      <w:r>
        <w:rPr>
          <w:rFonts w:ascii="Arial" w:cs="Arial" w:eastAsia="Arial" w:hAnsi="Arial"/>
          <w:sz w:val="16"/>
          <w:szCs w:val="16"/>
          <w:color w:val="auto"/>
        </w:rPr>
        <w:t>) on December 1, 2015;</w:t>
      </w:r>
    </w:p>
    <w:p>
      <w:pPr>
        <w:spacing w:after="0" w:line="127" w:lineRule="exact"/>
        <w:rPr>
          <w:rFonts w:ascii="Arial" w:cs="Arial" w:eastAsia="Arial" w:hAnsi="Arial"/>
          <w:sz w:val="16"/>
          <w:szCs w:val="16"/>
          <w:color w:val="auto"/>
        </w:rPr>
      </w:pPr>
    </w:p>
    <w:p>
      <w:pPr>
        <w:ind w:left="320" w:right="180" w:hanging="313"/>
        <w:spacing w:after="0" w:line="267" w:lineRule="auto"/>
        <w:tabs>
          <w:tab w:leader="none" w:pos="3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Party D held 50% of the equity interest in Party B and entered into a Share Transfer Agreement on April 18, 2019, in which Party D would transfer all his equity interest in Party B to Party E and Party E would held 50% of the equity interest in Party B afterwards.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 through friendly negotiation, the Parties agree that Party D would assign all its rights and obligations under the Original Agreements to Party 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26948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3" w:name="page304"/>
    <w:bookmarkEnd w:id="303"/>
    <w:p>
      <w:pPr>
        <w:ind w:left="513" w:right="40" w:hanging="513"/>
        <w:spacing w:after="0" w:line="330" w:lineRule="auto"/>
        <w:tabs>
          <w:tab w:leader="none" w:pos="516" w:val="left"/>
        </w:tabs>
        <w:numPr>
          <w:ilvl w:val="0"/>
          <w:numId w:val="470"/>
        </w:numPr>
        <w:rPr>
          <w:rFonts w:ascii="Arial" w:cs="Arial" w:eastAsia="Arial" w:hAnsi="Arial"/>
          <w:sz w:val="16"/>
          <w:szCs w:val="16"/>
          <w:color w:val="auto"/>
        </w:rPr>
      </w:pPr>
      <w:r>
        <w:rPr>
          <w:rFonts w:ascii="Arial" w:cs="Arial" w:eastAsia="Arial" w:hAnsi="Arial"/>
          <w:sz w:val="16"/>
          <w:szCs w:val="16"/>
          <w:color w:val="auto"/>
        </w:rPr>
        <w:t>The Parties hereby agree and acknowledge that, commencing from 12:00 a.m., April 18, 2019, all and any rights and obligations of Party D under the Original Agreements shall be assigned to Party E and Party D would not enjoy any rights or assume any obligations thereto any longer.</w:t>
      </w:r>
    </w:p>
    <w:p>
      <w:pPr>
        <w:spacing w:after="0" w:line="133" w:lineRule="exact"/>
        <w:rPr>
          <w:rFonts w:ascii="Arial" w:cs="Arial" w:eastAsia="Arial" w:hAnsi="Arial"/>
          <w:sz w:val="16"/>
          <w:szCs w:val="16"/>
          <w:color w:val="auto"/>
        </w:rPr>
      </w:pPr>
    </w:p>
    <w:p>
      <w:pPr>
        <w:ind w:left="513" w:right="60" w:hanging="513"/>
        <w:spacing w:after="0" w:line="296" w:lineRule="auto"/>
        <w:tabs>
          <w:tab w:leader="none" w:pos="516"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This Supplementary Agreement, together with the Original Agreements, constitutes an entire agreement regarding the subject matters thereof. Unless otherwise explicitly provided herein, the validity of other parts or clauses of the Original Agreements shall be unaffected.</w:t>
      </w:r>
    </w:p>
    <w:p>
      <w:pPr>
        <w:spacing w:after="0" w:line="157" w:lineRule="exact"/>
        <w:rPr>
          <w:rFonts w:ascii="Arial" w:cs="Arial" w:eastAsia="Arial" w:hAnsi="Arial"/>
          <w:sz w:val="17"/>
          <w:szCs w:val="17"/>
          <w:color w:val="auto"/>
        </w:rPr>
      </w:pPr>
    </w:p>
    <w:p>
      <w:pPr>
        <w:ind w:left="513" w:hanging="513"/>
        <w:spacing w:after="0"/>
        <w:tabs>
          <w:tab w:leader="none" w:pos="513"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This Supplementary Agreement shall become effective upon being executed and sealed by the Parties.</w:t>
      </w:r>
    </w:p>
    <w:p>
      <w:pPr>
        <w:spacing w:after="0" w:line="219" w:lineRule="exact"/>
        <w:rPr>
          <w:rFonts w:ascii="Arial" w:cs="Arial" w:eastAsia="Arial" w:hAnsi="Arial"/>
          <w:sz w:val="18"/>
          <w:szCs w:val="18"/>
          <w:color w:val="auto"/>
        </w:rPr>
      </w:pPr>
    </w:p>
    <w:p>
      <w:pPr>
        <w:jc w:val="center"/>
        <w:ind w:left="4133" w:hanging="4133"/>
        <w:spacing w:after="0" w:line="514" w:lineRule="auto"/>
        <w:tabs>
          <w:tab w:leader="none" w:pos="51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This Supplementary Agreement shall be executed in five (5) counterparts, each of which shall have equal legal force, with each Party keeping one (1). [</w:t>
      </w:r>
      <w:r>
        <w:rPr>
          <w:rFonts w:ascii="Arial" w:cs="Arial" w:eastAsia="Arial" w:hAnsi="Arial"/>
          <w:sz w:val="18"/>
          <w:szCs w:val="18"/>
          <w:i w:val="1"/>
          <w:iCs w:val="1"/>
          <w:color w:val="auto"/>
        </w:rPr>
        <w:t>The space below is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6948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173"/>
          </w:cols>
          <w:pgMar w:left="247" w:top="340" w:right="479" w:bottom="1440" w:gutter="0" w:footer="0" w:header="0"/>
        </w:sectPr>
      </w:pPr>
    </w:p>
    <w:bookmarkStart w:id="304" w:name="page305"/>
    <w:bookmarkEnd w:id="304"/>
    <w:p>
      <w:pPr>
        <w:spacing w:after="0" w:line="274"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or caused this Supplementary Agreement to be executed by their duly authorized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 and On Behalf of</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Party 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Party C:</w:t>
      </w: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Zhipeng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11430</wp:posOffset>
            </wp:positionV>
            <wp:extent cx="33242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5">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Party D:</w:t>
      </w: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Tianlei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11430</wp:posOffset>
            </wp:positionV>
            <wp:extent cx="33242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6">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Party E:</w:t>
      </w: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Long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11430</wp:posOffset>
            </wp:positionV>
            <wp:extent cx="33242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7">
                      <a:extLst>
                        <a:ext uri="{28A0092B-C50C-407E-A947-70E740481C1C}"/>
                      </a:extLst>
                    </a:blip>
                    <a:srcRect/>
                    <a:stretch>
                      <a:fillRect/>
                    </a:stretch>
                  </pic:blipFill>
                  <pic:spPr bwMode="auto">
                    <a:xfrm>
                      <a:off x="0" y="0"/>
                      <a:ext cx="3324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220980</wp:posOffset>
            </wp:positionV>
            <wp:extent cx="726948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280"/>
          </w:cols>
          <w:pgMar w:left="240" w:top="334" w:right="379" w:bottom="1440" w:gutter="0" w:footer="0" w:header="0"/>
        </w:sectPr>
      </w:pPr>
    </w:p>
    <w:bookmarkStart w:id="305" w:name="page306"/>
    <w:bookmarkEnd w:id="305"/>
    <w:p>
      <w:pPr>
        <w:ind w:left="10600"/>
        <w:spacing w:after="0"/>
        <w:rPr>
          <w:sz w:val="20"/>
          <w:szCs w:val="20"/>
          <w:color w:val="auto"/>
        </w:rPr>
      </w:pPr>
      <w:r>
        <w:rPr>
          <w:rFonts w:ascii="Arial" w:cs="Arial" w:eastAsia="Arial" w:hAnsi="Arial"/>
          <w:sz w:val="17"/>
          <w:szCs w:val="17"/>
          <w:b w:val="1"/>
          <w:bCs w:val="1"/>
          <w:color w:val="auto"/>
        </w:rPr>
        <w:t>Exhibit 8.1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SUBSIDIARIES AND VARIABLE INTEREST ENTITIES OF NETEASE,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Subsidiaries:</w:t>
            </w:r>
          </w:p>
        </w:tc>
        <w:tc>
          <w:tcPr>
            <w:tcW w:w="19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20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Jurisdiction of Incorporation</w:t>
            </w:r>
          </w:p>
        </w:tc>
        <w:tc>
          <w:tcPr>
            <w:tcW w:w="40" w:type="dxa"/>
            <w:vAlign w:val="bottom"/>
          </w:tcPr>
          <w:p>
            <w:pPr>
              <w:spacing w:after="0"/>
              <w:rPr>
                <w:sz w:val="14"/>
                <w:szCs w:val="14"/>
                <w:color w:val="auto"/>
              </w:rPr>
            </w:pPr>
          </w:p>
        </w:tc>
      </w:tr>
      <w:tr>
        <w:trPr>
          <w:trHeight w:val="20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Interactive Entertainment Limited</w:t>
            </w:r>
          </w:p>
        </w:tc>
        <w:tc>
          <w:tcPr>
            <w:tcW w:w="1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40" w:type="dxa"/>
            <w:vAlign w:val="bottom"/>
          </w:tcPr>
          <w:p>
            <w:pPr>
              <w:spacing w:after="0"/>
              <w:rPr>
                <w:sz w:val="17"/>
                <w:szCs w:val="17"/>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Media, Inc.</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HQG, Inc.</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Youdao, Inc.</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E-commerce, Inc. (previously named Yanxuan, Inc.)</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NetEse Yanxuan, Inc. (previously named Miaode.com, Inc.)</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Cloud Village Inc.</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(Hong Kong)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Hong Kong NetEase Interactive Entertainment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Media (Hong Kong)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HQG,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Youdao (Hong Kong)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Yanxuan (Hong Kong)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Cloud Village Limited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Hangzhou Langhe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(Hangzhou) Network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Media Technology (Beijing)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Hangzhou Youmai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NetEase Kaola (Hangzhou)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Hangzhou NetEase Yanxuan Trading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Hangzhou NetEase Zaigu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Tianjin Wang Zhi Yi Innovation and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Hangzhou NetEase Cloud Music Technology Co., Ltd.</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40" w:type="dxa"/>
            <w:vAlign w:val="bottom"/>
          </w:tcPr>
          <w:p>
            <w:pPr>
              <w:spacing w:after="0"/>
              <w:rPr>
                <w:sz w:val="18"/>
                <w:szCs w:val="18"/>
                <w:color w:val="auto"/>
              </w:rPr>
            </w:pPr>
          </w:p>
        </w:tc>
      </w:tr>
      <w:tr>
        <w:trPr>
          <w:trHeight w:val="425"/>
        </w:trPr>
        <w:tc>
          <w:tcPr>
            <w:tcW w:w="5040" w:type="dxa"/>
            <w:vAlign w:val="bottom"/>
          </w:tcPr>
          <w:p>
            <w:pPr>
              <w:spacing w:after="0"/>
              <w:rPr>
                <w:sz w:val="24"/>
                <w:szCs w:val="24"/>
                <w:color w:val="auto"/>
              </w:rPr>
            </w:pPr>
          </w:p>
        </w:tc>
        <w:tc>
          <w:tcPr>
            <w:tcW w:w="1900" w:type="dxa"/>
            <w:vAlign w:val="bottom"/>
          </w:tcPr>
          <w:p>
            <w:pPr>
              <w:jc w:val="right"/>
              <w:ind w:right="1091"/>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504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169"/>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Variable Interest Entities:</w:t>
            </w:r>
          </w:p>
        </w:tc>
        <w:tc>
          <w:tcPr>
            <w:tcW w:w="4200" w:type="dxa"/>
            <w:vAlign w:val="bottom"/>
          </w:tcPr>
          <w:p>
            <w:pPr>
              <w:ind w:left="1220"/>
              <w:spacing w:after="0"/>
              <w:rPr>
                <w:sz w:val="20"/>
                <w:szCs w:val="20"/>
                <w:color w:val="auto"/>
              </w:rPr>
            </w:pPr>
            <w:r>
              <w:rPr>
                <w:rFonts w:ascii="Arial" w:cs="Arial" w:eastAsia="Arial" w:hAnsi="Arial"/>
                <w:sz w:val="14"/>
                <w:szCs w:val="14"/>
                <w:b w:val="1"/>
                <w:bCs w:val="1"/>
                <w:color w:val="auto"/>
              </w:rPr>
              <w:t>Jurisdiction of Incorporation</w:t>
            </w:r>
          </w:p>
        </w:tc>
      </w:tr>
      <w:tr>
        <w:trPr>
          <w:trHeight w:val="206"/>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Ltd.(1)</w:t>
            </w:r>
          </w:p>
        </w:tc>
        <w:tc>
          <w:tcPr>
            <w:tcW w:w="28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People’s Republic of China</w:t>
            </w:r>
          </w:p>
        </w:tc>
      </w:tr>
      <w:tr>
        <w:trPr>
          <w:trHeight w:val="213"/>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Beijing NetEase Media Co., Ltd. (previously named Beijing Guangyitong Advertising Co., Ltd.)</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r>
      <w:tr>
        <w:trPr>
          <w:trHeight w:val="213"/>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7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Hangzhou NetEase Leihuo Network Co., Ltd. (previously named Hangzhou Leihuo Network</w:t>
            </w: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People’s Republic of China</w:t>
            </w:r>
          </w:p>
        </w:tc>
      </w:tr>
      <w:tr>
        <w:trPr>
          <w:trHeight w:val="225"/>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Ltd.)</w:t>
            </w:r>
          </w:p>
        </w:tc>
        <w:tc>
          <w:tcPr>
            <w:tcW w:w="4200" w:type="dxa"/>
            <w:vAlign w:val="bottom"/>
            <w:shd w:val="clear" w:color="auto" w:fill="CCEEFF"/>
          </w:tcPr>
          <w:p>
            <w:pPr>
              <w:spacing w:after="0"/>
              <w:rPr>
                <w:sz w:val="19"/>
                <w:szCs w:val="19"/>
                <w:color w:val="auto"/>
              </w:rPr>
            </w:pPr>
          </w:p>
        </w:tc>
      </w:tr>
      <w:tr>
        <w:trPr>
          <w:trHeight w:val="213"/>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NetEase Youdao Computer System Co., Ltd.</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r>
      <w:tr>
        <w:trPr>
          <w:trHeight w:val="213"/>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13"/>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NetEase MineWorld Network Technology Co., Ltd.</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203200</wp:posOffset>
            </wp:positionV>
            <wp:extent cx="18268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1">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right="20" w:hanging="633"/>
        <w:spacing w:after="0" w:line="267" w:lineRule="auto"/>
        <w:tabs>
          <w:tab w:leader="none" w:pos="647" w:val="left"/>
        </w:tabs>
        <w:numPr>
          <w:ilvl w:val="0"/>
          <w:numId w:val="471"/>
        </w:numPr>
        <w:rPr>
          <w:rFonts w:ascii="Arial" w:cs="Arial" w:eastAsia="Arial" w:hAnsi="Arial"/>
          <w:sz w:val="18"/>
          <w:szCs w:val="18"/>
          <w:color w:val="auto"/>
        </w:rPr>
      </w:pPr>
      <w:r>
        <w:rPr>
          <w:rFonts w:ascii="Arial" w:cs="Arial" w:eastAsia="Arial" w:hAnsi="Arial"/>
          <w:sz w:val="18"/>
          <w:szCs w:val="18"/>
          <w:color w:val="auto"/>
        </w:rPr>
        <w:t>Guangzhou NetEase Computer System Co., Ltd. also has a wholly-owned subsidiary, Wangyibao Co., Ltd., which is incorporated under the laws of the People’s Republic of China.</w:t>
      </w:r>
    </w:p>
    <w:p>
      <w:pPr>
        <w:spacing w:after="0" w:line="178" w:lineRule="exact"/>
        <w:rPr>
          <w:rFonts w:ascii="Arial" w:cs="Arial" w:eastAsia="Arial" w:hAnsi="Arial"/>
          <w:sz w:val="18"/>
          <w:szCs w:val="18"/>
          <w:color w:val="auto"/>
        </w:rPr>
      </w:pPr>
    </w:p>
    <w:p>
      <w:pPr>
        <w:ind w:left="640" w:right="200" w:hanging="633"/>
        <w:spacing w:after="0" w:line="251" w:lineRule="auto"/>
        <w:tabs>
          <w:tab w:leader="none" w:pos="647" w:val="left"/>
        </w:tabs>
        <w:numPr>
          <w:ilvl w:val="0"/>
          <w:numId w:val="471"/>
        </w:numPr>
        <w:rPr>
          <w:rFonts w:ascii="Arial" w:cs="Arial" w:eastAsia="Arial" w:hAnsi="Arial"/>
          <w:sz w:val="18"/>
          <w:szCs w:val="18"/>
          <w:color w:val="auto"/>
        </w:rPr>
      </w:pPr>
      <w:r>
        <w:rPr>
          <w:rFonts w:ascii="Arial" w:cs="Arial" w:eastAsia="Arial" w:hAnsi="Arial"/>
          <w:sz w:val="18"/>
          <w:szCs w:val="18"/>
          <w:color w:val="auto"/>
        </w:rPr>
        <w:t>Starting in August 2008, Blizzard Entertainment, Inc. (together with its affiliated companies, referred to as Blizzard) agreed to license certain online games to Shanghai EaseNet Network Technology Co., Ltd. for operation in the PRC. Shanghai EaseNet Network Technology Co., Ltd. is a People’s Republic of China company owned by William Lei Ding, our Chief Executive Officer, director and major shareholder and has contractual arrangements with the joint venture established between, and owned equally by, Blizzard and us, and with us. The joint venture was established concurrently with the licensing of games from Blizzard in August 2008 and provides technical services to Shanghai EaseNet Network Technology Co., Ltd.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948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307" w:name="page308"/>
    <w:bookmarkEnd w:id="307"/>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Lei Ding, certify that:</w:t>
      </w:r>
    </w:p>
    <w:p>
      <w:pPr>
        <w:spacing w:after="0" w:line="219" w:lineRule="exact"/>
        <w:rPr>
          <w:sz w:val="20"/>
          <w:szCs w:val="20"/>
          <w:color w:val="auto"/>
        </w:rPr>
      </w:pPr>
    </w:p>
    <w:p>
      <w:pPr>
        <w:ind w:left="640" w:hanging="633"/>
        <w:spacing w:after="0"/>
        <w:tabs>
          <w:tab w:leader="none" w:pos="6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19" w:lineRule="exact"/>
        <w:rPr>
          <w:rFonts w:ascii="Arial" w:cs="Arial" w:eastAsia="Arial" w:hAnsi="Arial"/>
          <w:sz w:val="18"/>
          <w:szCs w:val="18"/>
          <w:color w:val="auto"/>
        </w:rPr>
      </w:pPr>
    </w:p>
    <w:p>
      <w:pPr>
        <w:jc w:val="both"/>
        <w:ind w:left="640" w:right="480" w:hanging="633"/>
        <w:spacing w:after="0" w:line="257" w:lineRule="auto"/>
        <w:tabs>
          <w:tab w:leader="none" w:pos="6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40" w:right="460" w:hanging="633"/>
        <w:spacing w:after="0" w:line="296" w:lineRule="auto"/>
        <w:tabs>
          <w:tab w:leader="none" w:pos="6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7" w:lineRule="exact"/>
        <w:rPr>
          <w:rFonts w:ascii="Arial" w:cs="Arial" w:eastAsia="Arial" w:hAnsi="Arial"/>
          <w:sz w:val="17"/>
          <w:szCs w:val="17"/>
          <w:color w:val="auto"/>
        </w:rPr>
      </w:pPr>
    </w:p>
    <w:p>
      <w:pPr>
        <w:ind w:left="640" w:right="60" w:hanging="633"/>
        <w:spacing w:after="0" w:line="257" w:lineRule="auto"/>
        <w:tabs>
          <w:tab w:leader="none" w:pos="6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7" w:lineRule="exact"/>
        <w:rPr>
          <w:rFonts w:ascii="Arial" w:cs="Arial" w:eastAsia="Arial" w:hAnsi="Arial"/>
          <w:sz w:val="18"/>
          <w:szCs w:val="18"/>
          <w:color w:val="auto"/>
        </w:rPr>
      </w:pPr>
    </w:p>
    <w:p>
      <w:pPr>
        <w:ind w:left="1280" w:right="100" w:hanging="634"/>
        <w:spacing w:after="0" w:line="257" w:lineRule="auto"/>
        <w:tabs>
          <w:tab w:leader="none" w:pos="1277" w:val="left"/>
        </w:tabs>
        <w:numPr>
          <w:ilvl w:val="1"/>
          <w:numId w:val="4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280" w:right="420" w:hanging="634"/>
        <w:spacing w:after="0" w:line="257" w:lineRule="auto"/>
        <w:tabs>
          <w:tab w:leader="none" w:pos="1287" w:val="left"/>
        </w:tabs>
        <w:numPr>
          <w:ilvl w:val="1"/>
          <w:numId w:val="4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280" w:right="580" w:hanging="634"/>
        <w:spacing w:after="0" w:line="411" w:lineRule="auto"/>
        <w:tabs>
          <w:tab w:leader="none" w:pos="1290" w:val="left"/>
        </w:tabs>
        <w:numPr>
          <w:ilvl w:val="1"/>
          <w:numId w:val="472"/>
        </w:numPr>
        <w:rPr>
          <w:rFonts w:ascii="Arial" w:cs="Arial" w:eastAsia="Arial" w:hAnsi="Arial"/>
          <w:sz w:val="14"/>
          <w:szCs w:val="14"/>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jc w:val="both"/>
        <w:ind w:left="1280" w:right="180" w:hanging="634"/>
        <w:spacing w:after="0" w:line="257" w:lineRule="auto"/>
        <w:tabs>
          <w:tab w:leader="none" w:pos="1287" w:val="left"/>
        </w:tabs>
        <w:numPr>
          <w:ilvl w:val="1"/>
          <w:numId w:val="47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7" w:lineRule="exact"/>
        <w:rPr>
          <w:rFonts w:ascii="Arial" w:cs="Arial" w:eastAsia="Arial" w:hAnsi="Arial"/>
          <w:sz w:val="18"/>
          <w:szCs w:val="18"/>
          <w:color w:val="auto"/>
        </w:rPr>
      </w:pPr>
    </w:p>
    <w:p>
      <w:pPr>
        <w:ind w:left="640" w:right="400" w:hanging="633"/>
        <w:spacing w:after="0" w:line="330" w:lineRule="auto"/>
        <w:tabs>
          <w:tab w:leader="none" w:pos="6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3" w:lineRule="exact"/>
        <w:rPr>
          <w:rFonts w:ascii="Arial" w:cs="Arial" w:eastAsia="Arial" w:hAnsi="Arial"/>
          <w:sz w:val="16"/>
          <w:szCs w:val="16"/>
          <w:color w:val="auto"/>
        </w:rPr>
      </w:pPr>
    </w:p>
    <w:p>
      <w:pPr>
        <w:ind w:left="1280" w:right="820" w:hanging="634"/>
        <w:spacing w:after="0" w:line="330" w:lineRule="auto"/>
        <w:tabs>
          <w:tab w:leader="none" w:pos="1277" w:val="left"/>
        </w:tabs>
        <w:numPr>
          <w:ilvl w:val="1"/>
          <w:numId w:val="4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3" w:lineRule="exact"/>
        <w:rPr>
          <w:rFonts w:ascii="Arial" w:cs="Arial" w:eastAsia="Arial" w:hAnsi="Arial"/>
          <w:sz w:val="16"/>
          <w:szCs w:val="16"/>
          <w:color w:val="auto"/>
        </w:rPr>
      </w:pPr>
    </w:p>
    <w:p>
      <w:pPr>
        <w:ind w:left="1280" w:right="520" w:hanging="634"/>
        <w:spacing w:after="0" w:line="267" w:lineRule="auto"/>
        <w:tabs>
          <w:tab w:leader="none" w:pos="1287"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spacing w:after="0"/>
              <w:rPr>
                <w:sz w:val="20"/>
                <w:szCs w:val="20"/>
                <w:color w:val="auto"/>
              </w:rPr>
            </w:pPr>
            <w:r>
              <w:rPr>
                <w:rFonts w:ascii="Arial" w:cs="Arial" w:eastAsia="Arial" w:hAnsi="Arial"/>
                <w:sz w:val="18"/>
                <w:szCs w:val="18"/>
                <w:color w:val="auto"/>
              </w:rPr>
              <w:t>April 26, 2019</w:t>
            </w:r>
          </w:p>
        </w:tc>
        <w:tc>
          <w:tcPr>
            <w:tcW w:w="5840" w:type="dxa"/>
            <w:vAlign w:val="bottom"/>
          </w:tcPr>
          <w:p>
            <w:pPr>
              <w:spacing w:after="0"/>
              <w:rPr>
                <w:sz w:val="19"/>
                <w:szCs w:val="19"/>
                <w:color w:val="auto"/>
              </w:rPr>
            </w:pPr>
          </w:p>
        </w:tc>
      </w:tr>
      <w:tr>
        <w:trPr>
          <w:trHeight w:val="6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840" w:type="dxa"/>
            <w:vAlign w:val="bottom"/>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840" w:type="dxa"/>
            <w:vAlign w:val="bottom"/>
          </w:tcPr>
          <w:p>
            <w:pPr>
              <w:spacing w:after="0"/>
              <w:rPr>
                <w:sz w:val="16"/>
                <w:szCs w:val="16"/>
                <w:color w:val="auto"/>
              </w:rPr>
            </w:pPr>
          </w:p>
        </w:tc>
      </w:tr>
      <w:tr>
        <w:trPr>
          <w:trHeight w:val="224"/>
        </w:trPr>
        <w:tc>
          <w:tcPr>
            <w:tcW w:w="70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840" w:type="dxa"/>
            <w:vAlign w:val="bottom"/>
          </w:tcPr>
          <w:p>
            <w:pPr>
              <w:spacing w:after="0"/>
              <w:rPr>
                <w:sz w:val="19"/>
                <w:szCs w:val="19"/>
                <w:color w:val="auto"/>
              </w:rPr>
            </w:pPr>
          </w:p>
        </w:tc>
      </w:tr>
      <w:tr>
        <w:trPr>
          <w:trHeight w:val="344"/>
        </w:trPr>
        <w:tc>
          <w:tcPr>
            <w:tcW w:w="7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8" w:name="page309"/>
    <w:bookmarkEnd w:id="308"/>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Zhaoxuan Yang, certify that:</w:t>
      </w:r>
    </w:p>
    <w:p>
      <w:pPr>
        <w:spacing w:after="0" w:line="219" w:lineRule="exact"/>
        <w:rPr>
          <w:sz w:val="20"/>
          <w:szCs w:val="20"/>
          <w:color w:val="auto"/>
        </w:rPr>
      </w:pPr>
    </w:p>
    <w:p>
      <w:pPr>
        <w:ind w:left="640" w:hanging="633"/>
        <w:spacing w:after="0"/>
        <w:tabs>
          <w:tab w:leader="none" w:pos="6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19" w:lineRule="exact"/>
        <w:rPr>
          <w:rFonts w:ascii="Arial" w:cs="Arial" w:eastAsia="Arial" w:hAnsi="Arial"/>
          <w:sz w:val="18"/>
          <w:szCs w:val="18"/>
          <w:color w:val="auto"/>
        </w:rPr>
      </w:pPr>
    </w:p>
    <w:p>
      <w:pPr>
        <w:jc w:val="both"/>
        <w:ind w:left="640" w:right="480" w:hanging="633"/>
        <w:spacing w:after="0" w:line="257" w:lineRule="auto"/>
        <w:tabs>
          <w:tab w:leader="none" w:pos="6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40" w:right="460" w:hanging="633"/>
        <w:spacing w:after="0" w:line="296" w:lineRule="auto"/>
        <w:tabs>
          <w:tab w:leader="none" w:pos="64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7" w:lineRule="exact"/>
        <w:rPr>
          <w:rFonts w:ascii="Arial" w:cs="Arial" w:eastAsia="Arial" w:hAnsi="Arial"/>
          <w:sz w:val="17"/>
          <w:szCs w:val="17"/>
          <w:color w:val="auto"/>
        </w:rPr>
      </w:pPr>
    </w:p>
    <w:p>
      <w:pPr>
        <w:ind w:left="640" w:right="60" w:hanging="633"/>
        <w:spacing w:after="0" w:line="257" w:lineRule="auto"/>
        <w:tabs>
          <w:tab w:leader="none" w:pos="6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7" w:lineRule="exact"/>
        <w:rPr>
          <w:rFonts w:ascii="Arial" w:cs="Arial" w:eastAsia="Arial" w:hAnsi="Arial"/>
          <w:sz w:val="18"/>
          <w:szCs w:val="18"/>
          <w:color w:val="auto"/>
        </w:rPr>
      </w:pPr>
    </w:p>
    <w:p>
      <w:pPr>
        <w:ind w:left="1280" w:right="100" w:hanging="634"/>
        <w:spacing w:after="0" w:line="257" w:lineRule="auto"/>
        <w:tabs>
          <w:tab w:leader="none" w:pos="127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1280" w:right="420" w:hanging="634"/>
        <w:spacing w:after="0" w:line="257" w:lineRule="auto"/>
        <w:tabs>
          <w:tab w:leader="none" w:pos="128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jc w:val="both"/>
        <w:ind w:left="1280" w:right="580" w:hanging="634"/>
        <w:spacing w:after="0" w:line="411" w:lineRule="auto"/>
        <w:tabs>
          <w:tab w:leader="none" w:pos="1290" w:val="left"/>
        </w:tabs>
        <w:numPr>
          <w:ilvl w:val="1"/>
          <w:numId w:val="473"/>
        </w:numPr>
        <w:rPr>
          <w:rFonts w:ascii="Arial" w:cs="Arial" w:eastAsia="Arial" w:hAnsi="Arial"/>
          <w:sz w:val="14"/>
          <w:szCs w:val="14"/>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jc w:val="both"/>
        <w:ind w:left="1280" w:right="180" w:hanging="634"/>
        <w:spacing w:after="0" w:line="257" w:lineRule="auto"/>
        <w:tabs>
          <w:tab w:leader="none" w:pos="128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7" w:lineRule="exact"/>
        <w:rPr>
          <w:rFonts w:ascii="Arial" w:cs="Arial" w:eastAsia="Arial" w:hAnsi="Arial"/>
          <w:sz w:val="18"/>
          <w:szCs w:val="18"/>
          <w:color w:val="auto"/>
        </w:rPr>
      </w:pPr>
    </w:p>
    <w:p>
      <w:pPr>
        <w:ind w:left="640" w:right="400" w:hanging="633"/>
        <w:spacing w:after="0" w:line="330" w:lineRule="auto"/>
        <w:tabs>
          <w:tab w:leader="none" w:pos="64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3" w:lineRule="exact"/>
        <w:rPr>
          <w:rFonts w:ascii="Arial" w:cs="Arial" w:eastAsia="Arial" w:hAnsi="Arial"/>
          <w:sz w:val="16"/>
          <w:szCs w:val="16"/>
          <w:color w:val="auto"/>
        </w:rPr>
      </w:pPr>
    </w:p>
    <w:p>
      <w:pPr>
        <w:ind w:left="1280" w:right="820" w:hanging="634"/>
        <w:spacing w:after="0" w:line="330" w:lineRule="auto"/>
        <w:tabs>
          <w:tab w:leader="none" w:pos="1277" w:val="left"/>
        </w:tabs>
        <w:numPr>
          <w:ilvl w:val="1"/>
          <w:numId w:val="4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3" w:lineRule="exact"/>
        <w:rPr>
          <w:rFonts w:ascii="Arial" w:cs="Arial" w:eastAsia="Arial" w:hAnsi="Arial"/>
          <w:sz w:val="16"/>
          <w:szCs w:val="16"/>
          <w:color w:val="auto"/>
        </w:rPr>
      </w:pPr>
    </w:p>
    <w:p>
      <w:pPr>
        <w:ind w:left="1280" w:right="520" w:hanging="634"/>
        <w:spacing w:after="0" w:line="267" w:lineRule="auto"/>
        <w:tabs>
          <w:tab w:leader="none" w:pos="1287"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spacing w:after="0"/>
              <w:rPr>
                <w:sz w:val="20"/>
                <w:szCs w:val="20"/>
                <w:color w:val="auto"/>
              </w:rPr>
            </w:pPr>
            <w:r>
              <w:rPr>
                <w:rFonts w:ascii="Arial" w:cs="Arial" w:eastAsia="Arial" w:hAnsi="Arial"/>
                <w:sz w:val="18"/>
                <w:szCs w:val="18"/>
                <w:color w:val="auto"/>
              </w:rPr>
              <w:t>April 26, 2019</w:t>
            </w:r>
          </w:p>
        </w:tc>
        <w:tc>
          <w:tcPr>
            <w:tcW w:w="5840" w:type="dxa"/>
            <w:vAlign w:val="bottom"/>
          </w:tcPr>
          <w:p>
            <w:pPr>
              <w:spacing w:after="0"/>
              <w:rPr>
                <w:sz w:val="19"/>
                <w:szCs w:val="19"/>
                <w:color w:val="auto"/>
              </w:rPr>
            </w:pPr>
          </w:p>
        </w:tc>
      </w:tr>
      <w:tr>
        <w:trPr>
          <w:trHeight w:val="6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c>
          <w:tcPr>
            <w:tcW w:w="5840" w:type="dxa"/>
            <w:vAlign w:val="bottom"/>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c>
          <w:tcPr>
            <w:tcW w:w="5840" w:type="dxa"/>
            <w:vAlign w:val="bottom"/>
          </w:tcPr>
          <w:p>
            <w:pPr>
              <w:spacing w:after="0"/>
              <w:rPr>
                <w:sz w:val="16"/>
                <w:szCs w:val="16"/>
                <w:color w:val="auto"/>
              </w:rPr>
            </w:pPr>
          </w:p>
        </w:tc>
      </w:tr>
      <w:tr>
        <w:trPr>
          <w:trHeight w:val="224"/>
        </w:trPr>
        <w:tc>
          <w:tcPr>
            <w:tcW w:w="70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840" w:type="dxa"/>
            <w:vAlign w:val="bottom"/>
          </w:tcPr>
          <w:p>
            <w:pPr>
              <w:spacing w:after="0"/>
              <w:rPr>
                <w:sz w:val="19"/>
                <w:szCs w:val="19"/>
                <w:color w:val="auto"/>
              </w:rPr>
            </w:pPr>
          </w:p>
        </w:tc>
      </w:tr>
      <w:tr>
        <w:trPr>
          <w:trHeight w:val="344"/>
        </w:trPr>
        <w:tc>
          <w:tcPr>
            <w:tcW w:w="7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9" w:name="page310"/>
    <w:bookmarkEnd w:id="309"/>
    <w:p>
      <w:pPr>
        <w:ind w:left="10500"/>
        <w:spacing w:after="0"/>
        <w:rPr>
          <w:sz w:val="20"/>
          <w:szCs w:val="20"/>
          <w:color w:val="auto"/>
        </w:rPr>
      </w:pPr>
      <w:r>
        <w:rPr>
          <w:rFonts w:ascii="Arial" w:cs="Arial" w:eastAsia="Arial" w:hAnsi="Arial"/>
          <w:sz w:val="17"/>
          <w:szCs w:val="17"/>
          <w:b w:val="1"/>
          <w:bCs w:val="1"/>
          <w:color w:val="auto"/>
        </w:rPr>
        <w:t>Exhibit 13.1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2018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88" w:lineRule="exact"/>
        <w:rPr>
          <w:sz w:val="20"/>
          <w:szCs w:val="20"/>
          <w:color w:val="auto"/>
        </w:rPr>
      </w:pPr>
    </w:p>
    <w:p>
      <w:pPr>
        <w:ind w:left="640" w:hanging="633"/>
        <w:spacing w:after="0"/>
        <w:tabs>
          <w:tab w:leader="none" w:pos="64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19" w:lineRule="exact"/>
        <w:rPr>
          <w:rFonts w:ascii="Arial" w:cs="Arial" w:eastAsia="Arial" w:hAnsi="Arial"/>
          <w:sz w:val="18"/>
          <w:szCs w:val="18"/>
          <w:color w:val="auto"/>
        </w:rPr>
      </w:pPr>
    </w:p>
    <w:p>
      <w:pPr>
        <w:ind w:left="640" w:right="120" w:hanging="633"/>
        <w:spacing w:after="0" w:line="267" w:lineRule="auto"/>
        <w:tabs>
          <w:tab w:leader="none" w:pos="64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April 26, 2019</w:t>
            </w:r>
          </w:p>
        </w:tc>
        <w:tc>
          <w:tcPr>
            <w:tcW w:w="5840" w:type="dxa"/>
            <w:vAlign w:val="bottom"/>
          </w:tcPr>
          <w:p>
            <w:pPr>
              <w:spacing w:after="0"/>
              <w:rPr>
                <w:sz w:val="19"/>
                <w:szCs w:val="19"/>
                <w:color w:val="auto"/>
              </w:rPr>
            </w:pPr>
          </w:p>
        </w:tc>
      </w:tr>
      <w:tr>
        <w:trPr>
          <w:trHeight w:val="63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840" w:type="dxa"/>
            <w:vAlign w:val="bottom"/>
          </w:tcPr>
          <w:p>
            <w:pPr>
              <w:spacing w:after="0"/>
              <w:rPr>
                <w:sz w:val="24"/>
                <w:szCs w:val="24"/>
                <w:color w:val="auto"/>
              </w:rPr>
            </w:pP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840" w:type="dxa"/>
            <w:vAlign w:val="bottom"/>
          </w:tcPr>
          <w:p>
            <w:pPr>
              <w:spacing w:after="0"/>
              <w:rPr>
                <w:sz w:val="16"/>
                <w:szCs w:val="16"/>
                <w:color w:val="auto"/>
              </w:rPr>
            </w:pPr>
          </w:p>
        </w:tc>
      </w:t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840" w:type="dxa"/>
            <w:vAlign w:val="bottom"/>
          </w:tcPr>
          <w:p>
            <w:pPr>
              <w:spacing w:after="0"/>
              <w:rPr>
                <w:sz w:val="19"/>
                <w:szCs w:val="19"/>
                <w:color w:val="auto"/>
              </w:rPr>
            </w:pPr>
          </w:p>
        </w:tc>
      </w:tr>
      <w:tr>
        <w:trPr>
          <w:trHeight w:val="344"/>
        </w:trPr>
        <w:tc>
          <w:tcPr>
            <w:tcW w:w="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0" w:name="page311"/>
    <w:bookmarkEnd w:id="310"/>
    <w:p>
      <w:pPr>
        <w:ind w:left="10500"/>
        <w:spacing w:after="0"/>
        <w:rPr>
          <w:sz w:val="20"/>
          <w:szCs w:val="20"/>
          <w:color w:val="auto"/>
        </w:rPr>
      </w:pPr>
      <w:r>
        <w:rPr>
          <w:rFonts w:ascii="Arial" w:cs="Arial" w:eastAsia="Arial" w:hAnsi="Arial"/>
          <w:sz w:val="17"/>
          <w:szCs w:val="17"/>
          <w:b w:val="1"/>
          <w:bCs w:val="1"/>
          <w:color w:val="auto"/>
        </w:rPr>
        <w:t>Exhibit 13.2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In connection with the periodic report of NetEase, Inc. (the “Company”) on Form 20-F for the year ended December 31, 2018 as filed with the Securities and Exchange Commission (the “Report”), I, Charles Zhaoxuan Yang, the Chief Financial Officer of the Company, hereby certify as of the date hereof, solely for purposes of Title 18, Chapter 63, Section 1350 of the United States Code, that to the best of my knowledge:</w:t>
      </w:r>
    </w:p>
    <w:p>
      <w:pPr>
        <w:spacing w:after="0" w:line="171" w:lineRule="exact"/>
        <w:rPr>
          <w:sz w:val="20"/>
          <w:szCs w:val="20"/>
          <w:color w:val="auto"/>
        </w:rPr>
      </w:pPr>
    </w:p>
    <w:p>
      <w:pPr>
        <w:ind w:left="640" w:hanging="633"/>
        <w:spacing w:after="0"/>
        <w:tabs>
          <w:tab w:leader="none" w:pos="64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19" w:lineRule="exact"/>
        <w:rPr>
          <w:rFonts w:ascii="Arial" w:cs="Arial" w:eastAsia="Arial" w:hAnsi="Arial"/>
          <w:sz w:val="18"/>
          <w:szCs w:val="18"/>
          <w:color w:val="auto"/>
        </w:rPr>
      </w:pPr>
    </w:p>
    <w:p>
      <w:pPr>
        <w:ind w:left="640" w:right="120" w:hanging="633"/>
        <w:spacing w:after="0" w:line="267" w:lineRule="auto"/>
        <w:tabs>
          <w:tab w:leader="none" w:pos="64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spacing w:after="0"/>
              <w:rPr>
                <w:sz w:val="20"/>
                <w:szCs w:val="20"/>
                <w:color w:val="auto"/>
              </w:rPr>
            </w:pPr>
            <w:r>
              <w:rPr>
                <w:rFonts w:ascii="Arial" w:cs="Arial" w:eastAsia="Arial" w:hAnsi="Arial"/>
                <w:sz w:val="18"/>
                <w:szCs w:val="18"/>
                <w:color w:val="auto"/>
              </w:rPr>
              <w:t>April 26, 2019</w:t>
            </w:r>
          </w:p>
        </w:tc>
        <w:tc>
          <w:tcPr>
            <w:tcW w:w="5840" w:type="dxa"/>
            <w:vAlign w:val="bottom"/>
          </w:tcPr>
          <w:p>
            <w:pPr>
              <w:spacing w:after="0"/>
              <w:rPr>
                <w:sz w:val="19"/>
                <w:szCs w:val="19"/>
                <w:color w:val="auto"/>
              </w:rPr>
            </w:pPr>
          </w:p>
        </w:tc>
      </w:tr>
      <w:tr>
        <w:trPr>
          <w:trHeight w:val="6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c>
          <w:tcPr>
            <w:tcW w:w="5840" w:type="dxa"/>
            <w:vAlign w:val="bottom"/>
          </w:tcPr>
          <w:p>
            <w:pPr>
              <w:spacing w:after="0"/>
              <w:rPr>
                <w:sz w:val="24"/>
                <w:szCs w:val="24"/>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c>
          <w:tcPr>
            <w:tcW w:w="5840" w:type="dxa"/>
            <w:vAlign w:val="bottom"/>
          </w:tcPr>
          <w:p>
            <w:pPr>
              <w:spacing w:after="0"/>
              <w:rPr>
                <w:sz w:val="16"/>
                <w:szCs w:val="16"/>
                <w:color w:val="auto"/>
              </w:rPr>
            </w:pPr>
          </w:p>
        </w:tc>
      </w:t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840" w:type="dxa"/>
            <w:vAlign w:val="bottom"/>
          </w:tcPr>
          <w:p>
            <w:pPr>
              <w:spacing w:after="0"/>
              <w:rPr>
                <w:sz w:val="19"/>
                <w:szCs w:val="19"/>
                <w:color w:val="auto"/>
              </w:rPr>
            </w:pPr>
          </w:p>
        </w:tc>
      </w:tr>
      <w:tr>
        <w:trPr>
          <w:trHeight w:val="344"/>
        </w:trPr>
        <w:tc>
          <w:tcPr>
            <w:tcW w:w="7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333-100069 and No. 333-164249) of NetEase, Inc. of our report dated April 26, 2019 relating to the financial statements and the effectiveness of internal control over financial reporting, which appears in this Form 20-F.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Zhong Tian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15.3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Building No. 7, West Zone,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Zhongguancun Software Park (Phase II),</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 10 Xibeiwang East Road, Haidian District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Beijing 100193, People’s Republic of China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26 April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NetEase, Inc.</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have acted as legal advisors as to the laws of the Cayman Islands to NetEase, Inc.,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 Exchange Commission of an annual report on Form 20-F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reference of our name under the headings “Taxation” and “Enforcement of Civil Liabilities” in the Form 20-F.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26948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3" w:name="page314"/>
    <w:bookmarkEnd w:id="313"/>
    <w:p>
      <w:pPr>
        <w:jc w:val="right"/>
        <w:ind w:right="40"/>
        <w:spacing w:after="0"/>
        <w:rPr>
          <w:sz w:val="20"/>
          <w:szCs w:val="20"/>
          <w:color w:val="auto"/>
        </w:rPr>
      </w:pPr>
      <w:r>
        <w:rPr>
          <w:rFonts w:ascii="Arial" w:cs="Arial" w:eastAsia="Arial" w:hAnsi="Arial"/>
          <w:sz w:val="18"/>
          <w:szCs w:val="18"/>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150495</wp:posOffset>
            </wp:positionV>
            <wp:extent cx="5269230" cy="3638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3">
                      <a:extLst>
                        <a:ext uri="{28A0092B-C50C-407E-A947-70E740481C1C}"/>
                      </a:extLst>
                    </a:blip>
                    <a:srcRect/>
                    <a:stretch>
                      <a:fillRect/>
                    </a:stretch>
                  </pic:blipFill>
                  <pic:spPr bwMode="auto">
                    <a:xfrm>
                      <a:off x="0" y="0"/>
                      <a:ext cx="5269230"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20/F, China Resources Building</w:t>
      </w:r>
    </w:p>
    <w:p>
      <w:pPr>
        <w:spacing w:after="0" w:line="1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 Jianguomenbei Avenue</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Beijing 100005, PRC</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T: (86-10) 8519-1300</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 (86-10) 8519-1350</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junhebj@junhe.com</w:t>
      </w:r>
    </w:p>
    <w:p>
      <w:pPr>
        <w:spacing w:after="0" w:line="20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April 25,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Building No. 7, West Zone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Zhongguancun Software Park (Phase II)</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No.10 Xibeiwang East Road, Haidian District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Beijing, People’s Republic of China 100193.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Consent of People’s Republic of China Counsel</w:t>
      </w:r>
    </w:p>
    <w:p>
      <w:pPr>
        <w:spacing w:after="0" w:line="21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consent to the reference to our firm under the heading “Enforcement of Civil Liabilities” in the annual report on Form 20-F for the year ended December 31, 2018 of NetEase, Inc. to be filed with the Securities and Exchange Commission in the month of April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JunHe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6283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4">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JunHe LLP</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rPr>
              <w:t>Beijing Head Office</w:t>
            </w:r>
          </w:p>
        </w:tc>
        <w:tc>
          <w:tcPr>
            <w:tcW w:w="2360" w:type="dxa"/>
            <w:vAlign w:val="bottom"/>
          </w:tcPr>
          <w:p>
            <w:pPr>
              <w:ind w:left="460"/>
              <w:spacing w:after="0"/>
              <w:rPr>
                <w:sz w:val="20"/>
                <w:szCs w:val="20"/>
                <w:color w:val="auto"/>
              </w:rPr>
            </w:pPr>
            <w:r>
              <w:rPr>
                <w:rFonts w:ascii="Arial" w:cs="Arial" w:eastAsia="Arial" w:hAnsi="Arial"/>
                <w:sz w:val="14"/>
                <w:szCs w:val="14"/>
                <w:b w:val="1"/>
                <w:bCs w:val="1"/>
                <w:color w:val="auto"/>
              </w:rPr>
              <w:t>Shenzhen Office</w:t>
            </w:r>
          </w:p>
        </w:tc>
        <w:tc>
          <w:tcPr>
            <w:tcW w:w="2340" w:type="dxa"/>
            <w:vAlign w:val="bottom"/>
          </w:tcPr>
          <w:p>
            <w:pPr>
              <w:ind w:left="440"/>
              <w:spacing w:after="0"/>
              <w:rPr>
                <w:sz w:val="20"/>
                <w:szCs w:val="20"/>
                <w:color w:val="auto"/>
              </w:rPr>
            </w:pPr>
            <w:r>
              <w:rPr>
                <w:rFonts w:ascii="Arial" w:cs="Arial" w:eastAsia="Arial" w:hAnsi="Arial"/>
                <w:sz w:val="14"/>
                <w:szCs w:val="14"/>
                <w:b w:val="1"/>
                <w:bCs w:val="1"/>
                <w:color w:val="auto"/>
              </w:rPr>
              <w:t>Dalian Office</w:t>
            </w:r>
          </w:p>
        </w:tc>
        <w:tc>
          <w:tcPr>
            <w:tcW w:w="2260" w:type="dxa"/>
            <w:vAlign w:val="bottom"/>
          </w:tcPr>
          <w:p>
            <w:pPr>
              <w:ind w:left="440"/>
              <w:spacing w:after="0"/>
              <w:rPr>
                <w:sz w:val="20"/>
                <w:szCs w:val="20"/>
                <w:color w:val="auto"/>
              </w:rPr>
            </w:pPr>
            <w:r>
              <w:rPr>
                <w:rFonts w:ascii="Arial" w:cs="Arial" w:eastAsia="Arial" w:hAnsi="Arial"/>
                <w:sz w:val="14"/>
                <w:szCs w:val="14"/>
                <w:b w:val="1"/>
                <w:bCs w:val="1"/>
                <w:color w:val="auto"/>
              </w:rPr>
              <w:t>Hong Kong Office</w:t>
            </w:r>
          </w:p>
        </w:tc>
        <w:tc>
          <w:tcPr>
            <w:tcW w:w="2600" w:type="dxa"/>
            <w:vAlign w:val="bottom"/>
          </w:tcPr>
          <w:p>
            <w:pPr>
              <w:ind w:left="520"/>
              <w:spacing w:after="0"/>
              <w:rPr>
                <w:sz w:val="20"/>
                <w:szCs w:val="20"/>
                <w:color w:val="auto"/>
              </w:rPr>
            </w:pPr>
            <w:r>
              <w:rPr>
                <w:rFonts w:ascii="Arial" w:cs="Arial" w:eastAsia="Arial" w:hAnsi="Arial"/>
                <w:sz w:val="14"/>
                <w:szCs w:val="14"/>
                <w:b w:val="1"/>
                <w:bCs w:val="1"/>
                <w:color w:val="auto"/>
              </w:rPr>
              <w:t>Silicon Valley Office</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Tel: (86-10) 8519-1300</w:t>
            </w:r>
          </w:p>
        </w:tc>
        <w:tc>
          <w:tcPr>
            <w:tcW w:w="2360" w:type="dxa"/>
            <w:vAlign w:val="bottom"/>
          </w:tcPr>
          <w:p>
            <w:pPr>
              <w:ind w:left="460"/>
              <w:spacing w:after="0" w:line="147" w:lineRule="exact"/>
              <w:rPr>
                <w:sz w:val="20"/>
                <w:szCs w:val="20"/>
                <w:color w:val="auto"/>
              </w:rPr>
            </w:pPr>
            <w:r>
              <w:rPr>
                <w:rFonts w:ascii="Arial" w:cs="Arial" w:eastAsia="Arial" w:hAnsi="Arial"/>
                <w:sz w:val="14"/>
                <w:szCs w:val="14"/>
                <w:color w:val="auto"/>
              </w:rPr>
              <w:t>Tel: (86-755) 2587-0765</w:t>
            </w:r>
          </w:p>
        </w:tc>
        <w:tc>
          <w:tcPr>
            <w:tcW w:w="2340" w:type="dxa"/>
            <w:vAlign w:val="bottom"/>
          </w:tcPr>
          <w:p>
            <w:pPr>
              <w:ind w:left="440"/>
              <w:spacing w:after="0" w:line="147" w:lineRule="exact"/>
              <w:rPr>
                <w:sz w:val="20"/>
                <w:szCs w:val="20"/>
                <w:color w:val="auto"/>
              </w:rPr>
            </w:pPr>
            <w:r>
              <w:rPr>
                <w:rFonts w:ascii="Arial" w:cs="Arial" w:eastAsia="Arial" w:hAnsi="Arial"/>
                <w:sz w:val="14"/>
                <w:szCs w:val="14"/>
                <w:color w:val="auto"/>
              </w:rPr>
              <w:t>Tel: (86-411) 8250-7578</w:t>
            </w:r>
          </w:p>
        </w:tc>
        <w:tc>
          <w:tcPr>
            <w:tcW w:w="2260" w:type="dxa"/>
            <w:vAlign w:val="bottom"/>
          </w:tcPr>
          <w:p>
            <w:pPr>
              <w:ind w:left="440"/>
              <w:spacing w:after="0" w:line="147" w:lineRule="exact"/>
              <w:rPr>
                <w:sz w:val="20"/>
                <w:szCs w:val="20"/>
                <w:color w:val="auto"/>
              </w:rPr>
            </w:pPr>
            <w:r>
              <w:rPr>
                <w:rFonts w:ascii="Arial" w:cs="Arial" w:eastAsia="Arial" w:hAnsi="Arial"/>
                <w:sz w:val="14"/>
                <w:szCs w:val="14"/>
                <w:color w:val="auto"/>
              </w:rPr>
              <w:t>Tel: (852) 2167-0000</w:t>
            </w:r>
          </w:p>
        </w:tc>
        <w:tc>
          <w:tcPr>
            <w:tcW w:w="2600" w:type="dxa"/>
            <w:vAlign w:val="bottom"/>
          </w:tcPr>
          <w:p>
            <w:pPr>
              <w:ind w:left="520"/>
              <w:spacing w:after="0" w:line="147" w:lineRule="exact"/>
              <w:rPr>
                <w:sz w:val="20"/>
                <w:szCs w:val="20"/>
                <w:color w:val="auto"/>
              </w:rPr>
            </w:pPr>
            <w:r>
              <w:rPr>
                <w:rFonts w:ascii="Arial" w:cs="Arial" w:eastAsia="Arial" w:hAnsi="Arial"/>
                <w:sz w:val="14"/>
                <w:szCs w:val="14"/>
                <w:color w:val="auto"/>
              </w:rPr>
              <w:t>Tel: (1-888) 886-8168</w:t>
            </w:r>
          </w:p>
        </w:tc>
        <w:tc>
          <w:tcPr>
            <w:tcW w:w="0" w:type="dxa"/>
            <w:vAlign w:val="bottom"/>
          </w:tcPr>
          <w:p>
            <w:pPr>
              <w:spacing w:after="0"/>
              <w:rPr>
                <w:sz w:val="1"/>
                <w:szCs w:val="1"/>
                <w:color w:val="auto"/>
              </w:rPr>
            </w:pPr>
          </w:p>
        </w:tc>
      </w:t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Fax: (86-10) 8519-1350</w:t>
            </w:r>
          </w:p>
        </w:tc>
        <w:tc>
          <w:tcPr>
            <w:tcW w:w="2360" w:type="dxa"/>
            <w:vAlign w:val="bottom"/>
          </w:tcPr>
          <w:p>
            <w:pPr>
              <w:ind w:left="460"/>
              <w:spacing w:after="0"/>
              <w:rPr>
                <w:sz w:val="20"/>
                <w:szCs w:val="20"/>
                <w:color w:val="auto"/>
              </w:rPr>
            </w:pPr>
            <w:r>
              <w:rPr>
                <w:rFonts w:ascii="Arial" w:cs="Arial" w:eastAsia="Arial" w:hAnsi="Arial"/>
                <w:sz w:val="14"/>
                <w:szCs w:val="14"/>
                <w:color w:val="auto"/>
              </w:rPr>
              <w:t>Fax: (86-755) 2587-0780</w:t>
            </w:r>
          </w:p>
        </w:tc>
        <w:tc>
          <w:tcPr>
            <w:tcW w:w="2340" w:type="dxa"/>
            <w:vAlign w:val="bottom"/>
          </w:tcPr>
          <w:p>
            <w:pPr>
              <w:ind w:left="440"/>
              <w:spacing w:after="0"/>
              <w:rPr>
                <w:sz w:val="20"/>
                <w:szCs w:val="20"/>
                <w:color w:val="auto"/>
              </w:rPr>
            </w:pPr>
            <w:r>
              <w:rPr>
                <w:rFonts w:ascii="Arial" w:cs="Arial" w:eastAsia="Arial" w:hAnsi="Arial"/>
                <w:sz w:val="14"/>
                <w:szCs w:val="14"/>
                <w:color w:val="auto"/>
              </w:rPr>
              <w:t>Fax: (86-411) 8250-7579</w:t>
            </w:r>
          </w:p>
        </w:tc>
        <w:tc>
          <w:tcPr>
            <w:tcW w:w="2260" w:type="dxa"/>
            <w:vAlign w:val="bottom"/>
          </w:tcPr>
          <w:p>
            <w:pPr>
              <w:ind w:left="440"/>
              <w:spacing w:after="0"/>
              <w:rPr>
                <w:sz w:val="20"/>
                <w:szCs w:val="20"/>
                <w:color w:val="auto"/>
              </w:rPr>
            </w:pPr>
            <w:r>
              <w:rPr>
                <w:rFonts w:ascii="Arial" w:cs="Arial" w:eastAsia="Arial" w:hAnsi="Arial"/>
                <w:sz w:val="14"/>
                <w:szCs w:val="14"/>
                <w:color w:val="auto"/>
              </w:rPr>
              <w:t>Fax: (852) 2167-0050</w:t>
            </w:r>
          </w:p>
        </w:tc>
        <w:tc>
          <w:tcPr>
            <w:tcW w:w="2600" w:type="dxa"/>
            <w:vAlign w:val="bottom"/>
          </w:tcPr>
          <w:p>
            <w:pPr>
              <w:ind w:left="520"/>
              <w:spacing w:after="0"/>
              <w:rPr>
                <w:sz w:val="20"/>
                <w:szCs w:val="20"/>
                <w:color w:val="auto"/>
              </w:rPr>
            </w:pPr>
            <w:r>
              <w:rPr>
                <w:rFonts w:ascii="Arial" w:cs="Arial" w:eastAsia="Arial" w:hAnsi="Arial"/>
                <w:sz w:val="14"/>
                <w:szCs w:val="14"/>
                <w:color w:val="auto"/>
              </w:rPr>
              <w:t>Fax: (1-888) 808-2168</w:t>
            </w:r>
          </w:p>
        </w:tc>
        <w:tc>
          <w:tcPr>
            <w:tcW w:w="0" w:type="dxa"/>
            <w:vAlign w:val="bottom"/>
          </w:tcPr>
          <w:p>
            <w:pPr>
              <w:spacing w:after="0"/>
              <w:rPr>
                <w:sz w:val="1"/>
                <w:szCs w:val="1"/>
                <w:color w:val="auto"/>
              </w:rPr>
            </w:pPr>
          </w:p>
        </w:tc>
      </w:tr>
      <w:tr>
        <w:trPr>
          <w:trHeight w:val="259"/>
        </w:trPr>
        <w:tc>
          <w:tcPr>
            <w:tcW w:w="1900" w:type="dxa"/>
            <w:vAlign w:val="bottom"/>
          </w:tcPr>
          <w:p>
            <w:pPr>
              <w:spacing w:after="0"/>
              <w:rPr>
                <w:sz w:val="20"/>
                <w:szCs w:val="20"/>
                <w:color w:val="auto"/>
              </w:rPr>
            </w:pPr>
            <w:r>
              <w:rPr>
                <w:rFonts w:ascii="Arial" w:cs="Arial" w:eastAsia="Arial" w:hAnsi="Arial"/>
                <w:sz w:val="14"/>
                <w:szCs w:val="14"/>
                <w:b w:val="1"/>
                <w:bCs w:val="1"/>
                <w:color w:val="auto"/>
              </w:rPr>
              <w:t>Shanghai Office</w:t>
            </w:r>
          </w:p>
        </w:tc>
        <w:tc>
          <w:tcPr>
            <w:tcW w:w="2360" w:type="dxa"/>
            <w:vAlign w:val="bottom"/>
          </w:tcPr>
          <w:p>
            <w:pPr>
              <w:ind w:left="460"/>
              <w:spacing w:after="0"/>
              <w:rPr>
                <w:sz w:val="20"/>
                <w:szCs w:val="20"/>
                <w:color w:val="auto"/>
              </w:rPr>
            </w:pPr>
            <w:r>
              <w:rPr>
                <w:rFonts w:ascii="Arial" w:cs="Arial" w:eastAsia="Arial" w:hAnsi="Arial"/>
                <w:sz w:val="14"/>
                <w:szCs w:val="14"/>
                <w:b w:val="1"/>
                <w:bCs w:val="1"/>
                <w:color w:val="auto"/>
              </w:rPr>
              <w:t>Guangzhou Office</w:t>
            </w:r>
          </w:p>
        </w:tc>
        <w:tc>
          <w:tcPr>
            <w:tcW w:w="2340" w:type="dxa"/>
            <w:vAlign w:val="bottom"/>
          </w:tcPr>
          <w:p>
            <w:pPr>
              <w:ind w:left="440"/>
              <w:spacing w:after="0"/>
              <w:rPr>
                <w:sz w:val="20"/>
                <w:szCs w:val="20"/>
                <w:color w:val="auto"/>
              </w:rPr>
            </w:pPr>
            <w:r>
              <w:rPr>
                <w:rFonts w:ascii="Arial" w:cs="Arial" w:eastAsia="Arial" w:hAnsi="Arial"/>
                <w:sz w:val="14"/>
                <w:szCs w:val="14"/>
                <w:b w:val="1"/>
                <w:bCs w:val="1"/>
                <w:color w:val="auto"/>
              </w:rPr>
              <w:t>Haikou Office</w:t>
            </w:r>
          </w:p>
        </w:tc>
        <w:tc>
          <w:tcPr>
            <w:tcW w:w="2260" w:type="dxa"/>
            <w:vAlign w:val="bottom"/>
          </w:tcPr>
          <w:p>
            <w:pPr>
              <w:ind w:left="440"/>
              <w:spacing w:after="0"/>
              <w:rPr>
                <w:sz w:val="20"/>
                <w:szCs w:val="20"/>
                <w:color w:val="auto"/>
              </w:rPr>
            </w:pPr>
            <w:r>
              <w:rPr>
                <w:rFonts w:ascii="Arial" w:cs="Arial" w:eastAsia="Arial" w:hAnsi="Arial"/>
                <w:sz w:val="14"/>
                <w:szCs w:val="14"/>
                <w:b w:val="1"/>
                <w:bCs w:val="1"/>
                <w:color w:val="auto"/>
              </w:rPr>
              <w:t>New York Office</w:t>
            </w:r>
          </w:p>
        </w:tc>
        <w:tc>
          <w:tcPr>
            <w:tcW w:w="2600" w:type="dxa"/>
            <w:vAlign w:val="bottom"/>
          </w:tcPr>
          <w:p>
            <w:pPr>
              <w:ind w:left="520"/>
              <w:spacing w:after="0"/>
              <w:rPr>
                <w:sz w:val="20"/>
                <w:szCs w:val="20"/>
                <w:color w:val="auto"/>
              </w:rPr>
            </w:pPr>
            <w:r>
              <w:rPr>
                <w:rFonts w:ascii="Arial" w:cs="Arial" w:eastAsia="Arial" w:hAnsi="Arial"/>
                <w:sz w:val="14"/>
                <w:szCs w:val="14"/>
                <w:b w:val="1"/>
                <w:bCs w:val="1"/>
                <w:color w:val="auto"/>
              </w:rPr>
              <w:t>Tianjin Office</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Tel: (86-21) 5298-5488</w:t>
            </w:r>
          </w:p>
        </w:tc>
        <w:tc>
          <w:tcPr>
            <w:tcW w:w="2360" w:type="dxa"/>
            <w:vAlign w:val="bottom"/>
          </w:tcPr>
          <w:p>
            <w:pPr>
              <w:ind w:left="460"/>
              <w:spacing w:after="0" w:line="147" w:lineRule="exact"/>
              <w:rPr>
                <w:sz w:val="20"/>
                <w:szCs w:val="20"/>
                <w:color w:val="auto"/>
              </w:rPr>
            </w:pPr>
            <w:r>
              <w:rPr>
                <w:rFonts w:ascii="Arial" w:cs="Arial" w:eastAsia="Arial" w:hAnsi="Arial"/>
                <w:sz w:val="14"/>
                <w:szCs w:val="14"/>
                <w:color w:val="auto"/>
              </w:rPr>
              <w:t>Tel: (86-20) 2805-9088</w:t>
            </w:r>
          </w:p>
        </w:tc>
        <w:tc>
          <w:tcPr>
            <w:tcW w:w="2340" w:type="dxa"/>
            <w:vAlign w:val="bottom"/>
          </w:tcPr>
          <w:p>
            <w:pPr>
              <w:ind w:left="440"/>
              <w:spacing w:after="0" w:line="147" w:lineRule="exact"/>
              <w:rPr>
                <w:sz w:val="20"/>
                <w:szCs w:val="20"/>
                <w:color w:val="auto"/>
              </w:rPr>
            </w:pPr>
            <w:r>
              <w:rPr>
                <w:rFonts w:ascii="Arial" w:cs="Arial" w:eastAsia="Arial" w:hAnsi="Arial"/>
                <w:sz w:val="14"/>
                <w:szCs w:val="14"/>
                <w:color w:val="auto"/>
              </w:rPr>
              <w:t>Tel: (86-898) 6851-2544</w:t>
            </w:r>
          </w:p>
        </w:tc>
        <w:tc>
          <w:tcPr>
            <w:tcW w:w="2260" w:type="dxa"/>
            <w:vAlign w:val="bottom"/>
          </w:tcPr>
          <w:p>
            <w:pPr>
              <w:ind w:left="440"/>
              <w:spacing w:after="0" w:line="147" w:lineRule="exact"/>
              <w:rPr>
                <w:sz w:val="20"/>
                <w:szCs w:val="20"/>
                <w:color w:val="auto"/>
              </w:rPr>
            </w:pPr>
            <w:r>
              <w:rPr>
                <w:rFonts w:ascii="Arial" w:cs="Arial" w:eastAsia="Arial" w:hAnsi="Arial"/>
                <w:sz w:val="14"/>
                <w:szCs w:val="14"/>
                <w:color w:val="auto"/>
              </w:rPr>
              <w:t>Tel: (1-212) 703-8702</w:t>
            </w:r>
          </w:p>
        </w:tc>
        <w:tc>
          <w:tcPr>
            <w:tcW w:w="2600" w:type="dxa"/>
            <w:vAlign w:val="bottom"/>
          </w:tcPr>
          <w:p>
            <w:pPr>
              <w:ind w:left="520"/>
              <w:spacing w:after="0" w:line="147" w:lineRule="exact"/>
              <w:rPr>
                <w:sz w:val="20"/>
                <w:szCs w:val="20"/>
                <w:color w:val="auto"/>
              </w:rPr>
            </w:pPr>
            <w:r>
              <w:rPr>
                <w:rFonts w:ascii="Arial" w:cs="Arial" w:eastAsia="Arial" w:hAnsi="Arial"/>
                <w:sz w:val="14"/>
                <w:szCs w:val="14"/>
                <w:color w:val="auto"/>
              </w:rPr>
              <w:t>Tel: (86-22) 5990-1301</w:t>
            </w:r>
          </w:p>
        </w:tc>
        <w:tc>
          <w:tcPr>
            <w:tcW w:w="0" w:type="dxa"/>
            <w:vAlign w:val="bottom"/>
          </w:tcPr>
          <w:p>
            <w:pPr>
              <w:spacing w:after="0"/>
              <w:rPr>
                <w:sz w:val="1"/>
                <w:szCs w:val="1"/>
                <w:color w:val="auto"/>
              </w:rPr>
            </w:pPr>
          </w:p>
        </w:tc>
      </w:t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Fax: (86-21) 5298-5492</w:t>
            </w:r>
          </w:p>
        </w:tc>
        <w:tc>
          <w:tcPr>
            <w:tcW w:w="2360" w:type="dxa"/>
            <w:vAlign w:val="bottom"/>
          </w:tcPr>
          <w:p>
            <w:pPr>
              <w:ind w:left="460"/>
              <w:spacing w:after="0"/>
              <w:rPr>
                <w:sz w:val="20"/>
                <w:szCs w:val="20"/>
                <w:color w:val="auto"/>
              </w:rPr>
            </w:pPr>
            <w:r>
              <w:rPr>
                <w:rFonts w:ascii="Arial" w:cs="Arial" w:eastAsia="Arial" w:hAnsi="Arial"/>
                <w:sz w:val="14"/>
                <w:szCs w:val="14"/>
                <w:color w:val="auto"/>
              </w:rPr>
              <w:t>Fax: (86-20) 2805-9099</w:t>
            </w:r>
          </w:p>
        </w:tc>
        <w:tc>
          <w:tcPr>
            <w:tcW w:w="2340" w:type="dxa"/>
            <w:vAlign w:val="bottom"/>
          </w:tcPr>
          <w:p>
            <w:pPr>
              <w:ind w:left="440"/>
              <w:spacing w:after="0"/>
              <w:rPr>
                <w:sz w:val="20"/>
                <w:szCs w:val="20"/>
                <w:color w:val="auto"/>
              </w:rPr>
            </w:pPr>
            <w:r>
              <w:rPr>
                <w:rFonts w:ascii="Arial" w:cs="Arial" w:eastAsia="Arial" w:hAnsi="Arial"/>
                <w:sz w:val="14"/>
                <w:szCs w:val="14"/>
                <w:color w:val="auto"/>
              </w:rPr>
              <w:t>Fax: (86-898) 6851-3514</w:t>
            </w:r>
          </w:p>
        </w:tc>
        <w:tc>
          <w:tcPr>
            <w:tcW w:w="2260" w:type="dxa"/>
            <w:vAlign w:val="bottom"/>
          </w:tcPr>
          <w:p>
            <w:pPr>
              <w:ind w:left="440"/>
              <w:spacing w:after="0"/>
              <w:rPr>
                <w:sz w:val="20"/>
                <w:szCs w:val="20"/>
                <w:color w:val="auto"/>
              </w:rPr>
            </w:pPr>
            <w:r>
              <w:rPr>
                <w:rFonts w:ascii="Arial" w:cs="Arial" w:eastAsia="Arial" w:hAnsi="Arial"/>
                <w:sz w:val="14"/>
                <w:szCs w:val="14"/>
                <w:color w:val="auto"/>
              </w:rPr>
              <w:t>Fax: (1-212) 703-8720</w:t>
            </w:r>
          </w:p>
        </w:tc>
        <w:tc>
          <w:tcPr>
            <w:tcW w:w="2600" w:type="dxa"/>
            <w:vAlign w:val="bottom"/>
          </w:tcPr>
          <w:p>
            <w:pPr>
              <w:ind w:left="520"/>
              <w:spacing w:after="0"/>
              <w:rPr>
                <w:sz w:val="20"/>
                <w:szCs w:val="20"/>
                <w:color w:val="auto"/>
              </w:rPr>
            </w:pPr>
            <w:r>
              <w:rPr>
                <w:rFonts w:ascii="Arial" w:cs="Arial" w:eastAsia="Arial" w:hAnsi="Arial"/>
                <w:sz w:val="14"/>
                <w:szCs w:val="14"/>
                <w:color w:val="auto"/>
              </w:rPr>
              <w:t>Fax: (86-22) 5990-1302</w:t>
            </w:r>
          </w:p>
        </w:tc>
        <w:tc>
          <w:tcPr>
            <w:tcW w:w="0" w:type="dxa"/>
            <w:vAlign w:val="bottom"/>
          </w:tcPr>
          <w:p>
            <w:pPr>
              <w:spacing w:after="0"/>
              <w:rPr>
                <w:sz w:val="1"/>
                <w:szCs w:val="1"/>
                <w:color w:val="auto"/>
              </w:rPr>
            </w:pPr>
          </w:p>
        </w:tc>
      </w:tr>
      <w:tr>
        <w:trPr>
          <w:trHeight w:val="293"/>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Qingdao Office</w:t>
            </w:r>
          </w:p>
        </w:tc>
        <w:tc>
          <w:tcPr>
            <w:tcW w:w="2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Chengdu Office</w:t>
            </w:r>
          </w:p>
        </w:tc>
        <w:tc>
          <w:tcPr>
            <w:tcW w:w="2340" w:type="dxa"/>
            <w:vAlign w:val="bottom"/>
          </w:tcPr>
          <w:p>
            <w:pPr>
              <w:ind w:left="440"/>
              <w:spacing w:after="0"/>
              <w:rPr>
                <w:sz w:val="20"/>
                <w:szCs w:val="20"/>
                <w:color w:val="auto"/>
              </w:rPr>
            </w:pPr>
            <w:r>
              <w:rPr>
                <w:rFonts w:ascii="Arial" w:cs="Arial" w:eastAsia="Arial" w:hAnsi="Arial"/>
                <w:sz w:val="14"/>
                <w:szCs w:val="14"/>
                <w:color w:val="auto"/>
              </w:rPr>
              <w:t>www.junhe.com</w:t>
            </w:r>
          </w:p>
        </w:tc>
        <w:tc>
          <w:tcPr>
            <w:tcW w:w="2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0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Tel: (86-532) 6869-5000</w:t>
            </w:r>
          </w:p>
        </w:tc>
        <w:tc>
          <w:tcPr>
            <w:tcW w:w="2360" w:type="dxa"/>
            <w:vAlign w:val="bottom"/>
          </w:tcPr>
          <w:p>
            <w:pPr>
              <w:ind w:left="460"/>
              <w:spacing w:after="0" w:line="147" w:lineRule="exact"/>
              <w:rPr>
                <w:sz w:val="20"/>
                <w:szCs w:val="20"/>
                <w:color w:val="auto"/>
              </w:rPr>
            </w:pPr>
            <w:r>
              <w:rPr>
                <w:rFonts w:ascii="Arial" w:cs="Arial" w:eastAsia="Arial" w:hAnsi="Arial"/>
                <w:sz w:val="14"/>
                <w:szCs w:val="14"/>
                <w:color w:val="auto"/>
              </w:rPr>
              <w:t>Tel: (86-28) 6739-8000</w:t>
            </w:r>
          </w:p>
        </w:tc>
        <w:tc>
          <w:tcPr>
            <w:tcW w:w="2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Fax: (86-532) 6869-5010</w:t>
            </w:r>
          </w:p>
        </w:tc>
        <w:tc>
          <w:tcPr>
            <w:tcW w:w="2360" w:type="dxa"/>
            <w:vAlign w:val="bottom"/>
          </w:tcPr>
          <w:p>
            <w:pPr>
              <w:ind w:left="460"/>
              <w:spacing w:after="0"/>
              <w:rPr>
                <w:sz w:val="20"/>
                <w:szCs w:val="20"/>
                <w:color w:val="auto"/>
              </w:rPr>
            </w:pPr>
            <w:r>
              <w:rPr>
                <w:rFonts w:ascii="Arial" w:cs="Arial" w:eastAsia="Arial" w:hAnsi="Arial"/>
                <w:sz w:val="14"/>
                <w:szCs w:val="14"/>
                <w:color w:val="auto"/>
              </w:rPr>
              <w:t>Fax: (86-28) 6739-8001</w:t>
            </w:r>
          </w:p>
        </w:tc>
        <w:tc>
          <w:tcPr>
            <w:tcW w:w="2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19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6C28E34"/>
    <w:multiLevelType w:val="hybridMultilevel"/>
    <w:lvl w:ilvl="0">
      <w:lvlJc w:val="left"/>
      <w:lvlText w:val="o"/>
      <w:numFmt w:val="bullet"/>
      <w:start w:val="1"/>
    </w:lvl>
  </w:abstractNum>
  <w:abstractNum w:abstractNumId="1">
    <w:nsid w:val="13916F2D"/>
    <w:multiLevelType w:val="hybridMultilevel"/>
    <w:lvl w:ilvl="0">
      <w:lvlJc w:val="left"/>
      <w:lvlText w:val="x"/>
      <w:numFmt w:val="bullet"/>
      <w:start w:val="1"/>
    </w:lvl>
  </w:abstractNum>
  <w:abstractNum w:abstractNumId="2">
    <w:nsid w:val="435D38D"/>
    <w:multiLevelType w:val="hybridMultilevel"/>
    <w:lvl w:ilvl="0">
      <w:lvlJc w:val="left"/>
      <w:lvlText w:val="o"/>
      <w:numFmt w:val="bullet"/>
      <w:start w:val="1"/>
    </w:lvl>
  </w:abstractNum>
  <w:abstractNum w:abstractNumId="3">
    <w:nsid w:val="822C0EF"/>
    <w:multiLevelType w:val="hybridMultilevel"/>
    <w:lvl w:ilvl="0">
      <w:lvlJc w:val="left"/>
      <w:lvlText w:val="o"/>
      <w:numFmt w:val="bullet"/>
      <w:start w:val="1"/>
    </w:lvl>
  </w:abstractNum>
  <w:abstractNum w:abstractNumId="4">
    <w:nsid w:val="57C5BB4F"/>
    <w:multiLevelType w:val="hybridMultilevel"/>
    <w:lvl w:ilvl="0">
      <w:lvlJc w:val="left"/>
      <w:lvlText w:val="·"/>
      <w:numFmt w:val="bullet"/>
      <w:start w:val="1"/>
    </w:lvl>
  </w:abstractNum>
  <w:abstractNum w:abstractNumId="5">
    <w:nsid w:val="1803D089"/>
    <w:multiLevelType w:val="hybridMultilevel"/>
    <w:lvl w:ilvl="0">
      <w:lvlJc w:val="left"/>
      <w:lvlText w:val="%1."/>
      <w:numFmt w:val="upperLetter"/>
      <w:start w:val="1"/>
    </w:lvl>
  </w:abstractNum>
  <w:abstractNum w:abstractNumId="6">
    <w:nsid w:val="4F3A06D4"/>
    <w:multiLevelType w:val="hybridMultilevel"/>
    <w:lvl w:ilvl="0">
      <w:lvlJc w:val="left"/>
      <w:lvlText w:val="%1."/>
      <w:numFmt w:val="upperLetter"/>
      <w:start w:val="2"/>
    </w:lvl>
  </w:abstractNum>
  <w:abstractNum w:abstractNumId="7">
    <w:nsid w:val="59A377B6"/>
    <w:multiLevelType w:val="hybridMultilevel"/>
    <w:lvl w:ilvl="0">
      <w:lvlJc w:val="left"/>
      <w:lvlText w:val="%1."/>
      <w:numFmt w:val="upperLetter"/>
      <w:start w:val="4"/>
    </w:lvl>
  </w:abstractNum>
  <w:abstractNum w:abstractNumId="8">
    <w:nsid w:val="48AEB063"/>
    <w:multiLevelType w:val="hybridMultilevel"/>
    <w:lvl w:ilvl="0">
      <w:lvlJc w:val="left"/>
      <w:lvlText w:val="·"/>
      <w:numFmt w:val="bullet"/>
      <w:start w:val="1"/>
    </w:lvl>
  </w:abstractNum>
  <w:abstractNum w:abstractNumId="9">
    <w:nsid w:val="24E135"/>
    <w:multiLevelType w:val="hybridMultilevel"/>
    <w:lvl w:ilvl="0">
      <w:lvlJc w:val="left"/>
      <w:lvlText w:val="·"/>
      <w:numFmt w:val="bullet"/>
      <w:start w:val="1"/>
    </w:lvl>
  </w:abstractNum>
  <w:abstractNum w:abstractNumId="10">
    <w:nsid w:val="BB13C1"/>
    <w:multiLevelType w:val="hybridMultilevel"/>
    <w:lvl w:ilvl="0">
      <w:lvlJc w:val="left"/>
      <w:lvlText w:val="·"/>
      <w:numFmt w:val="bullet"/>
      <w:start w:val="1"/>
    </w:lvl>
  </w:abstractNum>
  <w:abstractNum w:abstractNumId="11">
    <w:nsid w:val="271210C7"/>
    <w:multiLevelType w:val="hybridMultilevel"/>
    <w:lvl w:ilvl="0">
      <w:lvlJc w:val="left"/>
      <w:lvlText w:val="·"/>
      <w:numFmt w:val="bullet"/>
      <w:start w:val="1"/>
    </w:lvl>
  </w:abstractNum>
  <w:abstractNum w:abstractNumId="12">
    <w:nsid w:val="217B22E4"/>
    <w:multiLevelType w:val="hybridMultilevel"/>
    <w:lvl w:ilvl="0">
      <w:lvlJc w:val="left"/>
      <w:lvlText w:val="·"/>
      <w:numFmt w:val="bullet"/>
      <w:start w:val="1"/>
    </w:lvl>
  </w:abstractNum>
  <w:abstractNum w:abstractNumId="13">
    <w:nsid w:val="53E31A24"/>
    <w:multiLevelType w:val="hybridMultilevel"/>
    <w:lvl w:ilvl="0">
      <w:lvlJc w:val="left"/>
      <w:lvlText w:val="·"/>
      <w:numFmt w:val="bullet"/>
      <w:start w:val="1"/>
    </w:lvl>
  </w:abstractNum>
  <w:abstractNum w:abstractNumId="14">
    <w:nsid w:val="6DC45E83"/>
    <w:multiLevelType w:val="hybridMultilevel"/>
    <w:lvl w:ilvl="0">
      <w:lvlJc w:val="left"/>
      <w:lvlText w:val="%1."/>
      <w:numFmt w:val="upperLetter"/>
      <w:start w:val="1"/>
    </w:lvl>
  </w:abstractNum>
  <w:abstractNum w:abstractNumId="15">
    <w:nsid w:val="17304A67"/>
    <w:multiLevelType w:val="hybridMultilevel"/>
    <w:lvl w:ilvl="0">
      <w:lvlJc w:val="left"/>
      <w:lvlText w:val="%1."/>
      <w:numFmt w:val="upperLetter"/>
      <w:start w:val="2"/>
    </w:lvl>
  </w:abstractNum>
  <w:abstractNum w:abstractNumId="16">
    <w:nsid w:val="2BB180D8"/>
    <w:multiLevelType w:val="hybridMultilevel"/>
    <w:lvl w:ilvl="0">
      <w:lvlJc w:val="left"/>
      <w:lvlText w:val="·"/>
      <w:numFmt w:val="bullet"/>
      <w:start w:val="1"/>
    </w:lvl>
  </w:abstractNum>
  <w:abstractNum w:abstractNumId="17">
    <w:nsid w:val="556B69ED"/>
    <w:multiLevelType w:val="hybridMultilevel"/>
    <w:lvl w:ilvl="0">
      <w:lvlJc w:val="left"/>
      <w:lvlText w:val="·"/>
      <w:numFmt w:val="bullet"/>
      <w:start w:val="1"/>
    </w:lvl>
  </w:abstractNum>
  <w:abstractNum w:abstractNumId="18">
    <w:nsid w:val="70836196"/>
    <w:multiLevelType w:val="hybridMultilevel"/>
    <w:lvl w:ilvl="0">
      <w:lvlJc w:val="left"/>
      <w:lvlText w:val="·"/>
      <w:numFmt w:val="bullet"/>
      <w:start w:val="1"/>
    </w:lvl>
  </w:abstractNum>
  <w:abstractNum w:abstractNumId="19">
    <w:nsid w:val="539F7F12"/>
    <w:multiLevelType w:val="hybridMultilevel"/>
    <w:lvl w:ilvl="0">
      <w:lvlJc w:val="left"/>
      <w:lvlText w:val="·"/>
      <w:numFmt w:val="bullet"/>
      <w:start w:val="1"/>
    </w:lvl>
  </w:abstractNum>
  <w:abstractNum w:abstractNumId="20">
    <w:nsid w:val="2817E7EC"/>
    <w:multiLevelType w:val="hybridMultilevel"/>
    <w:lvl w:ilvl="0">
      <w:lvlJc w:val="left"/>
      <w:lvlText w:val="·"/>
      <w:numFmt w:val="bullet"/>
      <w:start w:val="1"/>
    </w:lvl>
  </w:abstractNum>
  <w:abstractNum w:abstractNumId="21">
    <w:nsid w:val="71482545"/>
    <w:multiLevelType w:val="hybridMultilevel"/>
    <w:lvl w:ilvl="0">
      <w:lvlJc w:val="left"/>
      <w:lvlText w:val="(%1)"/>
      <w:numFmt w:val="lowerRoman"/>
      <w:start w:val="2"/>
    </w:lvl>
  </w:abstractNum>
  <w:abstractNum w:abstractNumId="22">
    <w:nsid w:val="17D78639"/>
    <w:multiLevelType w:val="hybridMultilevel"/>
    <w:lvl w:ilvl="0">
      <w:lvlJc w:val="left"/>
      <w:lvlText w:val="(%1)"/>
      <w:numFmt w:val="lowerRoman"/>
      <w:start w:val="2"/>
    </w:lvl>
  </w:abstractNum>
  <w:abstractNum w:abstractNumId="23">
    <w:nsid w:val="141D2302"/>
    <w:multiLevelType w:val="hybridMultilevel"/>
    <w:lvl w:ilvl="0">
      <w:lvlJc w:val="left"/>
      <w:lvlText w:val="·"/>
      <w:numFmt w:val="bullet"/>
      <w:start w:val="1"/>
    </w:lvl>
  </w:abstractNum>
  <w:abstractNum w:abstractNumId="24">
    <w:nsid w:val="407168D8"/>
    <w:multiLevelType w:val="hybridMultilevel"/>
    <w:lvl w:ilvl="0">
      <w:lvlJc w:val="left"/>
      <w:lvlText w:val="%1."/>
      <w:numFmt w:val="upperLetter"/>
      <w:start w:val="3"/>
    </w:lvl>
  </w:abstractNum>
  <w:abstractNum w:abstractNumId="25">
    <w:nsid w:val="6A1B45E5"/>
    <w:multiLevelType w:val="hybridMultilevel"/>
    <w:lvl w:ilvl="0">
      <w:lvlJc w:val="left"/>
      <w:lvlText w:val="%1."/>
      <w:numFmt w:val="upperLetter"/>
      <w:start w:val="1"/>
    </w:lvl>
  </w:abstractNum>
  <w:abstractNum w:abstractNumId="26">
    <w:nsid w:val="567BD50A"/>
    <w:multiLevelType w:val="hybridMultilevel"/>
    <w:lvl w:ilvl="0">
      <w:lvlJc w:val="left"/>
      <w:lvlText w:val="(%1)"/>
      <w:numFmt w:val="lowerRoman"/>
      <w:start w:val="1"/>
    </w:lvl>
    <w:lvl w:ilvl="1">
      <w:lvlJc w:val="left"/>
      <w:lvlText w:val="(%2)"/>
      <w:numFmt w:val="lowerRoman"/>
      <w:start w:val="3"/>
    </w:lvl>
  </w:abstractNum>
  <w:abstractNum w:abstractNumId="27">
    <w:nsid w:val="73BBD7F8"/>
    <w:multiLevelType w:val="hybridMultilevel"/>
    <w:lvl w:ilvl="0">
      <w:lvlJc w:val="left"/>
      <w:lvlText w:val="·"/>
      <w:numFmt w:val="bullet"/>
      <w:start w:val="1"/>
    </w:lvl>
  </w:abstractNum>
  <w:abstractNum w:abstractNumId="28">
    <w:nsid w:val="1876589D"/>
    <w:multiLevelType w:val="hybridMultilevel"/>
    <w:lvl w:ilvl="0">
      <w:lvlJc w:val="left"/>
      <w:lvlText w:val="·"/>
      <w:numFmt w:val="bullet"/>
      <w:start w:val="1"/>
    </w:lvl>
  </w:abstractNum>
  <w:abstractNum w:abstractNumId="29">
    <w:nsid w:val="327FAC77"/>
    <w:multiLevelType w:val="hybridMultilevel"/>
    <w:lvl w:ilvl="0">
      <w:lvlJc w:val="left"/>
      <w:lvlText w:val="·"/>
      <w:numFmt w:val="bullet"/>
      <w:start w:val="1"/>
    </w:lvl>
  </w:abstractNum>
  <w:abstractNum w:abstractNumId="30">
    <w:nsid w:val="5A606509"/>
    <w:multiLevelType w:val="hybridMultilevel"/>
    <w:lvl w:ilvl="0">
      <w:lvlJc w:val="left"/>
      <w:lvlText w:val="(%1)"/>
      <w:numFmt w:val="lowerRoman"/>
      <w:start w:val="1"/>
    </w:lvl>
  </w:abstractNum>
  <w:abstractNum w:abstractNumId="31">
    <w:nsid w:val="6F38E6D1"/>
    <w:multiLevelType w:val="hybridMultilevel"/>
    <w:lvl w:ilvl="0">
      <w:lvlJc w:val="left"/>
      <w:lvlText w:val="(%1)"/>
      <w:numFmt w:val="lowerRoman"/>
      <w:start w:val="1"/>
    </w:lvl>
  </w:abstractNum>
  <w:abstractNum w:abstractNumId="32">
    <w:nsid w:val="46111BA5"/>
    <w:multiLevelType w:val="hybridMultilevel"/>
    <w:lvl w:ilvl="0">
      <w:lvlJc w:val="left"/>
      <w:lvlText w:val="·"/>
      <w:numFmt w:val="bullet"/>
      <w:start w:val="1"/>
    </w:lvl>
  </w:abstractNum>
  <w:abstractNum w:abstractNumId="33">
    <w:nsid w:val="5E963896"/>
    <w:multiLevelType w:val="hybridMultilevel"/>
    <w:lvl w:ilvl="0">
      <w:lvlJc w:val="left"/>
      <w:lvlText w:val="·"/>
      <w:numFmt w:val="bullet"/>
      <w:start w:val="1"/>
    </w:lvl>
  </w:abstractNum>
  <w:abstractNum w:abstractNumId="34">
    <w:nsid w:val="775BA7C1"/>
    <w:multiLevelType w:val="hybridMultilevel"/>
    <w:lvl w:ilvl="0">
      <w:lvlJc w:val="left"/>
      <w:lvlText w:val="·"/>
      <w:numFmt w:val="bullet"/>
      <w:start w:val="1"/>
    </w:lvl>
  </w:abstractNum>
  <w:abstractNum w:abstractNumId="35">
    <w:nsid w:val="1DD6D6F4"/>
    <w:multiLevelType w:val="hybridMultilevel"/>
    <w:lvl w:ilvl="0">
      <w:lvlJc w:val="left"/>
      <w:lvlText w:val="·"/>
      <w:numFmt w:val="bullet"/>
      <w:start w:val="1"/>
    </w:lvl>
  </w:abstractNum>
  <w:abstractNum w:abstractNumId="36">
    <w:nsid w:val="769A091F"/>
    <w:multiLevelType w:val="hybridMultilevel"/>
    <w:lvl w:ilvl="0">
      <w:lvlJc w:val="left"/>
      <w:lvlText w:val="·"/>
      <w:numFmt w:val="bullet"/>
      <w:start w:val="1"/>
    </w:lvl>
  </w:abstractNum>
  <w:abstractNum w:abstractNumId="37">
    <w:nsid w:val="4695AE95"/>
    <w:multiLevelType w:val="hybridMultilevel"/>
    <w:lvl w:ilvl="0">
      <w:lvlJc w:val="left"/>
      <w:lvlText w:val="·"/>
      <w:numFmt w:val="bullet"/>
      <w:start w:val="1"/>
    </w:lvl>
  </w:abstractNum>
  <w:abstractNum w:abstractNumId="38">
    <w:nsid w:val="777A4EAA"/>
    <w:multiLevelType w:val="hybridMultilevel"/>
    <w:lvl w:ilvl="0">
      <w:lvlJc w:val="left"/>
      <w:lvlText w:val="·"/>
      <w:numFmt w:val="bullet"/>
      <w:start w:val="1"/>
    </w:lvl>
  </w:abstractNum>
  <w:abstractNum w:abstractNumId="39">
    <w:nsid w:val="3F48B982"/>
    <w:multiLevelType w:val="hybridMultilevel"/>
    <w:lvl w:ilvl="0">
      <w:lvlJc w:val="left"/>
      <w:lvlText w:val="%1."/>
      <w:numFmt w:val="upperLetter"/>
      <w:start w:val="2"/>
    </w:lvl>
  </w:abstractNum>
  <w:abstractNum w:abstractNumId="40">
    <w:nsid w:val="46BA8FCA"/>
    <w:multiLevelType w:val="hybridMultilevel"/>
    <w:lvl w:ilvl="0">
      <w:lvlJc w:val="left"/>
      <w:lvlText w:val="%1."/>
      <w:numFmt w:val="upperLetter"/>
      <w:start w:val="2"/>
    </w:lvl>
    <w:lvl w:ilvl="1">
      <w:lvlJc w:val="left"/>
      <w:lvlText w:val="·"/>
      <w:numFmt w:val="bullet"/>
      <w:start w:val="1"/>
    </w:lvl>
  </w:abstractNum>
  <w:abstractNum w:abstractNumId="41">
    <w:nsid w:val="7835626C"/>
    <w:multiLevelType w:val="hybridMultilevel"/>
    <w:lvl w:ilvl="0">
      <w:lvlJc w:val="left"/>
      <w:lvlText w:val="%1."/>
      <w:numFmt w:val="upperLetter"/>
      <w:start w:val="4"/>
    </w:lvl>
  </w:abstractNum>
  <w:abstractNum w:abstractNumId="42">
    <w:nsid w:val="665ACA49"/>
    <w:multiLevelType w:val="hybridMultilevel"/>
    <w:lvl w:ilvl="0">
      <w:lvlJc w:val="left"/>
      <w:lvlText w:val="%1."/>
      <w:numFmt w:val="upperLetter"/>
      <w:start w:val="5"/>
    </w:lvl>
  </w:abstractNum>
  <w:abstractNum w:abstractNumId="43">
    <w:nsid w:val="6835B2AE"/>
    <w:multiLevelType w:val="hybridMultilevel"/>
    <w:lvl w:ilvl="0">
      <w:lvlJc w:val="left"/>
      <w:lvlText w:val="%1."/>
      <w:numFmt w:val="upperLetter"/>
      <w:start w:val="6"/>
    </w:lvl>
  </w:abstractNum>
  <w:abstractNum w:abstractNumId="44">
    <w:nsid w:val="4C187C90"/>
    <w:multiLevelType w:val="hybridMultilevel"/>
    <w:lvl w:ilvl="0">
      <w:lvlJc w:val="left"/>
      <w:lvlText w:val="%1."/>
      <w:numFmt w:val="upperLetter"/>
      <w:start w:val="1"/>
    </w:lvl>
  </w:abstractNum>
  <w:abstractNum w:abstractNumId="45">
    <w:nsid w:val="541F28CD"/>
    <w:multiLevelType w:val="hybridMultilevel"/>
    <w:lvl w:ilvl="0">
      <w:lvlJc w:val="left"/>
      <w:lvlText w:val="%1."/>
      <w:numFmt w:val="upperLetter"/>
      <w:start w:val="2"/>
    </w:lvl>
  </w:abstractNum>
  <w:abstractNum w:abstractNumId="46">
    <w:nsid w:val="7F65FD16"/>
    <w:multiLevelType w:val="hybridMultilevel"/>
    <w:lvl w:ilvl="0">
      <w:lvlJc w:val="left"/>
      <w:lvlText w:val="%1."/>
      <w:numFmt w:val="upperLetter"/>
      <w:start w:val="3"/>
    </w:lvl>
  </w:abstractNum>
  <w:abstractNum w:abstractNumId="47">
    <w:nsid w:val="77C9FD68"/>
    <w:multiLevelType w:val="hybridMultilevel"/>
    <w:lvl w:ilvl="0">
      <w:lvlJc w:val="left"/>
      <w:lvlText w:val="%1."/>
      <w:numFmt w:val="upperLetter"/>
      <w:start w:val="4"/>
    </w:lvl>
  </w:abstractNum>
  <w:abstractNum w:abstractNumId="48">
    <w:nsid w:val="298A92BA"/>
    <w:multiLevelType w:val="hybridMultilevel"/>
    <w:lvl w:ilvl="0">
      <w:lvlJc w:val="left"/>
      <w:lvlText w:val="%1."/>
      <w:numFmt w:val="upperLetter"/>
      <w:start w:val="5"/>
    </w:lvl>
  </w:abstractNum>
  <w:abstractNum w:abstractNumId="49">
    <w:nsid w:val="6FE95EAC"/>
    <w:multiLevelType w:val="hybridMultilevel"/>
    <w:lvl w:ilvl="0">
      <w:lvlJc w:val="left"/>
      <w:lvlText w:val="·"/>
      <w:numFmt w:val="bullet"/>
      <w:start w:val="1"/>
    </w:lvl>
  </w:abstractNum>
  <w:abstractNum w:abstractNumId="50">
    <w:nsid w:val="4B697C7A"/>
    <w:multiLevelType w:val="hybridMultilevel"/>
    <w:lvl w:ilvl="0">
      <w:lvlJc w:val="left"/>
      <w:lvlText w:val="*"/>
      <w:numFmt w:val="bullet"/>
      <w:start w:val="1"/>
    </w:lvl>
    <w:lvl w:ilvl="1">
      <w:lvlJc w:val="left"/>
      <w:lvlText w:val="(%2)"/>
      <w:numFmt w:val="decimal"/>
      <w:start w:val="1"/>
    </w:lvl>
  </w:abstractNum>
  <w:abstractNum w:abstractNumId="51">
    <w:nsid w:val="51A27AA6"/>
    <w:multiLevelType w:val="hybridMultilevel"/>
    <w:lvl w:ilvl="0">
      <w:lvlJc w:val="left"/>
      <w:lvlText w:val="(%1)"/>
      <w:numFmt w:val="decimal"/>
      <w:start w:val="2"/>
    </w:lvl>
  </w:abstractNum>
  <w:abstractNum w:abstractNumId="52">
    <w:nsid w:val="613183F2"/>
    <w:multiLevelType w:val="hybridMultilevel"/>
    <w:lvl w:ilvl="0">
      <w:lvlJc w:val="left"/>
      <w:lvlText w:val="%1."/>
      <w:numFmt w:val="upperLetter"/>
      <w:start w:val="1"/>
    </w:lvl>
  </w:abstractNum>
  <w:abstractNum w:abstractNumId="53">
    <w:nsid w:val="634102B4"/>
    <w:multiLevelType w:val="hybridMultilevel"/>
    <w:lvl w:ilvl="0">
      <w:lvlJc w:val="left"/>
      <w:lvlText w:val="·"/>
      <w:numFmt w:val="bullet"/>
      <w:start w:val="1"/>
    </w:lvl>
    <w:lvl w:ilvl="1">
      <w:lvlJc w:val="left"/>
      <w:lvlText w:val="·"/>
      <w:numFmt w:val="bullet"/>
      <w:start w:val="1"/>
    </w:lvl>
  </w:abstractNum>
  <w:abstractNum w:abstractNumId="54">
    <w:nsid w:val="65BF9DA8"/>
    <w:multiLevelType w:val="hybridMultilevel"/>
    <w:lvl w:ilvl="0">
      <w:lvlJc w:val="left"/>
      <w:lvlText w:val="·"/>
      <w:numFmt w:val="bullet"/>
      <w:start w:val="1"/>
    </w:lvl>
  </w:abstractNum>
  <w:abstractNum w:abstractNumId="55">
    <w:nsid w:val="21A2ECCA"/>
    <w:multiLevelType w:val="hybridMultilevel"/>
    <w:lvl w:ilvl="0">
      <w:lvlJc w:val="left"/>
      <w:lvlText w:val="·"/>
      <w:numFmt w:val="bullet"/>
      <w:start w:val="1"/>
    </w:lvl>
  </w:abstractNum>
  <w:abstractNum w:abstractNumId="56">
    <w:nsid w:val="4D5C4899"/>
    <w:multiLevelType w:val="hybridMultilevel"/>
    <w:lvl w:ilvl="0">
      <w:lvlJc w:val="left"/>
      <w:lvlText w:val="·"/>
      <w:numFmt w:val="bullet"/>
      <w:start w:val="1"/>
    </w:lvl>
  </w:abstractNum>
  <w:abstractNum w:abstractNumId="57">
    <w:nsid w:val="3C3B72B2"/>
    <w:multiLevelType w:val="hybridMultilevel"/>
    <w:lvl w:ilvl="0">
      <w:lvlJc w:val="left"/>
      <w:lvlText w:val="·"/>
      <w:numFmt w:val="bullet"/>
      <w:start w:val="1"/>
    </w:lvl>
  </w:abstractNum>
  <w:abstractNum w:abstractNumId="58">
    <w:nsid w:val="155EC4C2"/>
    <w:multiLevelType w:val="hybridMultilevel"/>
    <w:lvl w:ilvl="0">
      <w:lvlJc w:val="left"/>
      <w:lvlText w:val="·"/>
      <w:numFmt w:val="bullet"/>
      <w:start w:val="1"/>
    </w:lvl>
    <w:lvl w:ilvl="1">
      <w:lvlJc w:val="left"/>
      <w:lvlText w:val="·"/>
      <w:numFmt w:val="bullet"/>
      <w:start w:val="1"/>
    </w:lvl>
  </w:abstractNum>
  <w:abstractNum w:abstractNumId="59">
    <w:nsid w:val="65D2A137"/>
    <w:multiLevelType w:val="hybridMultilevel"/>
    <w:lvl w:ilvl="0">
      <w:lvlJc w:val="left"/>
      <w:lvlText w:val="·"/>
      <w:numFmt w:val="bullet"/>
      <w:start w:val="1"/>
    </w:lvl>
  </w:abstractNum>
  <w:abstractNum w:abstractNumId="60">
    <w:nsid w:val="6EBB1F2A"/>
    <w:multiLevelType w:val="hybridMultilevel"/>
    <w:lvl w:ilvl="0">
      <w:lvlJc w:val="left"/>
      <w:lvlText w:val="·"/>
      <w:numFmt w:val="bullet"/>
      <w:start w:val="1"/>
    </w:lvl>
    <w:lvl w:ilvl="1">
      <w:lvlJc w:val="left"/>
      <w:lvlText w:val="·"/>
      <w:numFmt w:val="bullet"/>
      <w:start w:val="1"/>
    </w:lvl>
  </w:abstractNum>
  <w:abstractNum w:abstractNumId="61">
    <w:nsid w:val="6FBF29CB"/>
    <w:multiLevelType w:val="hybridMultilevel"/>
    <w:lvl w:ilvl="0">
      <w:lvlJc w:val="left"/>
      <w:lvlText w:val="·"/>
      <w:numFmt w:val="bullet"/>
      <w:start w:val="1"/>
    </w:lvl>
  </w:abstractNum>
  <w:abstractNum w:abstractNumId="62">
    <w:nsid w:val="550B8808"/>
    <w:multiLevelType w:val="hybridMultilevel"/>
    <w:lvl w:ilvl="0">
      <w:lvlJc w:val="left"/>
      <w:lvlText w:val="·"/>
      <w:numFmt w:val="bullet"/>
      <w:start w:val="1"/>
    </w:lvl>
    <w:lvl w:ilvl="1">
      <w:lvlJc w:val="left"/>
      <w:lvlText w:val="·"/>
      <w:numFmt w:val="bullet"/>
      <w:start w:val="1"/>
    </w:lvl>
  </w:abstractNum>
  <w:abstractNum w:abstractNumId="63">
    <w:nsid w:val="34CC3ACF"/>
    <w:multiLevelType w:val="hybridMultilevel"/>
    <w:lvl w:ilvl="0">
      <w:lvlJc w:val="left"/>
      <w:lvlText w:val="%1."/>
      <w:numFmt w:val="upperLetter"/>
      <w:start w:val="3"/>
    </w:lvl>
  </w:abstractNum>
  <w:abstractNum w:abstractNumId="64">
    <w:nsid w:val="4E556261"/>
    <w:multiLevelType w:val="hybridMultilevel"/>
    <w:lvl w:ilvl="0">
      <w:lvlJc w:val="left"/>
      <w:lvlText w:val="%1."/>
      <w:numFmt w:val="upperLetter"/>
      <w:start w:val="1"/>
    </w:lvl>
  </w:abstractNum>
  <w:abstractNum w:abstractNumId="65">
    <w:nsid w:val="4C672FC9"/>
    <w:multiLevelType w:val="hybridMultilevel"/>
    <w:lvl w:ilvl="0">
      <w:lvlJc w:val="left"/>
      <w:lvlText w:val="%1."/>
      <w:numFmt w:val="upperLetter"/>
      <w:start w:val="2"/>
    </w:lvl>
  </w:abstractNum>
  <w:abstractNum w:abstractNumId="66">
    <w:nsid w:val="52A311C3"/>
    <w:multiLevelType w:val="hybridMultilevel"/>
    <w:lvl w:ilvl="0">
      <w:lvlJc w:val="left"/>
      <w:lvlText w:val="%1."/>
      <w:numFmt w:val="upperLetter"/>
      <w:start w:val="1"/>
    </w:lvl>
  </w:abstractNum>
  <w:abstractNum w:abstractNumId="67">
    <w:nsid w:val="44EF6B80"/>
    <w:multiLevelType w:val="hybridMultilevel"/>
    <w:lvl w:ilvl="0">
      <w:lvlJc w:val="left"/>
      <w:lvlText w:val="(%1)"/>
      <w:numFmt w:val="lowerLetter"/>
      <w:start w:val="1"/>
    </w:lvl>
  </w:abstractNum>
  <w:abstractNum w:abstractNumId="68">
    <w:nsid w:val="12FCDE5E"/>
    <w:multiLevelType w:val="hybridMultilevel"/>
    <w:lvl w:ilvl="0">
      <w:lvlJc w:val="left"/>
      <w:lvlText w:val="·"/>
      <w:numFmt w:val="bullet"/>
      <w:start w:val="1"/>
    </w:lvl>
  </w:abstractNum>
  <w:abstractNum w:abstractNumId="69">
    <w:nsid w:val="4A1D606E"/>
    <w:multiLevelType w:val="hybridMultilevel"/>
    <w:lvl w:ilvl="0">
      <w:lvlJc w:val="left"/>
      <w:lvlText w:val="%1."/>
      <w:numFmt w:val="upperLetter"/>
      <w:start w:val="3"/>
    </w:lvl>
  </w:abstractNum>
  <w:abstractNum w:abstractNumId="70">
    <w:nsid w:val="4382503"/>
    <w:multiLevelType w:val="hybridMultilevel"/>
    <w:lvl w:ilvl="0">
      <w:lvlJc w:val="left"/>
      <w:lvlText w:val="%1."/>
      <w:numFmt w:val="upperLetter"/>
      <w:start w:val="4"/>
    </w:lvl>
  </w:abstractNum>
  <w:abstractNum w:abstractNumId="71">
    <w:nsid w:val="59B76E28"/>
    <w:multiLevelType w:val="hybridMultilevel"/>
    <w:lvl w:ilvl="0">
      <w:lvlJc w:val="left"/>
      <w:lvlText w:val="%1."/>
      <w:numFmt w:val="upperLetter"/>
      <w:start w:val="5"/>
    </w:lvl>
  </w:abstractNum>
  <w:abstractNum w:abstractNumId="72">
    <w:nsid w:val="4252C2DA"/>
    <w:multiLevelType w:val="hybridMultilevel"/>
    <w:lvl w:ilvl="0">
      <w:lvlJc w:val="left"/>
      <w:lvlText w:val="·"/>
      <w:numFmt w:val="bullet"/>
      <w:start w:val="1"/>
    </w:lvl>
  </w:abstractNum>
  <w:abstractNum w:abstractNumId="73">
    <w:nsid w:val="6A92EF4C"/>
    <w:multiLevelType w:val="hybridMultilevel"/>
    <w:lvl w:ilvl="0">
      <w:lvlJc w:val="left"/>
      <w:lvlText w:val="·"/>
      <w:numFmt w:val="bullet"/>
      <w:start w:val="1"/>
    </w:lvl>
  </w:abstractNum>
  <w:abstractNum w:abstractNumId="74">
    <w:nsid w:val="41ED20D7"/>
    <w:multiLevelType w:val="hybridMultilevel"/>
    <w:lvl w:ilvl="0">
      <w:lvlJc w:val="left"/>
      <w:lvlText w:val="(%1)"/>
      <w:numFmt w:val="decimal"/>
      <w:start w:val="1"/>
    </w:lvl>
  </w:abstractNum>
  <w:abstractNum w:abstractNumId="75">
    <w:nsid w:val="E6B3F6A"/>
    <w:multiLevelType w:val="hybridMultilevel"/>
    <w:lvl w:ilvl="0">
      <w:lvlJc w:val="left"/>
      <w:lvlText w:val="(%1)"/>
      <w:numFmt w:val="lowerLetter"/>
      <w:start w:val="3"/>
    </w:lvl>
  </w:abstractNum>
  <w:abstractNum w:abstractNumId="76">
    <w:nsid w:val="3EB21819"/>
    <w:multiLevelType w:val="hybridMultilevel"/>
    <w:lvl w:ilvl="0">
      <w:lvlJc w:val="left"/>
      <w:lvlText w:val="·"/>
      <w:numFmt w:val="bullet"/>
      <w:start w:val="1"/>
    </w:lvl>
  </w:abstractNum>
  <w:abstractNum w:abstractNumId="77">
    <w:nsid w:val="41531DED"/>
    <w:multiLevelType w:val="hybridMultilevel"/>
    <w:lvl w:ilvl="0">
      <w:lvlJc w:val="left"/>
      <w:lvlText w:val="·"/>
      <w:numFmt w:val="bullet"/>
      <w:start w:val="1"/>
    </w:lvl>
  </w:abstractNum>
  <w:abstractNum w:abstractNumId="78">
    <w:nsid w:val="6353CD2"/>
    <w:multiLevelType w:val="hybridMultilevel"/>
    <w:lvl w:ilvl="0">
      <w:lvlJc w:val="left"/>
      <w:lvlText w:val="(%1)"/>
      <w:numFmt w:val="decimal"/>
      <w:start w:val="1"/>
    </w:lvl>
  </w:abstractNum>
  <w:abstractNum w:abstractNumId="79">
    <w:nsid w:val="683CAAD3"/>
    <w:multiLevelType w:val="hybridMultilevel"/>
    <w:lvl w:ilvl="0">
      <w:lvlJc w:val="left"/>
      <w:lvlText w:val="(%1)"/>
      <w:numFmt w:val="lowerLetter"/>
      <w:start w:val="2"/>
    </w:lvl>
  </w:abstractNum>
  <w:abstractNum w:abstractNumId="80">
    <w:nsid w:val="313C7C99"/>
    <w:multiLevelType w:val="hybridMultilevel"/>
    <w:lvl w:ilvl="0">
      <w:lvlJc w:val="left"/>
      <w:lvlText w:val="%1."/>
      <w:numFmt w:val="upperLetter"/>
      <w:start w:val="6"/>
    </w:lvl>
  </w:abstractNum>
  <w:abstractNum w:abstractNumId="81">
    <w:nsid w:val="519EB94C"/>
    <w:multiLevelType w:val="hybridMultilevel"/>
    <w:lvl w:ilvl="0">
      <w:lvlJc w:val="left"/>
      <w:lvlText w:val="%1."/>
      <w:numFmt w:val="upperLetter"/>
      <w:start w:val="9"/>
    </w:lvl>
  </w:abstractNum>
  <w:abstractNum w:abstractNumId="82">
    <w:nsid w:val="39DF2579"/>
    <w:multiLevelType w:val="hybridMultilevel"/>
    <w:lvl w:ilvl="0">
      <w:lvlJc w:val="left"/>
      <w:lvlText w:val="%1."/>
      <w:numFmt w:val="upperLetter"/>
      <w:start w:val="1"/>
    </w:lvl>
  </w:abstractNum>
  <w:abstractNum w:abstractNumId="83">
    <w:nsid w:val="126E008B"/>
    <w:multiLevelType w:val="hybridMultilevel"/>
    <w:lvl w:ilvl="0">
      <w:lvlJc w:val="left"/>
      <w:lvlText w:val="(%1)"/>
      <w:numFmt w:val="decimal"/>
      <w:start w:val="1"/>
    </w:lvl>
  </w:abstractNum>
  <w:abstractNum w:abstractNumId="84">
    <w:nsid w:val="34DFBC00"/>
    <w:multiLevelType w:val="hybridMultilevel"/>
    <w:lvl w:ilvl="0">
      <w:lvlJc w:val="left"/>
      <w:lvlText w:val="·"/>
      <w:numFmt w:val="bullet"/>
      <w:start w:val="1"/>
    </w:lvl>
  </w:abstractNum>
  <w:abstractNum w:abstractNumId="85">
    <w:nsid w:val="1F9EC322"/>
    <w:multiLevelType w:val="hybridMultilevel"/>
    <w:lvl w:ilvl="0">
      <w:lvlJc w:val="left"/>
      <w:lvlText w:val="(%1)"/>
      <w:numFmt w:val="decimal"/>
      <w:start w:val="1"/>
    </w:lvl>
  </w:abstractNum>
  <w:abstractNum w:abstractNumId="86">
    <w:nsid w:val="3410ED56"/>
    <w:multiLevelType w:val="hybridMultilevel"/>
    <w:lvl w:ilvl="0">
      <w:lvlJc w:val="left"/>
      <w:lvlText w:val="%1."/>
      <w:numFmt w:val="decimal"/>
      <w:start w:val="1"/>
    </w:lvl>
  </w:abstractNum>
  <w:abstractNum w:abstractNumId="87">
    <w:nsid w:val="23C049A"/>
    <w:multiLevelType w:val="hybridMultilevel"/>
    <w:lvl w:ilvl="0">
      <w:lvlJc w:val="left"/>
      <w:lvlText w:val="(%1)"/>
      <w:numFmt w:val="decimal"/>
      <w:start w:val="1"/>
    </w:lvl>
  </w:abstractNum>
  <w:abstractNum w:abstractNumId="88">
    <w:nsid w:val="5BDA35D4"/>
    <w:multiLevelType w:val="hybridMultilevel"/>
    <w:lvl w:ilvl="0">
      <w:lvlJc w:val="left"/>
      <w:lvlText w:val="·"/>
      <w:numFmt w:val="bullet"/>
      <w:start w:val="1"/>
    </w:lvl>
  </w:abstractNum>
  <w:abstractNum w:abstractNumId="89">
    <w:nsid w:val="496FB218"/>
    <w:multiLevelType w:val="hybridMultilevel"/>
    <w:lvl w:ilvl="0">
      <w:lvlJc w:val="left"/>
      <w:lvlText w:val="·"/>
      <w:numFmt w:val="bullet"/>
      <w:start w:val="1"/>
    </w:lvl>
  </w:abstractNum>
  <w:abstractNum w:abstractNumId="90">
    <w:nsid w:val="680EA5D1"/>
    <w:multiLevelType w:val="hybridMultilevel"/>
    <w:lvl w:ilvl="0">
      <w:lvlJc w:val="left"/>
      <w:lvlText w:val="·"/>
      <w:numFmt w:val="bullet"/>
      <w:start w:val="1"/>
    </w:lvl>
  </w:abstractNum>
  <w:abstractNum w:abstractNumId="91">
    <w:nsid w:val="4A9554FE"/>
    <w:multiLevelType w:val="hybridMultilevel"/>
    <w:lvl w:ilvl="0">
      <w:lvlJc w:val="left"/>
      <w:lvlText w:val="·"/>
      <w:numFmt w:val="bullet"/>
      <w:start w:val="1"/>
    </w:lvl>
  </w:abstractNum>
  <w:abstractNum w:abstractNumId="92">
    <w:nsid w:val="392EDBE4"/>
    <w:multiLevelType w:val="hybridMultilevel"/>
    <w:lvl w:ilvl="0">
      <w:lvlJc w:val="left"/>
      <w:lvlText w:val="·"/>
      <w:numFmt w:val="bullet"/>
      <w:start w:val="1"/>
    </w:lvl>
  </w:abstractNum>
  <w:abstractNum w:abstractNumId="93">
    <w:nsid w:val="3D1A2DD9"/>
    <w:multiLevelType w:val="hybridMultilevel"/>
    <w:lvl w:ilvl="0">
      <w:lvlJc w:val="left"/>
      <w:lvlText w:val="·"/>
      <w:numFmt w:val="bullet"/>
      <w:start w:val="1"/>
    </w:lvl>
  </w:abstractNum>
  <w:abstractNum w:abstractNumId="94">
    <w:nsid w:val="7F618FCD"/>
    <w:multiLevelType w:val="hybridMultilevel"/>
    <w:lvl w:ilvl="0">
      <w:lvlJc w:val="left"/>
      <w:lvlText w:val="%1."/>
      <w:numFmt w:val="decimal"/>
      <w:start w:val="2"/>
    </w:lvl>
  </w:abstractNum>
  <w:abstractNum w:abstractNumId="95">
    <w:nsid w:val="7843E45"/>
    <w:multiLevelType w:val="hybridMultilevel"/>
    <w:lvl w:ilvl="0">
      <w:lvlJc w:val="left"/>
      <w:lvlText w:val="(%1)"/>
      <w:numFmt w:val="lowerLetter"/>
      <w:start w:val="3"/>
    </w:lvl>
  </w:abstractNum>
  <w:abstractNum w:abstractNumId="96">
    <w:nsid w:val="9815DA3"/>
    <w:multiLevelType w:val="hybridMultilevel"/>
    <w:lvl w:ilvl="0">
      <w:lvlJc w:val="left"/>
      <w:lvlText w:val="(%1)"/>
      <w:numFmt w:val="lowerRoman"/>
      <w:start w:val="1"/>
    </w:lvl>
  </w:abstractNum>
  <w:abstractNum w:abstractNumId="97">
    <w:nsid w:val="5204A191"/>
    <w:multiLevelType w:val="hybridMultilevel"/>
    <w:lvl w:ilvl="0">
      <w:lvlJc w:val="left"/>
      <w:lvlText w:val="(%1)"/>
      <w:numFmt w:val="lowerRoman"/>
      <w:start w:val="2"/>
    </w:lvl>
  </w:abstractNum>
  <w:abstractNum w:abstractNumId="98">
    <w:nsid w:val="4C73A9C6"/>
    <w:multiLevelType w:val="hybridMultilevel"/>
    <w:lvl w:ilvl="0">
      <w:lvlJc w:val="left"/>
      <w:lvlText w:val="(%1)"/>
      <w:numFmt w:val="lowerRoman"/>
      <w:start w:val="3"/>
    </w:lvl>
  </w:abstractNum>
  <w:abstractNum w:abstractNumId="99">
    <w:nsid w:val="1C7E3C01"/>
    <w:multiLevelType w:val="hybridMultilevel"/>
    <w:lvl w:ilvl="0">
      <w:lvlJc w:val="left"/>
      <w:lvlText w:val="(%1)"/>
      <w:numFmt w:val="lowerRoman"/>
      <w:start w:val="4"/>
    </w:lvl>
  </w:abstractNum>
  <w:abstractNum w:abstractNumId="100">
    <w:nsid w:val="1C2201FF"/>
    <w:multiLevelType w:val="hybridMultilevel"/>
    <w:lvl w:ilvl="0">
      <w:lvlJc w:val="left"/>
      <w:lvlText w:val="(%1)"/>
      <w:numFmt w:val="lowerRoman"/>
      <w:start w:val="1"/>
    </w:lvl>
  </w:abstractNum>
  <w:abstractNum w:abstractNumId="101">
    <w:nsid w:val="50ABCEC9"/>
    <w:multiLevelType w:val="hybridMultilevel"/>
    <w:lvl w:ilvl="0">
      <w:lvlJc w:val="left"/>
      <w:lvlText w:val="(%1)"/>
      <w:numFmt w:val="lowerLetter"/>
      <w:start w:val="5"/>
    </w:lvl>
  </w:abstractNum>
  <w:abstractNum w:abstractNumId="102">
    <w:nsid w:val="7635AA2A"/>
    <w:multiLevelType w:val="hybridMultilevel"/>
    <w:lvl w:ilvl="0">
      <w:lvlJc w:val="left"/>
      <w:lvlText w:val="(%1)"/>
      <w:numFmt w:val="lowerLetter"/>
      <w:start w:val="6"/>
    </w:lvl>
  </w:abstractNum>
  <w:abstractNum w:abstractNumId="103">
    <w:nsid w:val="5E74C4D9"/>
    <w:multiLevelType w:val="hybridMultilevel"/>
    <w:lvl w:ilvl="0">
      <w:lvlJc w:val="left"/>
      <w:lvlText w:val="(%1)"/>
      <w:numFmt w:val="lowerRoman"/>
      <w:start w:val="1"/>
    </w:lvl>
  </w:abstractNum>
  <w:abstractNum w:abstractNumId="104">
    <w:nsid w:val="3B3EBE15"/>
    <w:multiLevelType w:val="hybridMultilevel"/>
    <w:lvl w:ilvl="0">
      <w:lvlJc w:val="left"/>
      <w:lvlText w:val="(%1)"/>
      <w:numFmt w:val="lowerLetter"/>
      <w:start w:val="10"/>
    </w:lvl>
  </w:abstractNum>
  <w:abstractNum w:abstractNumId="105">
    <w:nsid w:val="3822CB01"/>
    <w:multiLevelType w:val="hybridMultilevel"/>
    <w:lvl w:ilvl="0">
      <w:lvlJc w:val="left"/>
      <w:lvlText w:val="(%1)"/>
      <w:numFmt w:val="lowerLetter"/>
      <w:start w:val="12"/>
    </w:lvl>
  </w:abstractNum>
  <w:abstractNum w:abstractNumId="106">
    <w:nsid w:val="6CE00443"/>
    <w:multiLevelType w:val="hybridMultilevel"/>
    <w:lvl w:ilvl="0">
      <w:lvlJc w:val="left"/>
      <w:lvlText w:val="(%1)"/>
      <w:numFmt w:val="lowerLetter"/>
      <w:start w:val="18"/>
    </w:lvl>
  </w:abstractNum>
  <w:abstractNum w:abstractNumId="107">
    <w:nsid w:val="79F0D62F"/>
    <w:multiLevelType w:val="hybridMultilevel"/>
    <w:lvl w:ilvl="0">
      <w:lvlJc w:val="left"/>
      <w:lvlText w:val="(%1)"/>
      <w:numFmt w:val="lowerRoman"/>
      <w:start w:val="2"/>
    </w:lvl>
  </w:abstractNum>
  <w:abstractNum w:abstractNumId="108">
    <w:nsid w:val="7975E8EE"/>
    <w:multiLevelType w:val="hybridMultilevel"/>
    <w:lvl w:ilvl="0">
      <w:lvlJc w:val="left"/>
      <w:lvlText w:val="(%1)"/>
      <w:numFmt w:val="lowerLetter"/>
      <w:start w:val="19"/>
    </w:lvl>
  </w:abstractNum>
  <w:abstractNum w:abstractNumId="109">
    <w:nsid w:val="73154115"/>
    <w:multiLevelType w:val="hybridMultilevel"/>
    <w:lvl w:ilvl="0">
      <w:lvlJc w:val="left"/>
      <w:lvlText w:val="(%1)"/>
      <w:numFmt w:val="lowerLetter"/>
      <w:start w:val="20"/>
    </w:lvl>
  </w:abstractNum>
  <w:abstractNum w:abstractNumId="110">
    <w:nsid w:val="622D8102"/>
    <w:multiLevelType w:val="hybridMultilevel"/>
    <w:lvl w:ilvl="0">
      <w:lvlJc w:val="left"/>
      <w:lvlText w:val="%1."/>
      <w:numFmt w:val="decimal"/>
      <w:start w:val="3"/>
    </w:lvl>
  </w:abstractNum>
  <w:abstractNum w:abstractNumId="111">
    <w:nsid w:val="2AB26587"/>
    <w:multiLevelType w:val="hybridMultilevel"/>
    <w:lvl w:ilvl="0">
      <w:lvlJc w:val="left"/>
      <w:lvlText w:val="(%1)"/>
      <w:numFmt w:val="lowerLetter"/>
      <w:start w:val="3"/>
    </w:lvl>
  </w:abstractNum>
  <w:abstractNum w:abstractNumId="112">
    <w:nsid w:val="44B3FA61"/>
    <w:multiLevelType w:val="hybridMultilevel"/>
    <w:lvl w:ilvl="0">
      <w:lvlJc w:val="left"/>
      <w:lvlText w:val="%1."/>
      <w:numFmt w:val="decimal"/>
      <w:start w:val="5"/>
    </w:lvl>
  </w:abstractNum>
  <w:abstractNum w:abstractNumId="113">
    <w:nsid w:val="1C0CA67C"/>
    <w:multiLevelType w:val="hybridMultilevel"/>
    <w:lvl w:ilvl="0">
      <w:lvlJc w:val="left"/>
      <w:lvlText w:val="%1."/>
      <w:numFmt w:val="decimal"/>
      <w:start w:val="7"/>
    </w:lvl>
  </w:abstractNum>
  <w:abstractNum w:abstractNumId="114">
    <w:nsid w:val="3D206613"/>
    <w:multiLevelType w:val="hybridMultilevel"/>
    <w:lvl w:ilvl="0">
      <w:lvlJc w:val="left"/>
      <w:lvlText w:val="(%1)"/>
      <w:numFmt w:val="decimal"/>
      <w:start w:val="1"/>
    </w:lvl>
  </w:abstractNum>
  <w:abstractNum w:abstractNumId="115">
    <w:nsid w:val="7993B662"/>
    <w:multiLevelType w:val="hybridMultilevel"/>
    <w:lvl w:ilvl="0">
      <w:lvlJc w:val="left"/>
      <w:lvlText w:val="(%1)"/>
      <w:numFmt w:val="lowerLetter"/>
      <w:start w:val="3"/>
    </w:lvl>
  </w:abstractNum>
  <w:abstractNum w:abstractNumId="116">
    <w:nsid w:val="3BAB699E"/>
    <w:multiLevelType w:val="hybridMultilevel"/>
    <w:lvl w:ilvl="0">
      <w:lvlJc w:val="left"/>
      <w:lvlText w:val="(%1)"/>
      <w:numFmt w:val="lowerLetter"/>
      <w:start w:val="3"/>
    </w:lvl>
  </w:abstractNum>
  <w:abstractNum w:abstractNumId="117">
    <w:nsid w:val="71315369"/>
    <w:multiLevelType w:val="hybridMultilevel"/>
    <w:lvl w:ilvl="0">
      <w:lvlJc w:val="left"/>
      <w:lvlText w:val="(%1)"/>
      <w:numFmt w:val="lowerLetter"/>
      <w:start w:val="2"/>
    </w:lvl>
  </w:abstractNum>
  <w:abstractNum w:abstractNumId="118">
    <w:nsid w:val="7BCFBAFC"/>
    <w:multiLevelType w:val="hybridMultilevel"/>
    <w:lvl w:ilvl="0">
      <w:lvlJc w:val="left"/>
      <w:lvlText w:val="(%1)"/>
      <w:numFmt w:val="decimal"/>
      <w:start w:val="1"/>
    </w:lvl>
  </w:abstractNum>
  <w:abstractNum w:abstractNumId="119">
    <w:nsid w:val="17859F72"/>
    <w:multiLevelType w:val="hybridMultilevel"/>
    <w:lvl w:ilvl="0">
      <w:lvlJc w:val="left"/>
      <w:lvlText w:val="%1."/>
      <w:numFmt w:val="decimal"/>
      <w:start w:val="1"/>
    </w:lvl>
  </w:abstractNum>
  <w:abstractNum w:abstractNumId="120">
    <w:nsid w:val="3AA10581"/>
    <w:multiLevelType w:val="hybridMultilevel"/>
    <w:lvl w:ilvl="0">
      <w:lvlJc w:val="left"/>
      <w:lvlText w:val="(%1)"/>
      <w:numFmt w:val="lowerLetter"/>
      <w:start w:val="1"/>
    </w:lvl>
  </w:abstractNum>
  <w:abstractNum w:abstractNumId="121">
    <w:nsid w:val="63DE60CD"/>
    <w:multiLevelType w:val="hybridMultilevel"/>
    <w:lvl w:ilvl="0">
      <w:lvlJc w:val="left"/>
      <w:lvlText w:val="(%1)"/>
      <w:numFmt w:val="lowerLetter"/>
      <w:start w:val="1"/>
    </w:lvl>
  </w:abstractNum>
  <w:abstractNum w:abstractNumId="122">
    <w:nsid w:val="621AF471"/>
    <w:multiLevelType w:val="hybridMultilevel"/>
    <w:lvl w:ilvl="0">
      <w:lvlJc w:val="left"/>
      <w:lvlText w:val="(%1)"/>
      <w:numFmt w:val="lowerLetter"/>
      <w:start w:val="1"/>
    </w:lvl>
  </w:abstractNum>
  <w:abstractNum w:abstractNumId="123">
    <w:nsid w:val="73CFE165"/>
    <w:multiLevelType w:val="hybridMultilevel"/>
    <w:lvl w:ilvl="0">
      <w:lvlJc w:val="left"/>
      <w:lvlText w:val="(%1)"/>
      <w:numFmt w:val="lowerLetter"/>
      <w:start w:val="1"/>
    </w:lvl>
  </w:abstractNum>
  <w:abstractNum w:abstractNumId="124">
    <w:nsid w:val="20F88EA6"/>
    <w:multiLevelType w:val="hybridMultilevel"/>
    <w:lvl w:ilvl="0">
      <w:lvlJc w:val="left"/>
      <w:lvlText w:val="(%1)"/>
      <w:numFmt w:val="lowerLetter"/>
      <w:start w:val="2"/>
    </w:lvl>
  </w:abstractNum>
  <w:abstractNum w:abstractNumId="125">
    <w:nsid w:val="617C843E"/>
    <w:multiLevelType w:val="hybridMultilevel"/>
    <w:lvl w:ilvl="0">
      <w:lvlJc w:val="left"/>
      <w:lvlText w:val="(%1)"/>
      <w:numFmt w:val="lowerLetter"/>
      <w:start w:val="1"/>
    </w:lvl>
  </w:abstractNum>
  <w:abstractNum w:abstractNumId="126">
    <w:nsid w:val="7B541FAB"/>
    <w:multiLevelType w:val="hybridMultilevel"/>
    <w:lvl w:ilvl="0">
      <w:lvlJc w:val="left"/>
      <w:lvlText w:val="(%1)"/>
      <w:numFmt w:val="lowerLetter"/>
      <w:start w:val="1"/>
    </w:lvl>
  </w:abstractNum>
  <w:abstractNum w:abstractNumId="127">
    <w:nsid w:val="2A79EC49"/>
    <w:multiLevelType w:val="hybridMultilevel"/>
    <w:lvl w:ilvl="0">
      <w:lvlJc w:val="left"/>
      <w:lvlText w:val="(%1)"/>
      <w:numFmt w:val="lowerLetter"/>
      <w:start w:val="1"/>
    </w:lvl>
  </w:abstractNum>
  <w:abstractNum w:abstractNumId="128">
    <w:nsid w:val="338125CF"/>
    <w:multiLevelType w:val="hybridMultilevel"/>
    <w:lvl w:ilvl="0">
      <w:lvlJc w:val="left"/>
      <w:lvlText w:val="(%1)"/>
      <w:numFmt w:val="lowerRoman"/>
      <w:start w:val="1"/>
    </w:lvl>
  </w:abstractNum>
  <w:abstractNum w:abstractNumId="129">
    <w:nsid w:val="47C7C971"/>
    <w:multiLevelType w:val="hybridMultilevel"/>
    <w:lvl w:ilvl="0">
      <w:lvlJc w:val="left"/>
      <w:lvlText w:val="(%1)"/>
      <w:numFmt w:val="lowerLetter"/>
      <w:start w:val="1"/>
    </w:lvl>
  </w:abstractNum>
  <w:abstractNum w:abstractNumId="130">
    <w:nsid w:val="46F8284B"/>
    <w:multiLevelType w:val="hybridMultilevel"/>
    <w:lvl w:ilvl="0">
      <w:lvlJc w:val="left"/>
      <w:lvlText w:val="(%1)"/>
      <w:numFmt w:val="lowerRoman"/>
      <w:start w:val="1"/>
    </w:lvl>
  </w:abstractNum>
  <w:abstractNum w:abstractNumId="131">
    <w:nsid w:val="4FA327CE"/>
    <w:multiLevelType w:val="hybridMultilevel"/>
    <w:lvl w:ilvl="0">
      <w:lvlJc w:val="left"/>
      <w:lvlText w:val="(%1)"/>
      <w:numFmt w:val="lowerLetter"/>
      <w:start w:val="1"/>
    </w:lvl>
  </w:abstractNum>
  <w:abstractNum w:abstractNumId="132">
    <w:nsid w:val="187398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
    <w:nsid w:val="3D2DD275"/>
    <w:multiLevelType w:val="hybridMultilevel"/>
    <w:lvl w:ilvl="0">
      <w:lvlJc w:val="left"/>
      <w:lvlText w:val="(%1)"/>
      <w:numFmt w:val="lowerRoman"/>
      <w:start w:val="2"/>
    </w:lvl>
  </w:abstractNum>
  <w:abstractNum w:abstractNumId="134">
    <w:nsid w:val="2E17ECA7"/>
    <w:multiLevelType w:val="hybridMultilevel"/>
    <w:lvl w:ilvl="0">
      <w:lvlJc w:val="left"/>
      <w:lvlText w:val="(%1)"/>
      <w:numFmt w:val="lowerLetter"/>
      <w:start w:val="1"/>
    </w:lvl>
    <w:lvl w:ilvl="1">
      <w:lvlJc w:val="left"/>
      <w:lvlText w:val="(%2)"/>
      <w:numFmt w:val="lowerRoman"/>
      <w:start w:val="1"/>
    </w:lvl>
  </w:abstractNum>
  <w:abstractNum w:abstractNumId="135">
    <w:nsid w:val="53B2564F"/>
    <w:multiLevelType w:val="hybridMultilevel"/>
    <w:lvl w:ilvl="0">
      <w:lvlJc w:val="left"/>
      <w:lvlText w:val="(%1)"/>
      <w:numFmt w:val="lowerLetter"/>
      <w:start w:val="1"/>
    </w:lvl>
  </w:abstractNum>
  <w:abstractNum w:abstractNumId="136">
    <w:nsid w:val="75509D76"/>
    <w:multiLevelType w:val="hybridMultilevel"/>
    <w:lvl w:ilvl="0">
      <w:lvlJc w:val="left"/>
      <w:lvlText w:val="(%1)"/>
      <w:numFmt w:val="lowerLetter"/>
      <w:start w:val="1"/>
    </w:lvl>
  </w:abstractNum>
  <w:abstractNum w:abstractNumId="137">
    <w:nsid w:val="1AF7F0EA"/>
    <w:multiLevelType w:val="hybridMultilevel"/>
    <w:lvl w:ilvl="0">
      <w:lvlJc w:val="left"/>
      <w:lvlText w:val="(%1)"/>
      <w:numFmt w:val="lowerLetter"/>
      <w:start w:val="1"/>
    </w:lvl>
  </w:abstractNum>
  <w:abstractNum w:abstractNumId="138">
    <w:nsid w:val="4DA32C7E"/>
    <w:multiLevelType w:val="hybridMultilevel"/>
    <w:lvl w:ilvl="0">
      <w:lvlJc w:val="left"/>
      <w:lvlText w:val="(%1)"/>
      <w:numFmt w:val="lowerLetter"/>
      <w:start w:val="1"/>
    </w:lvl>
  </w:abstractNum>
  <w:abstractNum w:abstractNumId="139">
    <w:nsid w:val="6EC68664"/>
    <w:multiLevelType w:val="hybridMultilevel"/>
    <w:lvl w:ilvl="0">
      <w:lvlJc w:val="left"/>
      <w:lvlText w:val="(%1)"/>
      <w:numFmt w:val="lowerLetter"/>
      <w:start w:val="1"/>
    </w:lvl>
  </w:abstractNum>
  <w:abstractNum w:abstractNumId="140">
    <w:nsid w:val="E0D31FF"/>
    <w:multiLevelType w:val="hybridMultilevel"/>
    <w:lvl w:ilvl="0">
      <w:lvlJc w:val="left"/>
      <w:lvlText w:val="(%1)"/>
      <w:numFmt w:val="lowerLetter"/>
      <w:start w:val="7"/>
    </w:lvl>
  </w:abstractNum>
  <w:abstractNum w:abstractNumId="141">
    <w:nsid w:val="2FD0AD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1978EBEB"/>
    <w:multiLevelType w:val="hybridMultilevel"/>
    <w:lvl w:ilvl="0">
      <w:lvlJc w:val="left"/>
      <w:lvlText w:val="(%1)"/>
      <w:numFmt w:val="lowerRoman"/>
      <w:start w:val="2"/>
    </w:lvl>
  </w:abstractNum>
  <w:abstractNum w:abstractNumId="143">
    <w:nsid w:val="52C12C61"/>
    <w:multiLevelType w:val="hybridMultilevel"/>
    <w:lvl w:ilvl="0">
      <w:lvlJc w:val="left"/>
      <w:lvlText w:val="(%1)"/>
      <w:numFmt w:val="lowerLetter"/>
      <w:start w:val="1"/>
    </w:lvl>
    <w:lvl w:ilvl="1">
      <w:lvlJc w:val="left"/>
      <w:lvlText w:val="(%2)"/>
      <w:numFmt w:val="lowerRoman"/>
      <w:start w:val="1"/>
    </w:lvl>
  </w:abstractNum>
  <w:abstractNum w:abstractNumId="144">
    <w:nsid w:val="4BDD53FD"/>
    <w:multiLevelType w:val="hybridMultilevel"/>
    <w:lvl w:ilvl="0">
      <w:lvlJc w:val="left"/>
      <w:lvlText w:val="(%1)"/>
      <w:numFmt w:val="lowerLetter"/>
      <w:start w:val="10"/>
    </w:lvl>
  </w:abstractNum>
  <w:abstractNum w:abstractNumId="145">
    <w:nsid w:val="569951FE"/>
    <w:multiLevelType w:val="hybridMultilevel"/>
    <w:lvl w:ilvl="0">
      <w:lvlJc w:val="left"/>
      <w:lvlText w:val="(%1)"/>
      <w:numFmt w:val="lowerLetter"/>
      <w:start w:val="1"/>
    </w:lvl>
  </w:abstractNum>
  <w:abstractNum w:abstractNumId="146">
    <w:nsid w:val="4C54E2C3"/>
    <w:multiLevelType w:val="hybridMultilevel"/>
    <w:lvl w:ilvl="0">
      <w:lvlJc w:val="left"/>
      <w:lvlText w:val="(%1)"/>
      <w:numFmt w:val="lowerLetter"/>
      <w:start w:val="1"/>
    </w:lvl>
  </w:abstractNum>
  <w:abstractNum w:abstractNumId="147">
    <w:nsid w:val="788BD9B"/>
    <w:multiLevelType w:val="hybridMultilevel"/>
    <w:lvl w:ilvl="0">
      <w:lvlJc w:val="left"/>
      <w:lvlText w:val="(%1)"/>
      <w:numFmt w:val="lowerLetter"/>
      <w:start w:val="1"/>
    </w:lvl>
  </w:abstractNum>
  <w:abstractNum w:abstractNumId="148">
    <w:nsid w:val="47CAA567"/>
    <w:multiLevelType w:val="hybridMultilevel"/>
    <w:lvl w:ilvl="0">
      <w:lvlJc w:val="left"/>
      <w:lvlText w:val="(%1)"/>
      <w:numFmt w:val="lowerLetter"/>
      <w:start w:val="1"/>
    </w:lvl>
  </w:abstractNum>
  <w:abstractNum w:abstractNumId="149">
    <w:nsid w:val="48249DBF"/>
    <w:multiLevelType w:val="hybridMultilevel"/>
    <w:lvl w:ilvl="0">
      <w:lvlJc w:val="left"/>
      <w:lvlText w:val="(%1)"/>
      <w:numFmt w:val="lowerLetter"/>
      <w:start w:val="2"/>
    </w:lvl>
  </w:abstractNum>
  <w:abstractNum w:abstractNumId="150">
    <w:nsid w:val="1F0E5D0D"/>
    <w:multiLevelType w:val="hybridMultilevel"/>
    <w:lvl w:ilvl="0">
      <w:lvlJc w:val="left"/>
      <w:lvlText w:val="(%1)"/>
      <w:numFmt w:val="lowerLetter"/>
      <w:start w:val="1"/>
    </w:lvl>
  </w:abstractNum>
  <w:abstractNum w:abstractNumId="151">
    <w:nsid w:val="26BAAE9"/>
    <w:multiLevelType w:val="hybridMultilevel"/>
    <w:lvl w:ilvl="0">
      <w:lvlJc w:val="left"/>
      <w:lvlText w:val="(%1)"/>
      <w:numFmt w:val="lowerLetter"/>
      <w:start w:val="1"/>
    </w:lvl>
  </w:abstractNum>
  <w:abstractNum w:abstractNumId="152">
    <w:nsid w:val="2C02FE8C"/>
    <w:multiLevelType w:val="hybridMultilevel"/>
    <w:lvl w:ilvl="0">
      <w:lvlJc w:val="left"/>
      <w:lvlText w:val="(%1)"/>
      <w:numFmt w:val="lowerLetter"/>
      <w:start w:val="1"/>
    </w:lvl>
  </w:abstractNum>
  <w:abstractNum w:abstractNumId="153">
    <w:nsid w:val="129517E"/>
    <w:multiLevelType w:val="hybridMultilevel"/>
    <w:lvl w:ilvl="0">
      <w:lvlJc w:val="left"/>
      <w:lvlText w:val="(%1)"/>
      <w:numFmt w:val="lowerLetter"/>
      <w:start w:val="3"/>
    </w:lvl>
  </w:abstractNum>
  <w:abstractNum w:abstractNumId="154">
    <w:nsid w:val="763B8C4E"/>
    <w:multiLevelType w:val="hybridMultilevel"/>
    <w:lvl w:ilvl="0">
      <w:lvlJc w:val="left"/>
      <w:lvlText w:val="(%1)"/>
      <w:numFmt w:val="lowerLetter"/>
      <w:start w:val="1"/>
    </w:lvl>
  </w:abstractNum>
  <w:abstractNum w:abstractNumId="155">
    <w:nsid w:val="4CFB8D32"/>
    <w:multiLevelType w:val="hybridMultilevel"/>
    <w:lvl w:ilvl="0">
      <w:lvlJc w:val="left"/>
      <w:lvlText w:val="(%1)"/>
      <w:numFmt w:val="lowerLetter"/>
      <w:start w:val="1"/>
    </w:lvl>
  </w:abstractNum>
  <w:abstractNum w:abstractNumId="156">
    <w:nsid w:val="62A5D5BD"/>
    <w:multiLevelType w:val="hybridMultilevel"/>
    <w:lvl w:ilvl="0">
      <w:lvlJc w:val="left"/>
      <w:lvlText w:val="(%1)"/>
      <w:numFmt w:val="lowerLetter"/>
      <w:start w:val="1"/>
    </w:lvl>
    <w:lvl w:ilvl="1">
      <w:lvlJc w:val="left"/>
      <w:lvlText w:val="(%2)"/>
      <w:numFmt w:val="lowerRoman"/>
      <w:start w:val="1"/>
    </w:lvl>
  </w:abstractNum>
  <w:abstractNum w:abstractNumId="157">
    <w:nsid w:val="718FABF9"/>
    <w:multiLevelType w:val="hybridMultilevel"/>
    <w:lvl w:ilvl="0">
      <w:lvlJc w:val="left"/>
      <w:lvlText w:val="(%1)"/>
      <w:numFmt w:val="lowerLetter"/>
      <w:start w:val="2"/>
    </w:lvl>
  </w:abstractNum>
  <w:abstractNum w:abstractNumId="158">
    <w:nsid w:val="7775797C"/>
    <w:multiLevelType w:val="hybridMultilevel"/>
    <w:lvl w:ilvl="0">
      <w:lvlJc w:val="left"/>
      <w:lvlText w:val="(%1)"/>
      <w:numFmt w:val="lowerLetter"/>
      <w:start w:val="1"/>
    </w:lvl>
  </w:abstractNum>
  <w:abstractNum w:abstractNumId="159">
    <w:nsid w:val="1626FB8C"/>
    <w:multiLevelType w:val="hybridMultilevel"/>
    <w:lvl w:ilvl="0">
      <w:lvlJc w:val="left"/>
      <w:lvlText w:val="(%1)"/>
      <w:numFmt w:val="lowerLetter"/>
      <w:start w:val="1"/>
    </w:lvl>
  </w:abstractNum>
  <w:abstractNum w:abstractNumId="160">
    <w:nsid w:val="3957756A"/>
    <w:multiLevelType w:val="hybridMultilevel"/>
    <w:lvl w:ilvl="0">
      <w:lvlJc w:val="left"/>
      <w:lvlText w:val="(%1)"/>
      <w:numFmt w:val="lowerLetter"/>
      <w:start w:val="1"/>
    </w:lvl>
  </w:abstractNum>
  <w:abstractNum w:abstractNumId="161">
    <w:nsid w:val="3E6DA1C7"/>
    <w:multiLevelType w:val="hybridMultilevel"/>
    <w:lvl w:ilvl="0">
      <w:lvlJc w:val="left"/>
      <w:lvlText w:val="(%1)"/>
      <w:numFmt w:val="lowerLetter"/>
      <w:start w:val="1"/>
    </w:lvl>
    <w:lvl w:ilvl="1">
      <w:lvlJc w:val="left"/>
      <w:lvlText w:val="(%2)"/>
      <w:numFmt w:val="upperLetter"/>
      <w:start w:val="1"/>
    </w:lvl>
  </w:abstractNum>
  <w:abstractNum w:abstractNumId="162">
    <w:nsid w:val="65CA235B"/>
    <w:multiLevelType w:val="hybridMultilevel"/>
    <w:lvl w:ilvl="0">
      <w:lvlJc w:val="left"/>
      <w:lvlText w:val="%1"/>
      <w:numFmt w:val="lowerLetter"/>
      <w:start w:val="1"/>
    </w:lvl>
    <w:lvl w:ilvl="1">
      <w:lvlJc w:val="left"/>
      <w:lvlText w:val="(%2)"/>
      <w:numFmt w:val="lowerRoman"/>
      <w:start w:val="2"/>
    </w:lvl>
  </w:abstractNum>
  <w:abstractNum w:abstractNumId="163">
    <w:nsid w:val="51CB0DA4"/>
    <w:multiLevelType w:val="hybridMultilevel"/>
    <w:lvl w:ilvl="0">
      <w:lvlJc w:val="left"/>
      <w:lvlText w:val="(%1)"/>
      <w:numFmt w:val="lowerLetter"/>
      <w:start w:val="3"/>
    </w:lvl>
    <w:lvl w:ilvl="1">
      <w:lvlJc w:val="left"/>
      <w:lvlText w:val="(%2)"/>
      <w:numFmt w:val="lowerRoman"/>
      <w:start w:val="1"/>
    </w:lvl>
  </w:abstractNum>
  <w:abstractNum w:abstractNumId="164">
    <w:nsid w:val="7B9B743C"/>
    <w:multiLevelType w:val="hybridMultilevel"/>
    <w:lvl w:ilvl="0">
      <w:lvlJc w:val="left"/>
      <w:lvlText w:val="(%1)"/>
      <w:numFmt w:val="lowerLetter"/>
      <w:start w:val="1"/>
    </w:lvl>
  </w:abstractNum>
  <w:abstractNum w:abstractNumId="165">
    <w:nsid w:val="13E21002"/>
    <w:multiLevelType w:val="hybridMultilevel"/>
    <w:lvl w:ilvl="0">
      <w:lvlJc w:val="left"/>
      <w:lvlText w:val="(%1)"/>
      <w:numFmt w:val="lowerLetter"/>
      <w:start w:val="2"/>
    </w:lvl>
  </w:abstractNum>
  <w:abstractNum w:abstractNumId="166">
    <w:nsid w:val="257D63F4"/>
    <w:multiLevelType w:val="hybridMultilevel"/>
    <w:lvl w:ilvl="0">
      <w:lvlJc w:val="left"/>
      <w:lvlText w:val="(%1)"/>
      <w:numFmt w:val="lowerLetter"/>
      <w:start w:val="1"/>
    </w:lvl>
    <w:lvl w:ilvl="1">
      <w:lvlJc w:val="left"/>
      <w:lvlText w:val="(%2)"/>
      <w:numFmt w:val="lowerRoman"/>
      <w:start w:val="1"/>
    </w:lvl>
  </w:abstractNum>
  <w:abstractNum w:abstractNumId="167">
    <w:nsid w:val="70EC11B2"/>
    <w:multiLevelType w:val="hybridMultilevel"/>
    <w:lvl w:ilvl="0">
      <w:lvlJc w:val="left"/>
      <w:lvlText w:val="(%1)"/>
      <w:numFmt w:val="lowerLetter"/>
      <w:start w:val="1"/>
    </w:lvl>
  </w:abstractNum>
  <w:abstractNum w:abstractNumId="168">
    <w:nsid w:val="2EDA00ED"/>
    <w:multiLevelType w:val="hybridMultilevel"/>
    <w:lvl w:ilvl="0">
      <w:lvlJc w:val="left"/>
      <w:lvlText w:val="(%1)"/>
      <w:numFmt w:val="lowerLetter"/>
      <w:start w:val="1"/>
    </w:lvl>
    <w:lvl w:ilvl="1">
      <w:lvlJc w:val="left"/>
      <w:lvlText w:val="(%2)"/>
      <w:numFmt w:val="lowerRoman"/>
      <w:start w:val="1"/>
    </w:lvl>
  </w:abstractNum>
  <w:abstractNum w:abstractNumId="169">
    <w:nsid w:val="73209072"/>
    <w:multiLevelType w:val="hybridMultilevel"/>
    <w:lvl w:ilvl="0">
      <w:lvlJc w:val="left"/>
      <w:lvlText w:val="%1"/>
      <w:numFmt w:val="lowerLetter"/>
      <w:start w:val="1"/>
    </w:lvl>
    <w:lvl w:ilvl="1">
      <w:lvlJc w:val="left"/>
      <w:lvlText w:val="(%2)"/>
      <w:numFmt w:val="lowerRoman"/>
      <w:start w:val="7"/>
    </w:lvl>
  </w:abstractNum>
  <w:abstractNum w:abstractNumId="170">
    <w:nsid w:val="5FB29816"/>
    <w:multiLevelType w:val="hybridMultilevel"/>
    <w:lvl w:ilvl="0">
      <w:lvlJc w:val="left"/>
      <w:lvlText w:val="(%1)"/>
      <w:numFmt w:val="lowerLetter"/>
      <w:start w:val="2"/>
    </w:lvl>
    <w:lvl w:ilvl="1">
      <w:lvlJc w:val="left"/>
      <w:lvlText w:val="%2"/>
      <w:numFmt w:val="lowerRoman"/>
      <w:start w:val="1"/>
    </w:lvl>
  </w:abstractNum>
  <w:abstractNum w:abstractNumId="171">
    <w:nsid w:val="3CE732EC"/>
    <w:multiLevelType w:val="hybridMultilevel"/>
    <w:lvl w:ilvl="0">
      <w:lvlJc w:val="left"/>
      <w:lvlText w:val="(%1)"/>
      <w:numFmt w:val="lowerLetter"/>
      <w:start w:val="1"/>
    </w:lvl>
  </w:abstractNum>
  <w:abstractNum w:abstractNumId="172">
    <w:nsid w:val="22F13DF3"/>
    <w:multiLevelType w:val="hybridMultilevel"/>
    <w:lvl w:ilvl="0">
      <w:lvlJc w:val="left"/>
      <w:lvlText w:val="%1"/>
      <w:numFmt w:val="decimal"/>
      <w:start w:val="1"/>
    </w:lvl>
    <w:lvl w:ilvl="1">
      <w:lvlJc w:val="left"/>
      <w:lvlText w:val="(%2)"/>
      <w:numFmt w:val="lowerLetter"/>
      <w:start w:val="1"/>
    </w:lvl>
  </w:abstractNum>
  <w:abstractNum w:abstractNumId="173">
    <w:nsid w:val="792B8401"/>
    <w:multiLevelType w:val="hybridMultilevel"/>
    <w:lvl w:ilvl="0">
      <w:lvlJc w:val="left"/>
      <w:lvlText w:val="%1."/>
      <w:numFmt w:val="decimal"/>
      <w:start w:val="2"/>
    </w:lvl>
    <w:lvl w:ilvl="1">
      <w:lvlJc w:val="left"/>
      <w:lvlText w:val="%2"/>
      <w:numFmt w:val="lowerLetter"/>
      <w:start w:val="1"/>
    </w:lvl>
  </w:abstractNum>
  <w:abstractNum w:abstractNumId="174">
    <w:nsid w:val="FA85F4D"/>
    <w:multiLevelType w:val="hybridMultilevel"/>
    <w:lvl w:ilvl="0">
      <w:lvlJc w:val="left"/>
      <w:lvlText w:val="(%1)"/>
      <w:numFmt w:val="lowerLetter"/>
      <w:start w:val="1"/>
    </w:lvl>
    <w:lvl w:ilvl="1">
      <w:lvlJc w:val="left"/>
      <w:lvlText w:val="(%2)"/>
      <w:numFmt w:val="lowerRoman"/>
      <w:start w:val="1"/>
    </w:lvl>
  </w:abstractNum>
  <w:abstractNum w:abstractNumId="175">
    <w:nsid w:val="6ECE91F0"/>
    <w:multiLevelType w:val="hybridMultilevel"/>
    <w:lvl w:ilvl="0">
      <w:lvlJc w:val="left"/>
      <w:lvlText w:val="%1"/>
      <w:numFmt w:val="lowerLetter"/>
      <w:start w:val="1"/>
    </w:lvl>
    <w:lvl w:ilvl="1">
      <w:lvlJc w:val="left"/>
      <w:lvlText w:val="(%2)"/>
      <w:numFmt w:val="lowerRoman"/>
      <w:start w:val="4"/>
    </w:lvl>
  </w:abstractNum>
  <w:abstractNum w:abstractNumId="176">
    <w:nsid w:val="4FC4D600"/>
    <w:multiLevelType w:val="hybridMultilevel"/>
    <w:lvl w:ilvl="0">
      <w:lvlJc w:val="left"/>
      <w:lvlText w:val="(%1)"/>
      <w:numFmt w:val="lowerLetter"/>
      <w:start w:val="2"/>
    </w:lvl>
    <w:lvl w:ilvl="1">
      <w:lvlJc w:val="left"/>
      <w:lvlText w:val="(%2)"/>
      <w:numFmt w:val="lowerRoman"/>
      <w:start w:val="1"/>
    </w:lvl>
  </w:abstractNum>
  <w:abstractNum w:abstractNumId="177">
    <w:nsid w:val="5BFD421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8">
    <w:nsid w:val="76574F8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79">
    <w:nsid w:val="178F7B67"/>
    <w:multiLevelType w:val="hybridMultilevel"/>
    <w:lvl w:ilvl="0">
      <w:lvlJc w:val="left"/>
      <w:lvlText w:val="%1"/>
      <w:numFmt w:val="decimal"/>
      <w:start w:val="1"/>
    </w:lvl>
    <w:lvl w:ilvl="1">
      <w:lvlJc w:val="left"/>
      <w:lvlText w:val="(%2)"/>
      <w:numFmt w:val="lowerLetter"/>
      <w:start w:val="1"/>
    </w:lvl>
  </w:abstractNum>
  <w:abstractNum w:abstractNumId="180">
    <w:nsid w:val="2421DFCF"/>
    <w:multiLevelType w:val="hybridMultilevel"/>
    <w:lvl w:ilvl="0">
      <w:lvlJc w:val="left"/>
      <w:lvlText w:val="%1."/>
      <w:numFmt w:val="decimal"/>
      <w:start w:val="3"/>
    </w:lvl>
    <w:lvl w:ilvl="1">
      <w:lvlJc w:val="left"/>
      <w:lvlText w:val="%2"/>
      <w:numFmt w:val="lowerLetter"/>
      <w:start w:val="1"/>
    </w:lvl>
  </w:abstractNum>
  <w:abstractNum w:abstractNumId="181">
    <w:nsid w:val="1565AC99"/>
    <w:multiLevelType w:val="hybridMultilevel"/>
    <w:lvl w:ilvl="0">
      <w:lvlJc w:val="left"/>
      <w:lvlText w:val="%1."/>
      <w:numFmt w:val="decimal"/>
      <w:start w:val="4"/>
    </w:lvl>
  </w:abstractNum>
  <w:abstractNum w:abstractNumId="182">
    <w:nsid w:val="19FB2650"/>
    <w:multiLevelType w:val="hybridMultilevel"/>
    <w:lvl w:ilvl="0">
      <w:lvlJc w:val="left"/>
      <w:lvlText w:val="(%1)"/>
      <w:numFmt w:val="lowerLetter"/>
      <w:start w:val="1"/>
    </w:lvl>
  </w:abstractNum>
  <w:abstractNum w:abstractNumId="183">
    <w:nsid w:val="5024DE5B"/>
    <w:multiLevelType w:val="hybridMultilevel"/>
    <w:lvl w:ilvl="0">
      <w:lvlJc w:val="left"/>
      <w:lvlText w:val="(%1)"/>
      <w:numFmt w:val="lowerLetter"/>
      <w:start w:val="1"/>
    </w:lvl>
  </w:abstractNum>
  <w:abstractNum w:abstractNumId="184">
    <w:nsid w:val="168EFE17"/>
    <w:multiLevelType w:val="hybridMultilevel"/>
    <w:lvl w:ilvl="0">
      <w:lvlJc w:val="left"/>
      <w:lvlText w:val="%1"/>
      <w:numFmt w:val="decimal"/>
      <w:start w:val="1"/>
    </w:lvl>
    <w:lvl w:ilvl="1">
      <w:lvlJc w:val="left"/>
      <w:lvlText w:val="(%2)"/>
      <w:numFmt w:val="lowerLetter"/>
      <w:start w:val="1"/>
    </w:lvl>
  </w:abstractNum>
  <w:abstractNum w:abstractNumId="185">
    <w:nsid w:val="1036B29F"/>
    <w:multiLevelType w:val="hybridMultilevel"/>
    <w:lvl w:ilvl="0">
      <w:lvlJc w:val="left"/>
      <w:lvlText w:val="%1."/>
      <w:numFmt w:val="decimal"/>
      <w:start w:val="5"/>
    </w:lvl>
    <w:lvl w:ilvl="1">
      <w:lvlJc w:val="left"/>
      <w:lvlText w:val="%2"/>
      <w:numFmt w:val="lowerLetter"/>
      <w:start w:val="1"/>
    </w:lvl>
  </w:abstractNum>
  <w:abstractNum w:abstractNumId="186">
    <w:nsid w:val="1D206B8E"/>
    <w:multiLevelType w:val="hybridMultilevel"/>
    <w:lvl w:ilvl="0">
      <w:lvlJc w:val="left"/>
      <w:lvlText w:val="(%1)"/>
      <w:numFmt w:val="lowerLetter"/>
      <w:start w:val="1"/>
    </w:lvl>
    <w:lvl w:ilvl="1">
      <w:lvlJc w:val="left"/>
      <w:lvlText w:val="(%2)"/>
      <w:numFmt w:val="lowerRoman"/>
      <w:start w:val="1"/>
    </w:lvl>
  </w:abstractNum>
  <w:abstractNum w:abstractNumId="187">
    <w:nsid w:val="7934D3D4"/>
    <w:multiLevelType w:val="hybridMultilevel"/>
    <w:lvl w:ilvl="0">
      <w:lvlJc w:val="left"/>
      <w:lvlText w:val="(%1)"/>
      <w:numFmt w:val="lowerLetter"/>
      <w:start w:val="1"/>
    </w:lvl>
  </w:abstractNum>
  <w:abstractNum w:abstractNumId="188">
    <w:nsid w:val="1C65E98"/>
    <w:multiLevelType w:val="hybridMultilevel"/>
    <w:lvl w:ilvl="0">
      <w:lvlJc w:val="left"/>
      <w:lvlText w:val="(%1)"/>
      <w:numFmt w:val="lowerLetter"/>
      <w:start w:val="1"/>
    </w:lvl>
  </w:abstractNum>
  <w:abstractNum w:abstractNumId="189">
    <w:nsid w:val="1495E50A"/>
    <w:multiLevelType w:val="hybridMultilevel"/>
    <w:lvl w:ilvl="0">
      <w:lvlJc w:val="left"/>
      <w:lvlText w:val="(%1)"/>
      <w:numFmt w:val="lowerLetter"/>
      <w:start w:val="3"/>
    </w:lvl>
  </w:abstractNum>
  <w:abstractNum w:abstractNumId="190">
    <w:nsid w:val="F5BCF61"/>
    <w:multiLevelType w:val="hybridMultilevel"/>
    <w:lvl w:ilvl="0">
      <w:lvlJc w:val="left"/>
      <w:lvlText w:val="%1."/>
      <w:numFmt w:val="decimal"/>
      <w:start w:val="6"/>
    </w:lvl>
  </w:abstractNum>
  <w:abstractNum w:abstractNumId="191">
    <w:nsid w:val="3B1DD4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2">
    <w:nsid w:val="530386D1"/>
    <w:multiLevelType w:val="hybridMultilevel"/>
    <w:lvl w:ilvl="0">
      <w:lvlJc w:val="left"/>
      <w:lvlText w:val="(%1)"/>
      <w:numFmt w:val="upperLetter"/>
      <w:start w:val="1"/>
    </w:lvl>
    <w:lvl w:ilvl="1">
      <w:lvlJc w:val="left"/>
      <w:lvlText w:val="(%2)"/>
      <w:numFmt w:val="lowerLetter"/>
      <w:start w:val="27"/>
    </w:lvl>
  </w:abstractNum>
  <w:abstractNum w:abstractNumId="193">
    <w:nsid w:val="7525F2BC"/>
    <w:multiLevelType w:val="hybridMultilevel"/>
    <w:lvl w:ilvl="0">
      <w:lvlJc w:val="left"/>
      <w:lvlText w:val="%1"/>
      <w:numFmt w:val="decimal"/>
      <w:start w:val="1"/>
    </w:lvl>
    <w:lvl w:ilvl="1">
      <w:lvlJc w:val="left"/>
      <w:lvlText w:val="(%2)"/>
      <w:numFmt w:val="lowerLetter"/>
      <w:start w:val="3"/>
    </w:lvl>
  </w:abstractNum>
  <w:abstractNum w:abstractNumId="194">
    <w:nsid w:val="CE8E1A7"/>
    <w:multiLevelType w:val="hybridMultilevel"/>
    <w:lvl w:ilvl="0">
      <w:lvlJc w:val="left"/>
      <w:lvlText w:val="%1."/>
      <w:numFmt w:val="decimal"/>
      <w:start w:val="7"/>
    </w:lvl>
    <w:lvl w:ilvl="1">
      <w:lvlJc w:val="left"/>
      <w:lvlText w:val="%2"/>
      <w:numFmt w:val="lowerLetter"/>
      <w:start w:val="1"/>
    </w:lvl>
  </w:abstractNum>
  <w:abstractNum w:abstractNumId="195">
    <w:nsid w:val="4E9EFB0D"/>
    <w:multiLevelType w:val="hybridMultilevel"/>
    <w:lvl w:ilvl="0">
      <w:lvlJc w:val="left"/>
      <w:lvlText w:val="(%1)"/>
      <w:numFmt w:val="lowerLetter"/>
      <w:start w:val="1"/>
    </w:lvl>
  </w:abstractNum>
  <w:abstractNum w:abstractNumId="196">
    <w:nsid w:val="90802BE"/>
    <w:multiLevelType w:val="hybridMultilevel"/>
    <w:lvl w:ilvl="0">
      <w:lvlJc w:val="left"/>
      <w:lvlText w:val="(%1)"/>
      <w:numFmt w:val="lowerLetter"/>
      <w:start w:val="1"/>
    </w:lvl>
    <w:lvl w:ilvl="1">
      <w:lvlJc w:val="left"/>
      <w:lvlText w:val="(%2)"/>
      <w:numFmt w:val="lowerLetter"/>
      <w:start w:val="9"/>
    </w:lvl>
  </w:abstractNum>
  <w:abstractNum w:abstractNumId="197">
    <w:nsid w:val="3266459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lowerLetter"/>
      <w:start w:val="27"/>
    </w:lvl>
  </w:abstractNum>
  <w:abstractNum w:abstractNumId="198">
    <w:nsid w:val="3F8B0CBF"/>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lvl w:ilvl="3">
      <w:lvlJc w:val="left"/>
      <w:lvlText w:val="%4"/>
      <w:numFmt w:val="lowerLetter"/>
      <w:start w:val="1"/>
    </w:lvl>
  </w:abstractNum>
  <w:abstractNum w:abstractNumId="199">
    <w:nsid w:val="37E203AB"/>
    <w:multiLevelType w:val="hybridMultilevel"/>
    <w:lvl w:ilvl="0">
      <w:lvlJc w:val="left"/>
      <w:lvlText w:val="(%1)"/>
      <w:numFmt w:val="lowerRoman"/>
      <w:start w:val="2"/>
    </w:lvl>
    <w:lvl w:ilvl="1">
      <w:lvlJc w:val="left"/>
      <w:lvlText w:val="(%2)"/>
      <w:numFmt w:val="upperLetter"/>
      <w:start w:val="1"/>
    </w:lvl>
  </w:abstractNum>
  <w:abstractNum w:abstractNumId="200">
    <w:nsid w:val="2586D60E"/>
    <w:multiLevelType w:val="hybridMultilevel"/>
    <w:lvl w:ilvl="0">
      <w:lvlJc w:val="left"/>
      <w:lvlText w:val="(%1)"/>
      <w:numFmt w:val="lowerLetter"/>
      <w:start w:val="1"/>
    </w:lvl>
    <w:lvl w:ilvl="1">
      <w:lvlJc w:val="left"/>
      <w:lvlText w:val="(%2)"/>
      <w:numFmt w:val="lowerRoman"/>
      <w:start w:val="1"/>
    </w:lvl>
  </w:abstractNum>
  <w:abstractNum w:abstractNumId="201">
    <w:nsid w:val="1F3DA4D5"/>
    <w:multiLevelType w:val="hybridMultilevel"/>
    <w:lvl w:ilvl="0">
      <w:lvlJc w:val="left"/>
      <w:lvlText w:val="(%1)"/>
      <w:numFmt w:val="lowerLetter"/>
      <w:start w:val="2"/>
    </w:lvl>
    <w:lvl w:ilvl="1">
      <w:lvlJc w:val="left"/>
      <w:lvlText w:val="(%2)"/>
      <w:numFmt w:val="lowerRoman"/>
      <w:start w:val="1"/>
    </w:lvl>
  </w:abstractNum>
  <w:abstractNum w:abstractNumId="202">
    <w:nsid w:val="74C93698"/>
    <w:multiLevelType w:val="hybridMultilevel"/>
    <w:lvl w:ilvl="0">
      <w:lvlJc w:val="left"/>
      <w:lvlText w:val="(%1)"/>
      <w:numFmt w:val="lowerLetter"/>
      <w:start w:val="5"/>
    </w:lvl>
    <w:lvl w:ilvl="1">
      <w:lvlJc w:val="left"/>
      <w:lvlText w:val="(%2)"/>
      <w:numFmt w:val="lowerRoman"/>
      <w:start w:val="1"/>
    </w:lvl>
  </w:abstractNum>
  <w:abstractNum w:abstractNumId="203">
    <w:nsid w:val="4878140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lowerLetter"/>
      <w:start w:val="27"/>
    </w:lvl>
  </w:abstractNum>
  <w:abstractNum w:abstractNumId="204">
    <w:nsid w:val="186928D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205">
    <w:nsid w:val="47195E5"/>
    <w:multiLevelType w:val="hybridMultilevel"/>
    <w:lvl w:ilvl="0">
      <w:lvlJc w:val="left"/>
      <w:lvlText w:val="(%1)"/>
      <w:numFmt w:val="lowerLetter"/>
      <w:start w:val="1"/>
    </w:lvl>
  </w:abstractNum>
  <w:abstractNum w:abstractNumId="206">
    <w:nsid w:val="3746A5F2"/>
    <w:multiLevelType w:val="hybridMultilevel"/>
    <w:lvl w:ilvl="0">
      <w:lvlJc w:val="left"/>
      <w:lvlText w:val="(%1)"/>
      <w:numFmt w:val="lowerLetter"/>
      <w:start w:val="3"/>
    </w:lvl>
  </w:abstractNum>
  <w:abstractNum w:abstractNumId="207">
    <w:nsid w:val="682DFED6"/>
    <w:multiLevelType w:val="hybridMultilevel"/>
    <w:lvl w:ilvl="0">
      <w:lvlJc w:val="left"/>
      <w:lvlText w:val="%1."/>
      <w:numFmt w:val="decimal"/>
      <w:start w:val="8"/>
    </w:lvl>
  </w:abstractNum>
  <w:abstractNum w:abstractNumId="208">
    <w:nsid w:val="606ED7F6"/>
    <w:multiLevelType w:val="hybridMultilevel"/>
    <w:lvl w:ilvl="0">
      <w:lvlJc w:val="left"/>
      <w:lvlText w:val="(%1)"/>
      <w:numFmt w:val="lowerLetter"/>
      <w:start w:val="1"/>
    </w:lvl>
  </w:abstractNum>
  <w:abstractNum w:abstractNumId="209">
    <w:nsid w:val="2D9DF57D"/>
    <w:multiLevelType w:val="hybridMultilevel"/>
    <w:lvl w:ilvl="0">
      <w:lvlJc w:val="left"/>
      <w:lvlText w:val="(%1)"/>
      <w:numFmt w:val="lowerLetter"/>
      <w:start w:val="1"/>
    </w:lvl>
  </w:abstractNum>
  <w:abstractNum w:abstractNumId="210">
    <w:nsid w:val="7FBD7A3E"/>
    <w:multiLevelType w:val="hybridMultilevel"/>
    <w:lvl w:ilvl="0">
      <w:lvlJc w:val="left"/>
      <w:lvlText w:val="(%1)"/>
      <w:numFmt w:val="lowerRoman"/>
      <w:start w:val="1"/>
    </w:lvl>
  </w:abstractNum>
  <w:abstractNum w:abstractNumId="211">
    <w:nsid w:val="490B7C5"/>
    <w:multiLevelType w:val="hybridMultilevel"/>
    <w:lvl w:ilvl="0">
      <w:lvlJc w:val="left"/>
      <w:lvlText w:val="(%1)"/>
      <w:numFmt w:val="lowerLetter"/>
      <w:start w:val="3"/>
    </w:lvl>
  </w:abstractNum>
  <w:abstractNum w:abstractNumId="212">
    <w:nsid w:val="4303A216"/>
    <w:multiLevelType w:val="hybridMultilevel"/>
    <w:lvl w:ilvl="0">
      <w:lvlJc w:val="left"/>
      <w:lvlText w:val="%1"/>
      <w:numFmt w:val="decimal"/>
      <w:start w:val="1"/>
    </w:lvl>
    <w:lvl w:ilvl="1">
      <w:lvlJc w:val="left"/>
      <w:lvlText w:val="(%2)"/>
      <w:numFmt w:val="lowerLetter"/>
      <w:start w:val="1"/>
    </w:lvl>
  </w:abstractNum>
  <w:abstractNum w:abstractNumId="213">
    <w:nsid w:val="19B8A08E"/>
    <w:multiLevelType w:val="hybridMultilevel"/>
    <w:lvl w:ilvl="0">
      <w:lvlJc w:val="left"/>
      <w:lvlText w:val="%1."/>
      <w:numFmt w:val="decimal"/>
      <w:start w:val="9"/>
    </w:lvl>
    <w:lvl w:ilvl="1">
      <w:lvlJc w:val="left"/>
      <w:lvlText w:val="%2"/>
      <w:numFmt w:val="lowerLetter"/>
      <w:start w:val="1"/>
    </w:lvl>
  </w:abstractNum>
  <w:abstractNum w:abstractNumId="214">
    <w:nsid w:val="54B59621"/>
    <w:multiLevelType w:val="hybridMultilevel"/>
    <w:lvl w:ilvl="0">
      <w:lvlJc w:val="left"/>
      <w:lvlText w:val="(%1)"/>
      <w:numFmt w:val="lowerLetter"/>
      <w:start w:val="1"/>
    </w:lvl>
  </w:abstractNum>
  <w:abstractNum w:abstractNumId="215">
    <w:nsid w:val="5992A02E"/>
    <w:multiLevelType w:val="hybridMultilevel"/>
    <w:lvl w:ilvl="0">
      <w:lvlJc w:val="left"/>
      <w:lvlText w:val="%1."/>
      <w:numFmt w:val="decimal"/>
      <w:start w:val="10"/>
    </w:lvl>
  </w:abstractNum>
  <w:abstractNum w:abstractNumId="216">
    <w:nsid w:val="29EF532D"/>
    <w:multiLevelType w:val="hybridMultilevel"/>
    <w:lvl w:ilvl="0">
      <w:lvlJc w:val="left"/>
      <w:lvlText w:val="(%1)"/>
      <w:numFmt w:val="lowerLetter"/>
      <w:start w:val="1"/>
    </w:lvl>
  </w:abstractNum>
  <w:abstractNum w:abstractNumId="217">
    <w:nsid w:val="71D601AF"/>
    <w:multiLevelType w:val="hybridMultilevel"/>
    <w:lvl w:ilvl="0">
      <w:lvlJc w:val="left"/>
      <w:lvlText w:val="(%1)"/>
      <w:numFmt w:val="lowerLetter"/>
      <w:start w:val="1"/>
    </w:lvl>
  </w:abstractNum>
  <w:abstractNum w:abstractNumId="218">
    <w:nsid w:val="52C77402"/>
    <w:multiLevelType w:val="hybridMultilevel"/>
    <w:lvl w:ilvl="0">
      <w:lvlJc w:val="left"/>
      <w:lvlText w:val="(%1)"/>
      <w:numFmt w:val="lowerLetter"/>
      <w:start w:val="1"/>
    </w:lvl>
    <w:lvl w:ilvl="1">
      <w:lvlJc w:val="left"/>
      <w:lvlText w:val="(%2)"/>
      <w:numFmt w:val="lowerRoman"/>
      <w:start w:val="1"/>
    </w:lvl>
  </w:abstractNum>
  <w:abstractNum w:abstractNumId="219">
    <w:nsid w:val="2BB5B1C6"/>
    <w:multiLevelType w:val="hybridMultilevel"/>
    <w:lvl w:ilvl="0">
      <w:lvlJc w:val="left"/>
      <w:lvlText w:val="%1"/>
      <w:numFmt w:val="decimal"/>
      <w:start w:val="1"/>
    </w:lvl>
    <w:lvl w:ilvl="1">
      <w:lvlJc w:val="left"/>
      <w:lvlText w:val="(%2)"/>
      <w:numFmt w:val="lowerLetter"/>
      <w:start w:val="1"/>
    </w:lvl>
  </w:abstractNum>
  <w:abstractNum w:abstractNumId="220">
    <w:nsid w:val="66BE6B9"/>
    <w:multiLevelType w:val="hybridMultilevel"/>
    <w:lvl w:ilvl="0">
      <w:lvlJc w:val="left"/>
      <w:lvlText w:val="%1."/>
      <w:numFmt w:val="decimal"/>
      <w:start w:val="11"/>
    </w:lvl>
    <w:lvl w:ilvl="1">
      <w:lvlJc w:val="left"/>
      <w:lvlText w:val="%2"/>
      <w:numFmt w:val="lowerLetter"/>
      <w:start w:val="1"/>
    </w:lvl>
  </w:abstractNum>
  <w:abstractNum w:abstractNumId="221">
    <w:nsid w:val="62234363"/>
    <w:multiLevelType w:val="hybridMultilevel"/>
    <w:lvl w:ilvl="0">
      <w:lvlJc w:val="left"/>
      <w:lvlText w:val="(%1)"/>
      <w:numFmt w:val="lowerLetter"/>
      <w:start w:val="1"/>
    </w:lvl>
  </w:abstractNum>
  <w:abstractNum w:abstractNumId="222">
    <w:nsid w:val="66D385C9"/>
    <w:multiLevelType w:val="hybridMultilevel"/>
    <w:lvl w:ilvl="0">
      <w:lvlJc w:val="left"/>
      <w:lvlText w:val="(%1)"/>
      <w:numFmt w:val="lowerLetter"/>
      <w:start w:val="2"/>
    </w:lvl>
    <w:lvl w:ilvl="1">
      <w:lvlJc w:val="left"/>
      <w:lvlText w:val="(%2)"/>
      <w:numFmt w:val="lowerRoman"/>
      <w:start w:val="1"/>
    </w:lvl>
  </w:abstractNum>
  <w:abstractNum w:abstractNumId="223">
    <w:nsid w:val="596F6D8A"/>
    <w:multiLevelType w:val="hybridMultilevel"/>
    <w:lvl w:ilvl="0">
      <w:lvlJc w:val="left"/>
      <w:lvlText w:val="%1."/>
      <w:numFmt w:val="decimal"/>
      <w:start w:val="12"/>
    </w:lvl>
  </w:abstractNum>
  <w:abstractNum w:abstractNumId="224">
    <w:nsid w:val="5749361F"/>
    <w:multiLevelType w:val="hybridMultilevel"/>
    <w:lvl w:ilvl="0">
      <w:lvlJc w:val="left"/>
      <w:lvlText w:val="(%1)"/>
      <w:numFmt w:val="lowerLetter"/>
      <w:start w:val="1"/>
    </w:lvl>
  </w:abstractNum>
  <w:abstractNum w:abstractNumId="225">
    <w:nsid w:val="73BC6770"/>
    <w:multiLevelType w:val="hybridMultilevel"/>
    <w:lvl w:ilvl="0">
      <w:lvlJc w:val="left"/>
      <w:lvlText w:val="(%1)"/>
      <w:numFmt w:val="lowerLetter"/>
      <w:start w:val="2"/>
    </w:lvl>
  </w:abstractNum>
  <w:abstractNum w:abstractNumId="226">
    <w:nsid w:val="280E6897"/>
    <w:multiLevelType w:val="hybridMultilevel"/>
    <w:lvl w:ilvl="0">
      <w:lvlJc w:val="left"/>
      <w:lvlText w:val="(%1)"/>
      <w:numFmt w:val="lowerLetter"/>
      <w:start w:val="1"/>
    </w:lvl>
    <w:lvl w:ilvl="1">
      <w:lvlJc w:val="left"/>
      <w:lvlText w:val="(%2)"/>
      <w:numFmt w:val="lowerRoman"/>
      <w:start w:val="1"/>
    </w:lvl>
  </w:abstractNum>
  <w:abstractNum w:abstractNumId="227">
    <w:nsid w:val="605138DE"/>
    <w:multiLevelType w:val="hybridMultilevel"/>
    <w:lvl w:ilvl="0">
      <w:lvlJc w:val="left"/>
      <w:lvlText w:val="(%1)"/>
      <w:numFmt w:val="lowerLetter"/>
      <w:start w:val="3"/>
    </w:lvl>
  </w:abstractNum>
  <w:abstractNum w:abstractNumId="228">
    <w:nsid w:val="2622AD0C"/>
    <w:multiLevelType w:val="hybridMultilevel"/>
    <w:lvl w:ilvl="0">
      <w:lvlJc w:val="left"/>
      <w:lvlText w:val="(%1)"/>
      <w:numFmt w:val="lowerLetter"/>
      <w:start w:val="1"/>
    </w:lvl>
  </w:abstractNum>
  <w:abstractNum w:abstractNumId="229">
    <w:nsid w:val="67997556"/>
    <w:multiLevelType w:val="hybridMultilevel"/>
    <w:lvl w:ilvl="0">
      <w:lvlJc w:val="left"/>
      <w:lvlText w:val="(%1)"/>
      <w:numFmt w:val="lowerLetter"/>
      <w:start w:val="1"/>
    </w:lvl>
  </w:abstractNum>
  <w:abstractNum w:abstractNumId="230">
    <w:nsid w:val="18333C89"/>
    <w:multiLevelType w:val="hybridMultilevel"/>
    <w:lvl w:ilvl="0">
      <w:lvlJc w:val="left"/>
      <w:lvlText w:val="(%1)"/>
      <w:numFmt w:val="lowerLetter"/>
      <w:start w:val="1"/>
    </w:lvl>
  </w:abstractNum>
  <w:abstractNum w:abstractNumId="231">
    <w:nsid w:val="4BA983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2">
    <w:nsid w:val="6D71A2B"/>
    <w:multiLevelType w:val="hybridMultilevel"/>
    <w:lvl w:ilvl="0">
      <w:lvlJc w:val="left"/>
      <w:lvlText w:val="%1"/>
      <w:numFmt w:val="lowerLetter"/>
      <w:start w:val="1"/>
    </w:lvl>
    <w:lvl w:ilvl="1">
      <w:lvlJc w:val="left"/>
      <w:lvlText w:val="(%2)"/>
      <w:numFmt w:val="lowerLetter"/>
      <w:start w:val="61"/>
    </w:lvl>
  </w:abstractNum>
  <w:abstractNum w:abstractNumId="233">
    <w:nsid w:val="CFC7321"/>
    <w:multiLevelType w:val="hybridMultilevel"/>
    <w:lvl w:ilvl="0">
      <w:lvlJc w:val="left"/>
      <w:lvlText w:val="(%1)"/>
      <w:numFmt w:val="lowerLetter"/>
      <w:start w:val="2"/>
    </w:lvl>
    <w:lvl w:ilvl="1">
      <w:lvlJc w:val="left"/>
      <w:lvlText w:val="(%2)"/>
      <w:numFmt w:val="lowerLetter"/>
      <w:start w:val="9"/>
    </w:lvl>
  </w:abstractNum>
  <w:abstractNum w:abstractNumId="234">
    <w:nsid w:val="1421971B"/>
    <w:multiLevelType w:val="hybridMultilevel"/>
    <w:lvl w:ilvl="0">
      <w:lvlJc w:val="left"/>
      <w:lvlText w:val="%1"/>
      <w:numFmt w:val="lowerLetter"/>
      <w:start w:val="1"/>
    </w:lvl>
    <w:lvl w:ilvl="1">
      <w:lvlJc w:val="left"/>
      <w:lvlText w:val="(%2)"/>
      <w:numFmt w:val="lowerRoman"/>
      <w:start w:val="2"/>
    </w:lvl>
  </w:abstractNum>
  <w:abstractNum w:abstractNumId="235">
    <w:nsid w:val="1F404301"/>
    <w:multiLevelType w:val="hybridMultilevel"/>
    <w:lvl w:ilvl="0">
      <w:lvlJc w:val="left"/>
      <w:lvlText w:val="(%1)"/>
      <w:numFmt w:val="lowerLetter"/>
      <w:start w:val="4"/>
    </w:lvl>
    <w:lvl w:ilvl="1">
      <w:lvlJc w:val="left"/>
      <w:lvlText w:val="(%2)"/>
      <w:numFmt w:val="lowerRoman"/>
      <w:start w:val="1"/>
    </w:lvl>
  </w:abstractNum>
  <w:abstractNum w:abstractNumId="236">
    <w:nsid w:val="116E0907"/>
    <w:multiLevelType w:val="hybridMultilevel"/>
    <w:lvl w:ilvl="0">
      <w:lvlJc w:val="left"/>
      <w:lvlText w:val="%1"/>
      <w:numFmt w:val="lowerLetter"/>
      <w:start w:val="1"/>
    </w:lvl>
    <w:lvl w:ilvl="1">
      <w:lvlJc w:val="left"/>
      <w:lvlText w:val="(%2)"/>
      <w:numFmt w:val="upperLetter"/>
      <w:start w:val="1"/>
    </w:lvl>
  </w:abstractNum>
  <w:abstractNum w:abstractNumId="237">
    <w:nsid w:val="4B683D0D"/>
    <w:multiLevelType w:val="hybridMultilevel"/>
    <w:lvl w:ilvl="0">
      <w:lvlJc w:val="left"/>
      <w:lvlText w:val="(%1)"/>
      <w:numFmt w:val="lowerLetter"/>
      <w:start w:val="6"/>
    </w:lvl>
    <w:lvl w:ilvl="1">
      <w:lvlJc w:val="left"/>
      <w:lvlText w:val="%2"/>
      <w:numFmt w:val="upperLetter"/>
      <w:start w:val="1"/>
    </w:lvl>
  </w:abstractNum>
  <w:abstractNum w:abstractNumId="238">
    <w:nsid w:val="76E41D8"/>
    <w:multiLevelType w:val="hybridMultilevel"/>
    <w:lvl w:ilvl="0">
      <w:lvlJc w:val="left"/>
      <w:lvlText w:val="(%1)"/>
      <w:numFmt w:val="lowerLetter"/>
      <w:start w:val="8"/>
    </w:lvl>
  </w:abstractNum>
  <w:abstractNum w:abstractNumId="239">
    <w:nsid w:val="71DCE0FD"/>
    <w:multiLevelType w:val="hybridMultilevel"/>
    <w:lvl w:ilvl="0">
      <w:lvlJc w:val="left"/>
      <w:lvlText w:val="%1"/>
      <w:numFmt w:val="decimal"/>
      <w:start w:val="1"/>
    </w:lvl>
    <w:lvl w:ilvl="1">
      <w:lvlJc w:val="left"/>
      <w:lvlText w:val="(%2)"/>
      <w:numFmt w:val="lowerLetter"/>
      <w:start w:val="1"/>
    </w:lvl>
  </w:abstractNum>
  <w:abstractNum w:abstractNumId="240">
    <w:nsid w:val="7906328B"/>
    <w:multiLevelType w:val="hybridMultilevel"/>
    <w:lvl w:ilvl="0">
      <w:lvlJc w:val="left"/>
      <w:lvlText w:val="%1."/>
      <w:numFmt w:val="decimal"/>
      <w:start w:val="13"/>
    </w:lvl>
    <w:lvl w:ilvl="1">
      <w:lvlJc w:val="left"/>
      <w:lvlText w:val="%2"/>
      <w:numFmt w:val="lowerLetter"/>
      <w:start w:val="1"/>
    </w:lvl>
  </w:abstractNum>
  <w:abstractNum w:abstractNumId="241">
    <w:nsid w:val="72BBC16"/>
    <w:multiLevelType w:val="hybridMultilevel"/>
    <w:lvl w:ilvl="0">
      <w:lvlJc w:val="left"/>
      <w:lvlText w:val="(%1)"/>
      <w:numFmt w:val="lowerLetter"/>
      <w:start w:val="1"/>
    </w:lvl>
    <w:lvl w:ilvl="1">
      <w:lvlJc w:val="left"/>
      <w:lvlText w:val="(%2)"/>
      <w:numFmt w:val="lowerRoman"/>
      <w:start w:val="1"/>
    </w:lvl>
  </w:abstractNum>
  <w:abstractNum w:abstractNumId="242">
    <w:nsid w:val="766D98C2"/>
    <w:multiLevelType w:val="hybridMultilevel"/>
    <w:lvl w:ilvl="0">
      <w:lvlJc w:val="left"/>
      <w:lvlText w:val="(%1)"/>
      <w:numFmt w:val="lowerLetter"/>
      <w:start w:val="2"/>
    </w:lvl>
    <w:lvl w:ilvl="1">
      <w:lvlJc w:val="left"/>
      <w:lvlText w:val="(%2)"/>
      <w:numFmt w:val="lowerRoman"/>
      <w:start w:val="1"/>
    </w:lvl>
  </w:abstractNum>
  <w:abstractNum w:abstractNumId="243">
    <w:nsid w:val="3C09D4A1"/>
    <w:multiLevelType w:val="hybridMultilevel"/>
    <w:lvl w:ilvl="0">
      <w:lvlJc w:val="left"/>
      <w:lvlText w:val="(%1)"/>
      <w:numFmt w:val="upperLetter"/>
      <w:start w:val="1"/>
    </w:lvl>
  </w:abstractNum>
  <w:abstractNum w:abstractNumId="244">
    <w:nsid w:val="20E45CA4"/>
    <w:multiLevelType w:val="hybridMultilevel"/>
    <w:lvl w:ilvl="0">
      <w:lvlJc w:val="left"/>
      <w:lvlText w:val="%1"/>
      <w:numFmt w:val="lowerRoman"/>
      <w:start w:val="1"/>
    </w:lvl>
    <w:lvl w:ilvl="1">
      <w:lvlJc w:val="left"/>
      <w:lvlText w:val="(%2)"/>
      <w:numFmt w:val="upperLetter"/>
      <w:start w:val="2"/>
    </w:lvl>
  </w:abstractNum>
  <w:abstractNum w:abstractNumId="245">
    <w:nsid w:val="4B232EE3"/>
    <w:multiLevelType w:val="hybridMultilevel"/>
    <w:lvl w:ilvl="0">
      <w:lvlJc w:val="left"/>
      <w:lvlText w:val="(%1)"/>
      <w:numFmt w:val="lowerRoman"/>
      <w:start w:val="3"/>
    </w:lvl>
    <w:lvl w:ilvl="1">
      <w:lvlJc w:val="left"/>
      <w:lvlText w:val="(%2)"/>
      <w:numFmt w:val="upperLetter"/>
      <w:start w:val="1"/>
    </w:lvl>
  </w:abstractNum>
  <w:abstractNum w:abstractNumId="246">
    <w:nsid w:val="159C74CF"/>
    <w:multiLevelType w:val="hybridMultilevel"/>
    <w:lvl w:ilvl="0">
      <w:lvlJc w:val="left"/>
      <w:lvlText w:val="(%1)"/>
      <w:numFmt w:val="lowerLetter"/>
      <w:start w:val="1"/>
    </w:lvl>
  </w:abstractNum>
  <w:abstractNum w:abstractNumId="247">
    <w:nsid w:val="4AD3AFD2"/>
    <w:multiLevelType w:val="hybridMultilevel"/>
    <w:lvl w:ilvl="0">
      <w:lvlJc w:val="left"/>
      <w:lvlText w:val="%1"/>
      <w:numFmt w:val="decimal"/>
      <w:start w:val="1"/>
    </w:lvl>
    <w:lvl w:ilvl="1">
      <w:lvlJc w:val="left"/>
      <w:lvlText w:val="(%2)"/>
      <w:numFmt w:val="lowerLetter"/>
      <w:start w:val="1"/>
    </w:lvl>
  </w:abstractNum>
  <w:abstractNum w:abstractNumId="248">
    <w:nsid w:val="3CF93092"/>
    <w:multiLevelType w:val="hybridMultilevel"/>
    <w:lvl w:ilvl="0">
      <w:lvlJc w:val="left"/>
      <w:lvlText w:val="%1."/>
      <w:numFmt w:val="decimal"/>
      <w:start w:val="14"/>
    </w:lvl>
    <w:lvl w:ilvl="1">
      <w:lvlJc w:val="left"/>
      <w:lvlText w:val="%2"/>
      <w:numFmt w:val="lowerLetter"/>
      <w:start w:val="1"/>
    </w:lvl>
  </w:abstractNum>
  <w:abstractNum w:abstractNumId="249">
    <w:nsid w:val="6863E8D2"/>
    <w:multiLevelType w:val="hybridMultilevel"/>
    <w:lvl w:ilvl="0">
      <w:lvlJc w:val="left"/>
      <w:lvlText w:val="(%1)"/>
      <w:numFmt w:val="lowerLetter"/>
      <w:start w:val="1"/>
    </w:lvl>
  </w:abstractNum>
  <w:abstractNum w:abstractNumId="250">
    <w:nsid w:val="76896198"/>
    <w:multiLevelType w:val="hybridMultilevel"/>
    <w:lvl w:ilvl="0">
      <w:lvlJc w:val="left"/>
      <w:lvlText w:val="(%1)"/>
      <w:numFmt w:val="lowerLetter"/>
      <w:start w:val="1"/>
    </w:lvl>
  </w:abstractNum>
  <w:abstractNum w:abstractNumId="251">
    <w:nsid w:val="4365174B"/>
    <w:multiLevelType w:val="hybridMultilevel"/>
    <w:lvl w:ilvl="0">
      <w:lvlJc w:val="left"/>
      <w:lvlText w:val="(%1)"/>
      <w:numFmt w:val="lowerLetter"/>
      <w:start w:val="1"/>
    </w:lvl>
  </w:abstractNum>
  <w:abstractNum w:abstractNumId="252">
    <w:nsid w:val="4A872C35"/>
    <w:multiLevelType w:val="hybridMultilevel"/>
    <w:lvl w:ilvl="0">
      <w:lvlJc w:val="left"/>
      <w:lvlText w:val="%1"/>
      <w:numFmt w:val="decimal"/>
      <w:start w:val="1"/>
    </w:lvl>
    <w:lvl w:ilvl="1">
      <w:lvlJc w:val="left"/>
      <w:lvlText w:val="(%2)"/>
      <w:numFmt w:val="lowerLetter"/>
      <w:start w:val="4"/>
    </w:lvl>
  </w:abstractNum>
  <w:abstractNum w:abstractNumId="253">
    <w:nsid w:val="5D5CE761"/>
    <w:multiLevelType w:val="hybridMultilevel"/>
    <w:lvl w:ilvl="0">
      <w:lvlJc w:val="left"/>
      <w:lvlText w:val="%1."/>
      <w:numFmt w:val="decimal"/>
      <w:start w:val="15"/>
    </w:lvl>
    <w:lvl w:ilvl="1">
      <w:lvlJc w:val="left"/>
      <w:lvlText w:val="%2"/>
      <w:numFmt w:val="lowerLetter"/>
      <w:start w:val="1"/>
    </w:lvl>
  </w:abstractNum>
  <w:abstractNum w:abstractNumId="254">
    <w:nsid w:val="1CD484D5"/>
    <w:multiLevelType w:val="hybridMultilevel"/>
    <w:lvl w:ilvl="0">
      <w:lvlJc w:val="left"/>
      <w:lvlText w:val="(%1)"/>
      <w:numFmt w:val="lowerLetter"/>
      <w:start w:val="1"/>
    </w:lvl>
    <w:lvl w:ilvl="1">
      <w:lvlJc w:val="left"/>
      <w:lvlText w:val="(%2)"/>
      <w:numFmt w:val="lowerRoman"/>
      <w:start w:val="1"/>
    </w:lvl>
  </w:abstractNum>
  <w:abstractNum w:abstractNumId="255">
    <w:nsid w:val="21D06255"/>
    <w:multiLevelType w:val="hybridMultilevel"/>
    <w:lvl w:ilvl="0">
      <w:lvlJc w:val="left"/>
      <w:lvlText w:val="(%1)"/>
      <w:numFmt w:val="lowerLetter"/>
      <w:start w:val="2"/>
    </w:lvl>
  </w:abstractNum>
  <w:abstractNum w:abstractNumId="256">
    <w:nsid w:val="51194ED1"/>
    <w:multiLevelType w:val="hybridMultilevel"/>
    <w:lvl w:ilvl="0">
      <w:lvlJc w:val="left"/>
      <w:lvlText w:val="(%1)"/>
      <w:numFmt w:val="lowerLetter"/>
      <w:start w:val="1"/>
    </w:lvl>
  </w:abstractNum>
  <w:abstractNum w:abstractNumId="257">
    <w:nsid w:val="44E2ED6C"/>
    <w:multiLevelType w:val="hybridMultilevel"/>
    <w:lvl w:ilvl="0">
      <w:lvlJc w:val="left"/>
      <w:lvlText w:val="%1"/>
      <w:numFmt w:val="decimal"/>
      <w:start w:val="1"/>
    </w:lvl>
    <w:lvl w:ilvl="1">
      <w:lvlJc w:val="left"/>
      <w:lvlText w:val="(%2)"/>
      <w:numFmt w:val="lowerLetter"/>
      <w:start w:val="1"/>
    </w:lvl>
  </w:abstractNum>
  <w:abstractNum w:abstractNumId="258">
    <w:nsid w:val="2219B33"/>
    <w:multiLevelType w:val="hybridMultilevel"/>
    <w:lvl w:ilvl="0">
      <w:lvlJc w:val="left"/>
      <w:lvlText w:val="%1."/>
      <w:numFmt w:val="decimal"/>
      <w:start w:val="16"/>
    </w:lvl>
    <w:lvl w:ilvl="1">
      <w:lvlJc w:val="left"/>
      <w:lvlText w:val="%2"/>
      <w:numFmt w:val="lowerLetter"/>
      <w:start w:val="1"/>
    </w:lvl>
  </w:abstractNum>
  <w:abstractNum w:abstractNumId="259">
    <w:nsid w:val="773BFBDD"/>
    <w:multiLevelType w:val="hybridMultilevel"/>
    <w:lvl w:ilvl="0">
      <w:lvlJc w:val="left"/>
      <w:lvlText w:val="(%1)"/>
      <w:numFmt w:val="lowerLetter"/>
      <w:start w:val="1"/>
    </w:lvl>
  </w:abstractNum>
  <w:abstractNum w:abstractNumId="260">
    <w:nsid w:val="2C7C62C2"/>
    <w:multiLevelType w:val="hybridMultilevel"/>
    <w:lvl w:ilvl="0">
      <w:lvlJc w:val="left"/>
      <w:lvlText w:val="(%1)"/>
      <w:numFmt w:val="lowerLetter"/>
      <w:start w:val="1"/>
    </w:lvl>
  </w:abstractNum>
  <w:abstractNum w:abstractNumId="261">
    <w:nsid w:val="1A54D7BC"/>
    <w:multiLevelType w:val="hybridMultilevel"/>
    <w:lvl w:ilvl="0">
      <w:lvlJc w:val="left"/>
      <w:lvlText w:val="%1."/>
      <w:numFmt w:val="decimal"/>
      <w:start w:val="17"/>
    </w:lvl>
  </w:abstractNum>
  <w:abstractNum w:abstractNumId="262">
    <w:nsid w:val="42E57EF7"/>
    <w:multiLevelType w:val="hybridMultilevel"/>
    <w:lvl w:ilvl="0">
      <w:lvlJc w:val="left"/>
      <w:lvlText w:val="(%1)"/>
      <w:numFmt w:val="lowerLetter"/>
      <w:start w:val="1"/>
    </w:lvl>
  </w:abstractNum>
  <w:abstractNum w:abstractNumId="263">
    <w:nsid w:val="33537CED"/>
    <w:multiLevelType w:val="hybridMultilevel"/>
    <w:lvl w:ilvl="0">
      <w:lvlJc w:val="left"/>
      <w:lvlText w:val="(%1)"/>
      <w:numFmt w:val="lowerLetter"/>
      <w:start w:val="3"/>
    </w:lvl>
  </w:abstractNum>
  <w:abstractNum w:abstractNumId="264">
    <w:nsid w:val="27514ADE"/>
    <w:multiLevelType w:val="hybridMultilevel"/>
    <w:lvl w:ilvl="0">
      <w:lvlJc w:val="left"/>
      <w:lvlText w:val="(%1)"/>
      <w:numFmt w:val="lowerLetter"/>
      <w:start w:val="1"/>
    </w:lvl>
  </w:abstractNum>
  <w:abstractNum w:abstractNumId="265">
    <w:nsid w:val="57071613"/>
    <w:multiLevelType w:val="hybridMultilevel"/>
    <w:lvl w:ilvl="0">
      <w:lvlJc w:val="left"/>
      <w:lvlText w:val="(%1)"/>
      <w:numFmt w:val="lowerLetter"/>
      <w:start w:val="1"/>
    </w:lvl>
  </w:abstractNum>
  <w:abstractNum w:abstractNumId="266">
    <w:nsid w:val="5293BFEF"/>
    <w:multiLevelType w:val="hybridMultilevel"/>
    <w:lvl w:ilvl="0">
      <w:lvlJc w:val="left"/>
      <w:lvlText w:val="(%1)"/>
      <w:numFmt w:val="lowerLetter"/>
      <w:start w:val="1"/>
    </w:lvl>
  </w:abstractNum>
  <w:abstractNum w:abstractNumId="267">
    <w:nsid w:val="38BF53E5"/>
    <w:multiLevelType w:val="hybridMultilevel"/>
    <w:lvl w:ilvl="0">
      <w:lvlJc w:val="left"/>
      <w:lvlText w:val="(%1)"/>
      <w:numFmt w:val="lowerLetter"/>
      <w:start w:val="1"/>
    </w:lvl>
  </w:abstractNum>
  <w:abstractNum w:abstractNumId="268">
    <w:nsid w:val="226F5320"/>
    <w:multiLevelType w:val="hybridMultilevel"/>
    <w:lvl w:ilvl="0">
      <w:lvlJc w:val="left"/>
      <w:lvlText w:val="(%1)"/>
      <w:numFmt w:val="lowerLetter"/>
      <w:start w:val="1"/>
    </w:lvl>
  </w:abstractNum>
  <w:abstractNum w:abstractNumId="269">
    <w:nsid w:val="5A0201C7"/>
    <w:multiLevelType w:val="hybridMultilevel"/>
    <w:lvl w:ilvl="0">
      <w:lvlJc w:val="left"/>
      <w:lvlText w:val="(%1)"/>
      <w:numFmt w:val="lowerLetter"/>
      <w:start w:val="1"/>
    </w:lvl>
  </w:abstractNum>
  <w:abstractNum w:abstractNumId="270">
    <w:nsid w:val="2A9C34E2"/>
    <w:multiLevelType w:val="hybridMultilevel"/>
    <w:lvl w:ilvl="0">
      <w:lvlJc w:val="left"/>
      <w:lvlText w:val="(%1)"/>
      <w:numFmt w:val="lowerLetter"/>
      <w:start w:val="1"/>
    </w:lvl>
  </w:abstractNum>
  <w:abstractNum w:abstractNumId="271">
    <w:nsid w:val="1B7585AB"/>
    <w:multiLevelType w:val="hybridMultilevel"/>
    <w:lvl w:ilvl="0">
      <w:lvlJc w:val="left"/>
      <w:lvlText w:val="(%1)"/>
      <w:numFmt w:val="lowerLetter"/>
      <w:start w:val="1"/>
    </w:lvl>
  </w:abstractNum>
  <w:abstractNum w:abstractNumId="272">
    <w:nsid w:val="612DBDDD"/>
    <w:multiLevelType w:val="hybridMultilevel"/>
    <w:lvl w:ilvl="0">
      <w:lvlJc w:val="left"/>
      <w:lvlText w:val="(%1)"/>
      <w:numFmt w:val="lowerLetter"/>
      <w:start w:val="2"/>
    </w:lvl>
  </w:abstractNum>
  <w:abstractNum w:abstractNumId="273">
    <w:nsid w:val="2109CDA4"/>
    <w:multiLevelType w:val="hybridMultilevel"/>
    <w:lvl w:ilvl="0">
      <w:lvlJc w:val="left"/>
      <w:lvlText w:val="(%1)"/>
      <w:numFmt w:val="lowerLetter"/>
      <w:start w:val="1"/>
    </w:lvl>
    <w:lvl w:ilvl="1">
      <w:lvlJc w:val="left"/>
      <w:lvlText w:val="(%2)"/>
      <w:numFmt w:val="lowerRoman"/>
      <w:start w:val="1"/>
    </w:lvl>
  </w:abstractNum>
  <w:abstractNum w:abstractNumId="274">
    <w:nsid w:val="577F5A4D"/>
    <w:multiLevelType w:val="hybridMultilevel"/>
    <w:lvl w:ilvl="0">
      <w:lvlJc w:val="left"/>
      <w:lvlText w:val="(%1)"/>
      <w:numFmt w:val="lowerLetter"/>
      <w:start w:val="5"/>
    </w:lvl>
    <w:lvl w:ilvl="1">
      <w:lvlJc w:val="left"/>
      <w:lvlText w:val="(%2)"/>
      <w:numFmt w:val="lowerRoman"/>
      <w:start w:val="1"/>
    </w:lvl>
  </w:abstractNum>
  <w:abstractNum w:abstractNumId="275">
    <w:nsid w:val="2121A81"/>
    <w:multiLevelType w:val="hybridMultilevel"/>
    <w:lvl w:ilvl="0">
      <w:lvlJc w:val="left"/>
      <w:lvlText w:val="%1"/>
      <w:numFmt w:val="decimal"/>
      <w:start w:val="1"/>
    </w:lvl>
    <w:lvl w:ilvl="1">
      <w:lvlJc w:val="left"/>
      <w:lvlText w:val="(%2)"/>
      <w:numFmt w:val="lowerLetter"/>
      <w:start w:val="1"/>
    </w:lvl>
  </w:abstractNum>
  <w:abstractNum w:abstractNumId="276">
    <w:nsid w:val="6C2CFC88"/>
    <w:multiLevelType w:val="hybridMultilevel"/>
    <w:lvl w:ilvl="0">
      <w:lvlJc w:val="left"/>
      <w:lvlText w:val="%1."/>
      <w:numFmt w:val="decimal"/>
      <w:start w:val="18"/>
    </w:lvl>
    <w:lvl w:ilvl="1">
      <w:lvlJc w:val="left"/>
      <w:lvlText w:val="%2"/>
      <w:numFmt w:val="lowerLetter"/>
      <w:start w:val="1"/>
    </w:lvl>
  </w:abstractNum>
  <w:abstractNum w:abstractNumId="277">
    <w:nsid w:val="6D1BCF1C"/>
    <w:multiLevelType w:val="hybridMultilevel"/>
    <w:lvl w:ilvl="0">
      <w:lvlJc w:val="left"/>
      <w:lvlText w:val="(%1)"/>
      <w:numFmt w:val="lowerLetter"/>
      <w:start w:val="1"/>
    </w:lvl>
  </w:abstractNum>
  <w:abstractNum w:abstractNumId="278">
    <w:nsid w:val="4CE5CA53"/>
    <w:multiLevelType w:val="hybridMultilevel"/>
    <w:lvl w:ilvl="0">
      <w:lvlJc w:val="left"/>
      <w:lvlText w:val="(%1)"/>
      <w:numFmt w:val="lowerRoman"/>
      <w:start w:val="2"/>
    </w:lvl>
  </w:abstractNum>
  <w:abstractNum w:abstractNumId="279">
    <w:nsid w:val="29262D1A"/>
    <w:multiLevelType w:val="hybridMultilevel"/>
    <w:lvl w:ilvl="0">
      <w:lvlJc w:val="left"/>
      <w:lvlText w:val="(%1)"/>
      <w:numFmt w:val="lowerLetter"/>
      <w:start w:val="1"/>
    </w:lvl>
  </w:abstractNum>
  <w:abstractNum w:abstractNumId="280">
    <w:nsid w:val="557FB7EE"/>
    <w:multiLevelType w:val="hybridMultilevel"/>
    <w:lvl w:ilvl="0">
      <w:lvlJc w:val="left"/>
      <w:lvlText w:val="(%1)"/>
      <w:numFmt w:val="lowerRoman"/>
      <w:start w:val="1"/>
    </w:lvl>
  </w:abstractNum>
  <w:abstractNum w:abstractNumId="281">
    <w:nsid w:val="436F2BEB"/>
    <w:multiLevelType w:val="hybridMultilevel"/>
    <w:lvl w:ilvl="0">
      <w:lvlJc w:val="left"/>
      <w:lvlText w:val="%1"/>
      <w:numFmt w:val="lowerLetter"/>
      <w:start w:val="1"/>
    </w:lvl>
    <w:lvl w:ilvl="1">
      <w:lvlJc w:val="left"/>
      <w:lvlText w:val="(%2)"/>
      <w:numFmt w:val="lowerRoman"/>
      <w:start w:val="2"/>
    </w:lvl>
  </w:abstractNum>
  <w:abstractNum w:abstractNumId="282">
    <w:nsid w:val="6C8B4466"/>
    <w:multiLevelType w:val="hybridMultilevel"/>
    <w:lvl w:ilvl="0">
      <w:lvlJc w:val="left"/>
      <w:lvlText w:val="(%1)"/>
      <w:numFmt w:val="lowerLetter"/>
      <w:start w:val="2"/>
    </w:lvl>
    <w:lvl w:ilvl="1">
      <w:lvlJc w:val="left"/>
      <w:lvlText w:val="%2"/>
      <w:numFmt w:val="lowerRoman"/>
      <w:start w:val="1"/>
    </w:lvl>
  </w:abstractNum>
  <w:abstractNum w:abstractNumId="283">
    <w:nsid w:val="2006E4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4">
    <w:nsid w:val="20CC134C"/>
    <w:multiLevelType w:val="hybridMultilevel"/>
    <w:lvl w:ilvl="0">
      <w:lvlJc w:val="left"/>
      <w:lvlText w:val="(%1)"/>
      <w:numFmt w:val="upperLetter"/>
      <w:start w:val="3"/>
    </w:lvl>
  </w:abstractNum>
  <w:abstractNum w:abstractNumId="285">
    <w:nsid w:val="95FC9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6">
    <w:nsid w:val="41D74679"/>
    <w:multiLevelType w:val="hybridMultilevel"/>
    <w:lvl w:ilvl="0">
      <w:lvlJc w:val="left"/>
      <w:lvlText w:val="(%1)"/>
      <w:numFmt w:val="lowerLetter"/>
      <w:start w:val="5"/>
    </w:lvl>
  </w:abstractNum>
  <w:abstractNum w:abstractNumId="287">
    <w:nsid w:val="71E5621E"/>
    <w:multiLevelType w:val="hybridMultilevel"/>
    <w:lvl w:ilvl="0">
      <w:lvlJc w:val="left"/>
      <w:lvlText w:val="(%1)"/>
      <w:numFmt w:val="lowerLetter"/>
      <w:start w:val="1"/>
    </w:lvl>
  </w:abstractNum>
  <w:abstractNum w:abstractNumId="288">
    <w:nsid w:val="4E42B6A8"/>
    <w:multiLevelType w:val="hybridMultilevel"/>
    <w:lvl w:ilvl="0">
      <w:lvlJc w:val="left"/>
      <w:lvlText w:val="(%1)"/>
      <w:numFmt w:val="lowerLetter"/>
      <w:start w:val="1"/>
    </w:lvl>
    <w:lvl w:ilvl="1">
      <w:lvlJc w:val="left"/>
      <w:lvlText w:val="(%2)"/>
      <w:numFmt w:val="lowerRoman"/>
      <w:start w:val="1"/>
    </w:lvl>
  </w:abstractNum>
  <w:abstractNum w:abstractNumId="289">
    <w:nsid w:val="43F8E1AC"/>
    <w:multiLevelType w:val="hybridMultilevel"/>
    <w:lvl w:ilvl="0">
      <w:lvlJc w:val="left"/>
      <w:lvlText w:val="%1"/>
      <w:numFmt w:val="lowerLetter"/>
      <w:start w:val="1"/>
    </w:lvl>
    <w:lvl w:ilvl="1">
      <w:lvlJc w:val="left"/>
      <w:lvlText w:val="(%2)"/>
      <w:numFmt w:val="lowerLetter"/>
      <w:start w:val="35"/>
    </w:lvl>
  </w:abstractNum>
  <w:abstractNum w:abstractNumId="290">
    <w:nsid w:val="69215DFB"/>
    <w:multiLevelType w:val="hybridMultilevel"/>
    <w:lvl w:ilvl="0">
      <w:lvlJc w:val="left"/>
      <w:lvlText w:val="(%1)"/>
      <w:numFmt w:val="lowerLetter"/>
      <w:start w:val="1"/>
    </w:lvl>
    <w:lvl w:ilvl="1">
      <w:lvlJc w:val="left"/>
      <w:lvlText w:val="(%2)"/>
      <w:numFmt w:val="lowerLetter"/>
      <w:start w:val="9"/>
    </w:lvl>
  </w:abstractNum>
  <w:abstractNum w:abstractNumId="291">
    <w:nsid w:val="7ABF196A"/>
    <w:multiLevelType w:val="hybridMultilevel"/>
    <w:lvl w:ilvl="0">
      <w:lvlJc w:val="left"/>
      <w:lvlText w:val="(%1)"/>
      <w:numFmt w:val="lowerRoman"/>
      <w:start w:val="2"/>
    </w:lvl>
  </w:abstractNum>
  <w:abstractNum w:abstractNumId="292">
    <w:nsid w:val="5E4DB96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93">
    <w:nsid w:val="2C06DC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94">
    <w:nsid w:val="2E12965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95">
    <w:nsid w:val="59F0446"/>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296">
    <w:nsid w:val="30DF306"/>
    <w:multiLevelType w:val="hybridMultilevel"/>
    <w:lvl w:ilvl="0">
      <w:lvlJc w:val="left"/>
      <w:lvlText w:val="(%1)"/>
      <w:numFmt w:val="lowerLetter"/>
      <w:start w:val="1"/>
    </w:lvl>
  </w:abstractNum>
  <w:abstractNum w:abstractNumId="297">
    <w:nsid w:val="A65647"/>
    <w:multiLevelType w:val="hybridMultilevel"/>
    <w:lvl w:ilvl="0">
      <w:lvlJc w:val="left"/>
      <w:lvlText w:val="(%1)"/>
      <w:numFmt w:val="lowerLetter"/>
      <w:start w:val="1"/>
    </w:lvl>
  </w:abstractNum>
  <w:abstractNum w:abstractNumId="298">
    <w:nsid w:val="3E5E582B"/>
    <w:multiLevelType w:val="hybridMultilevel"/>
    <w:lvl w:ilvl="0">
      <w:lvlJc w:val="left"/>
      <w:lvlText w:val="(%1)"/>
      <w:numFmt w:val="lowerLetter"/>
      <w:start w:val="1"/>
    </w:lvl>
  </w:abstractNum>
  <w:abstractNum w:abstractNumId="299">
    <w:nsid w:val="257D4626"/>
    <w:multiLevelType w:val="hybridMultilevel"/>
    <w:lvl w:ilvl="0">
      <w:lvlJc w:val="left"/>
      <w:lvlText w:val="(%1)"/>
      <w:numFmt w:val="lowerLetter"/>
      <w:start w:val="1"/>
    </w:lvl>
  </w:abstractNum>
  <w:abstractNum w:abstractNumId="300">
    <w:nsid w:val="5AA8580E"/>
    <w:multiLevelType w:val="hybridMultilevel"/>
    <w:lvl w:ilvl="0">
      <w:lvlJc w:val="left"/>
      <w:lvlText w:val="%1."/>
      <w:numFmt w:val="decimal"/>
      <w:start w:val="20"/>
    </w:lvl>
  </w:abstractNum>
  <w:abstractNum w:abstractNumId="301">
    <w:nsid w:val="68FA8D0D"/>
    <w:multiLevelType w:val="hybridMultilevel"/>
    <w:lvl w:ilvl="0">
      <w:lvlJc w:val="left"/>
      <w:lvlText w:val="(%1)"/>
      <w:numFmt w:val="lowerLetter"/>
      <w:start w:val="1"/>
    </w:lvl>
  </w:abstractNum>
  <w:abstractNum w:abstractNumId="302">
    <w:nsid w:val="40F2CBD2"/>
    <w:multiLevelType w:val="hybridMultilevel"/>
    <w:lvl w:ilvl="0">
      <w:lvlJc w:val="left"/>
      <w:lvlText w:val="(%1)"/>
      <w:numFmt w:val="lowerLetter"/>
      <w:start w:val="1"/>
    </w:lvl>
    <w:lvl w:ilvl="1">
      <w:lvlJc w:val="left"/>
      <w:lvlText w:val="(%2)"/>
      <w:numFmt w:val="lowerRoman"/>
      <w:start w:val="1"/>
    </w:lvl>
  </w:abstractNum>
  <w:abstractNum w:abstractNumId="303">
    <w:nsid w:val="3BD615EB"/>
    <w:multiLevelType w:val="hybridMultilevel"/>
    <w:lvl w:ilvl="0">
      <w:lvlJc w:val="left"/>
      <w:lvlText w:val="(%1)"/>
      <w:numFmt w:val="lowerRoman"/>
      <w:start w:val="4"/>
    </w:lvl>
  </w:abstractNum>
  <w:abstractNum w:abstractNumId="304">
    <w:nsid w:val="A045AB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5">
    <w:nsid w:val="1872261F"/>
    <w:multiLevelType w:val="hybridMultilevel"/>
    <w:lvl w:ilvl="0">
      <w:lvlJc w:val="left"/>
      <w:lvlText w:val="(%1)"/>
      <w:numFmt w:val="lowerRoman"/>
      <w:start w:val="3"/>
    </w:lvl>
    <w:lvl w:ilvl="1">
      <w:lvlJc w:val="left"/>
      <w:lvlText w:val="(%2)"/>
      <w:numFmt w:val="upperLetter"/>
      <w:start w:val="1"/>
    </w:lvl>
  </w:abstractNum>
  <w:abstractNum w:abstractNumId="306">
    <w:nsid w:val="3DE830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7">
    <w:nsid w:val="7631573A"/>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08">
    <w:nsid w:val="58DF53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09">
    <w:nsid w:val="ACDFAC0"/>
    <w:multiLevelType w:val="hybridMultilevel"/>
    <w:lvl w:ilvl="0">
      <w:lvlJc w:val="left"/>
      <w:lvlText w:val="(%1)"/>
      <w:numFmt w:val="lowerLetter"/>
      <w:start w:val="1"/>
    </w:lvl>
  </w:abstractNum>
  <w:abstractNum w:abstractNumId="310">
    <w:nsid w:val="1F578454"/>
    <w:multiLevelType w:val="hybridMultilevel"/>
    <w:lvl w:ilvl="0">
      <w:lvlJc w:val="left"/>
      <w:lvlText w:val="(%1)"/>
      <w:numFmt w:val="lowerRoman"/>
      <w:start w:val="1"/>
    </w:lvl>
    <w:lvl w:ilvl="1">
      <w:lvlJc w:val="left"/>
      <w:lvlText w:val="(%2)"/>
      <w:numFmt w:val="upperLetter"/>
      <w:start w:val="1"/>
    </w:lvl>
  </w:abstractNum>
  <w:abstractNum w:abstractNumId="311">
    <w:nsid w:val="5B0DAD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2">
    <w:nsid w:val="4E3D26AB"/>
    <w:multiLevelType w:val="hybridMultilevel"/>
    <w:lvl w:ilvl="0">
      <w:lvlJc w:val="left"/>
      <w:lvlText w:val="(%1)"/>
      <w:numFmt w:val="lowerLetter"/>
      <w:start w:val="1"/>
    </w:lvl>
  </w:abstractNum>
  <w:abstractNum w:abstractNumId="313">
    <w:nsid w:val="BE2C8BA"/>
    <w:multiLevelType w:val="hybridMultilevel"/>
    <w:lvl w:ilvl="0">
      <w:lvlJc w:val="left"/>
      <w:lvlText w:val="(%1)"/>
      <w:numFmt w:val="lowerLetter"/>
      <w:start w:val="1"/>
    </w:lvl>
  </w:abstractNum>
  <w:abstractNum w:abstractNumId="314">
    <w:nsid w:val="7B14914E"/>
    <w:multiLevelType w:val="hybridMultilevel"/>
    <w:lvl w:ilvl="0">
      <w:lvlJc w:val="left"/>
      <w:lvlText w:val="(%1)"/>
      <w:numFmt w:val="lowerLetter"/>
      <w:start w:val="1"/>
    </w:lvl>
  </w:abstractNum>
  <w:abstractNum w:abstractNumId="315">
    <w:nsid w:val="6F0939F8"/>
    <w:multiLevelType w:val="hybridMultilevel"/>
    <w:lvl w:ilvl="0">
      <w:lvlJc w:val="left"/>
      <w:lvlText w:val="(%1)"/>
      <w:numFmt w:val="lowerLetter"/>
      <w:start w:val="2"/>
    </w:lvl>
    <w:lvl w:ilvl="1">
      <w:lvlJc w:val="left"/>
      <w:lvlText w:val="(%2)"/>
      <w:numFmt w:val="lowerRoman"/>
      <w:start w:val="1"/>
    </w:lvl>
  </w:abstractNum>
  <w:abstractNum w:abstractNumId="316">
    <w:nsid w:val="154291F6"/>
    <w:multiLevelType w:val="hybridMultilevel"/>
    <w:lvl w:ilvl="0">
      <w:lvlJc w:val="left"/>
      <w:lvlText w:val="(%1)"/>
      <w:numFmt w:val="lowerLetter"/>
      <w:start w:val="1"/>
    </w:lvl>
  </w:abstractNum>
  <w:abstractNum w:abstractNumId="317">
    <w:nsid w:val="3CEBD7C7"/>
    <w:multiLevelType w:val="hybridMultilevel"/>
    <w:lvl w:ilvl="0">
      <w:lvlJc w:val="left"/>
      <w:lvlText w:val="(%1)"/>
      <w:numFmt w:val="lowerLetter"/>
      <w:start w:val="2"/>
    </w:lvl>
  </w:abstractNum>
  <w:abstractNum w:abstractNumId="318">
    <w:nsid w:val="60EE9C16"/>
    <w:multiLevelType w:val="hybridMultilevel"/>
    <w:lvl w:ilvl="0">
      <w:lvlJc w:val="left"/>
      <w:lvlText w:val="%1."/>
      <w:numFmt w:val="decimal"/>
      <w:start w:val="21"/>
    </w:lvl>
  </w:abstractNum>
  <w:abstractNum w:abstractNumId="319">
    <w:nsid w:val="6385489E"/>
    <w:multiLevelType w:val="hybridMultilevel"/>
    <w:lvl w:ilvl="0">
      <w:lvlJc w:val="left"/>
      <w:lvlText w:val="(%1)"/>
      <w:numFmt w:val="lowerLetter"/>
      <w:start w:val="1"/>
    </w:lvl>
    <w:lvl w:ilvl="1">
      <w:lvlJc w:val="left"/>
      <w:lvlText w:val="(%2)"/>
      <w:numFmt w:val="lowerRoman"/>
      <w:start w:val="1"/>
    </w:lvl>
  </w:abstractNum>
  <w:abstractNum w:abstractNumId="320">
    <w:nsid w:val="E4B973"/>
    <w:multiLevelType w:val="hybridMultilevel"/>
    <w:lvl w:ilvl="0">
      <w:lvlJc w:val="left"/>
      <w:lvlText w:val="(%1)"/>
      <w:numFmt w:val="lowerLetter"/>
      <w:start w:val="1"/>
    </w:lvl>
  </w:abstractNum>
  <w:abstractNum w:abstractNumId="321">
    <w:nsid w:val="4A0FFA11"/>
    <w:multiLevelType w:val="hybridMultilevel"/>
    <w:lvl w:ilvl="0">
      <w:lvlJc w:val="left"/>
      <w:lvlText w:val="(%1)"/>
      <w:numFmt w:val="lowerLetter"/>
      <w:start w:val="1"/>
    </w:lvl>
  </w:abstractNum>
  <w:abstractNum w:abstractNumId="322">
    <w:nsid w:val="5E446208"/>
    <w:multiLevelType w:val="hybridMultilevel"/>
    <w:lvl w:ilvl="0">
      <w:lvlJc w:val="left"/>
      <w:lvlText w:val="(%1)"/>
      <w:numFmt w:val="lowerLetter"/>
      <w:start w:val="1"/>
    </w:lvl>
  </w:abstractNum>
  <w:abstractNum w:abstractNumId="323">
    <w:nsid w:val="5F3272DB"/>
    <w:multiLevelType w:val="hybridMultilevel"/>
    <w:lvl w:ilvl="0">
      <w:lvlJc w:val="left"/>
      <w:lvlText w:val="(%1)"/>
      <w:numFmt w:val="lowerRoman"/>
      <w:start w:val="10"/>
    </w:lvl>
  </w:abstractNum>
  <w:abstractNum w:abstractNumId="324">
    <w:nsid w:val="7616D704"/>
    <w:multiLevelType w:val="hybridMultilevel"/>
    <w:lvl w:ilvl="0">
      <w:lvlJc w:val="left"/>
      <w:lvlText w:val="(%1)"/>
      <w:numFmt w:val="lowerLetter"/>
      <w:start w:val="1"/>
    </w:lvl>
  </w:abstractNum>
  <w:abstractNum w:abstractNumId="325">
    <w:nsid w:val="C56F860"/>
    <w:multiLevelType w:val="hybridMultilevel"/>
    <w:lvl w:ilvl="0">
      <w:lvlJc w:val="left"/>
      <w:lvlText w:val="(%1)"/>
      <w:numFmt w:val="lowerLetter"/>
      <w:start w:val="1"/>
    </w:lvl>
    <w:lvl w:ilvl="1">
      <w:lvlJc w:val="left"/>
      <w:lvlText w:val="(%2)"/>
      <w:numFmt w:val="lowerRoman"/>
      <w:start w:val="1"/>
    </w:lvl>
  </w:abstractNum>
  <w:abstractNum w:abstractNumId="326">
    <w:nsid w:val="64D17722"/>
    <w:multiLevelType w:val="hybridMultilevel"/>
    <w:lvl w:ilvl="0">
      <w:lvlJc w:val="left"/>
      <w:lvlText w:val="(%1)"/>
      <w:numFmt w:val="lowerRoman"/>
      <w:start w:val="3"/>
    </w:lvl>
  </w:abstractNum>
  <w:abstractNum w:abstractNumId="327">
    <w:nsid w:val="7924CA0A"/>
    <w:multiLevelType w:val="hybridMultilevel"/>
    <w:lvl w:ilvl="0">
      <w:lvlJc w:val="left"/>
      <w:lvlText w:val="(%1)"/>
      <w:numFmt w:val="lowerLetter"/>
      <w:start w:val="2"/>
    </w:lvl>
  </w:abstractNum>
  <w:abstractNum w:abstractNumId="328">
    <w:nsid w:val="CFD4EA7"/>
    <w:multiLevelType w:val="hybridMultilevel"/>
    <w:lvl w:ilvl="0">
      <w:lvlJc w:val="left"/>
      <w:lvlText w:val="(%1)"/>
      <w:numFmt w:val="lowerLetter"/>
      <w:start w:val="1"/>
    </w:lvl>
  </w:abstractNum>
  <w:abstractNum w:abstractNumId="329">
    <w:nsid w:val="232FCF4D"/>
    <w:multiLevelType w:val="hybridMultilevel"/>
    <w:lvl w:ilvl="0">
      <w:lvlJc w:val="left"/>
      <w:lvlText w:val="(%1)"/>
      <w:numFmt w:val="lowerLetter"/>
      <w:start w:val="3"/>
    </w:lvl>
  </w:abstractNum>
  <w:abstractNum w:abstractNumId="330">
    <w:nsid w:val="1EA21031"/>
    <w:multiLevelType w:val="hybridMultilevel"/>
    <w:lvl w:ilvl="0">
      <w:lvlJc w:val="left"/>
      <w:lvlText w:val="(%1)"/>
      <w:numFmt w:val="lowerLetter"/>
      <w:start w:val="1"/>
    </w:lvl>
  </w:abstractNum>
  <w:abstractNum w:abstractNumId="331">
    <w:nsid w:val="67A5A6B5"/>
    <w:multiLevelType w:val="hybridMultilevel"/>
    <w:lvl w:ilvl="0">
      <w:lvlJc w:val="left"/>
      <w:lvlText w:val="(%1)"/>
      <w:numFmt w:val="lowerLetter"/>
      <w:start w:val="1"/>
    </w:lvl>
    <w:lvl w:ilvl="1">
      <w:lvlJc w:val="left"/>
      <w:lvlText w:val="(%2)"/>
      <w:numFmt w:val="lowerRoman"/>
      <w:start w:val="1"/>
    </w:lvl>
  </w:abstractNum>
  <w:abstractNum w:abstractNumId="332">
    <w:nsid w:val="C2A5C5B"/>
    <w:multiLevelType w:val="hybridMultilevel"/>
    <w:lvl w:ilvl="0">
      <w:lvlJc w:val="left"/>
      <w:lvlText w:val="%1."/>
      <w:numFmt w:val="decimal"/>
      <w:start w:val="22"/>
    </w:lvl>
  </w:abstractNum>
  <w:abstractNum w:abstractNumId="333">
    <w:nsid w:val="5F94DC03"/>
    <w:multiLevelType w:val="hybridMultilevel"/>
    <w:lvl w:ilvl="0">
      <w:lvlJc w:val="left"/>
      <w:lvlText w:val="(%1)"/>
      <w:numFmt w:val="lowerLetter"/>
      <w:start w:val="1"/>
    </w:lvl>
  </w:abstractNum>
  <w:abstractNum w:abstractNumId="334">
    <w:nsid w:val="237BBCA0"/>
    <w:multiLevelType w:val="hybridMultilevel"/>
    <w:lvl w:ilvl="0">
      <w:lvlJc w:val="left"/>
      <w:lvlText w:val="(%1)"/>
      <w:numFmt w:val="lowerLetter"/>
      <w:start w:val="1"/>
    </w:lvl>
    <w:lvl w:ilvl="1">
      <w:lvlJc w:val="left"/>
      <w:lvlText w:val="(%2)"/>
      <w:numFmt w:val="lowerRoman"/>
      <w:start w:val="1"/>
    </w:lvl>
  </w:abstractNum>
  <w:abstractNum w:abstractNumId="335">
    <w:nsid w:val="162EB70D"/>
    <w:multiLevelType w:val="hybridMultilevel"/>
    <w:lvl w:ilvl="0">
      <w:lvlJc w:val="left"/>
      <w:lvlText w:val="(%1)"/>
      <w:numFmt w:val="lowerLetter"/>
      <w:start w:val="6"/>
    </w:lvl>
    <w:lvl w:ilvl="1">
      <w:lvlJc w:val="left"/>
      <w:lvlText w:val="(%2)"/>
      <w:numFmt w:val="lowerRoman"/>
      <w:start w:val="1"/>
    </w:lvl>
  </w:abstractNum>
  <w:abstractNum w:abstractNumId="336">
    <w:nsid w:val="78070222"/>
    <w:multiLevelType w:val="hybridMultilevel"/>
    <w:lvl w:ilvl="0">
      <w:lvlJc w:val="left"/>
      <w:lvlText w:val="(%1)"/>
      <w:numFmt w:val="lowerLetter"/>
      <w:start w:val="7"/>
    </w:lvl>
  </w:abstractNum>
  <w:abstractNum w:abstractNumId="337">
    <w:nsid w:val="6163ED0D"/>
    <w:multiLevelType w:val="hybridMultilevel"/>
    <w:lvl w:ilvl="0">
      <w:lvlJc w:val="left"/>
      <w:lvlText w:val="(%1)"/>
      <w:numFmt w:val="lowerLetter"/>
      <w:start w:val="1"/>
    </w:lvl>
    <w:lvl w:ilvl="1">
      <w:lvlJc w:val="left"/>
      <w:lvlText w:val="(%2)"/>
      <w:numFmt w:val="lowerRoman"/>
      <w:start w:val="1"/>
    </w:lvl>
  </w:abstractNum>
  <w:abstractNum w:abstractNumId="338">
    <w:nsid w:val="C600E47"/>
    <w:multiLevelType w:val="hybridMultilevel"/>
    <w:lvl w:ilvl="0">
      <w:lvlJc w:val="left"/>
      <w:lvlText w:val="%1"/>
      <w:numFmt w:val="lowerLetter"/>
      <w:start w:val="1"/>
    </w:lvl>
    <w:lvl w:ilvl="1">
      <w:lvlJc w:val="left"/>
      <w:lvlText w:val="(%2)"/>
      <w:numFmt w:val="lowerLetter"/>
      <w:start w:val="35"/>
    </w:lvl>
  </w:abstractNum>
  <w:abstractNum w:abstractNumId="339">
    <w:nsid w:val="7D94F75D"/>
    <w:multiLevelType w:val="hybridMultilevel"/>
    <w:lvl w:ilvl="0">
      <w:lvlJc w:val="left"/>
      <w:lvlText w:val="(%1)"/>
      <w:numFmt w:val="lowerLetter"/>
      <w:start w:val="3"/>
    </w:lvl>
    <w:lvl w:ilvl="1">
      <w:lvlJc w:val="left"/>
      <w:lvlText w:val="(%2)"/>
      <w:numFmt w:val="lowerLetter"/>
      <w:start w:val="9"/>
    </w:lvl>
  </w:abstractNum>
  <w:abstractNum w:abstractNumId="340">
    <w:nsid w:val="6C31E7CD"/>
    <w:multiLevelType w:val="hybridMultilevel"/>
    <w:lvl w:ilvl="0">
      <w:lvlJc w:val="left"/>
      <w:lvlText w:val="(%1)"/>
      <w:numFmt w:val="lowerRoman"/>
      <w:start w:val="2"/>
    </w:lvl>
  </w:abstractNum>
  <w:abstractNum w:abstractNumId="341">
    <w:nsid w:val="2BB7929B"/>
    <w:multiLevelType w:val="hybridMultilevel"/>
    <w:lvl w:ilvl="0">
      <w:lvlJc w:val="left"/>
      <w:lvlText w:val="(%1)"/>
      <w:numFmt w:val="lowerLetter"/>
      <w:start w:val="1"/>
    </w:lvl>
  </w:abstractNum>
  <w:abstractNum w:abstractNumId="342">
    <w:nsid w:val="58A2A4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3">
    <w:nsid w:val="3A6F0E7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44">
    <w:nsid w:val="379A5B56"/>
    <w:multiLevelType w:val="hybridMultilevel"/>
    <w:lvl w:ilvl="0">
      <w:lvlJc w:val="left"/>
      <w:lvlText w:val="%1"/>
      <w:numFmt w:val="lowerRoman"/>
      <w:start w:val="1"/>
    </w:lvl>
    <w:lvl w:ilvl="1">
      <w:lvlJc w:val="left"/>
      <w:lvlText w:val="(%2)"/>
      <w:numFmt w:val="upperLetter"/>
      <w:start w:val="4"/>
    </w:lvl>
  </w:abstractNum>
  <w:abstractNum w:abstractNumId="345">
    <w:nsid w:val="53B735D5"/>
    <w:multiLevelType w:val="hybridMultilevel"/>
    <w:lvl w:ilvl="0">
      <w:lvlJc w:val="left"/>
      <w:lvlText w:val="(%1)"/>
      <w:numFmt w:val="lowerRoman"/>
      <w:start w:val="2"/>
    </w:lvl>
    <w:lvl w:ilvl="1">
      <w:lvlJc w:val="left"/>
      <w:lvlText w:val="%2"/>
      <w:numFmt w:val="upperLetter"/>
      <w:start w:val="1"/>
    </w:lvl>
  </w:abstractNum>
  <w:abstractNum w:abstractNumId="346">
    <w:nsid w:val="29784870"/>
    <w:multiLevelType w:val="hybridMultilevel"/>
    <w:lvl w:ilvl="0">
      <w:lvlJc w:val="left"/>
      <w:lvlText w:val="(%1)"/>
      <w:numFmt w:val="lowerLetter"/>
      <w:start w:val="1"/>
    </w:lvl>
    <w:lvl w:ilvl="1">
      <w:lvlJc w:val="left"/>
      <w:lvlText w:val="(%2)"/>
      <w:numFmt w:val="lowerRoman"/>
      <w:start w:val="1"/>
    </w:lvl>
  </w:abstractNum>
  <w:abstractNum w:abstractNumId="347">
    <w:nsid w:val="4CDCED4C"/>
    <w:multiLevelType w:val="hybridMultilevel"/>
    <w:lvl w:ilvl="0">
      <w:lvlJc w:val="left"/>
      <w:lvlText w:val="(%1)"/>
      <w:numFmt w:val="lowerLetter"/>
      <w:start w:val="1"/>
    </w:lvl>
  </w:abstractNum>
  <w:abstractNum w:abstractNumId="348">
    <w:nsid w:val="10A30D9C"/>
    <w:multiLevelType w:val="hybridMultilevel"/>
    <w:lvl w:ilvl="0">
      <w:lvlJc w:val="left"/>
      <w:lvlText w:val="(%1)"/>
      <w:numFmt w:val="lowerRoman"/>
      <w:start w:val="1"/>
    </w:lvl>
  </w:abstractNum>
  <w:abstractNum w:abstractNumId="349">
    <w:nsid w:val="A66E486"/>
    <w:multiLevelType w:val="hybridMultilevel"/>
    <w:lvl w:ilvl="0">
      <w:lvlJc w:val="left"/>
      <w:lvlText w:val="%1."/>
      <w:numFmt w:val="decimal"/>
      <w:start w:val="23"/>
    </w:lvl>
  </w:abstractNum>
  <w:abstractNum w:abstractNumId="350">
    <w:nsid w:val="306235EA"/>
    <w:multiLevelType w:val="hybridMultilevel"/>
    <w:lvl w:ilvl="0">
      <w:lvlJc w:val="left"/>
      <w:lvlText w:val="(%1)"/>
      <w:numFmt w:val="lowerLetter"/>
      <w:start w:val="1"/>
    </w:lvl>
  </w:abstractNum>
  <w:abstractNum w:abstractNumId="351">
    <w:nsid w:val="1187C7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2">
    <w:nsid w:val="5476DE98"/>
    <w:multiLevelType w:val="hybridMultilevel"/>
    <w:lvl w:ilvl="0">
      <w:lvlJc w:val="left"/>
      <w:lvlText w:val="(%1)"/>
      <w:numFmt w:val="lowerLetter"/>
      <w:start w:val="4"/>
    </w:lvl>
  </w:abstractNum>
  <w:abstractNum w:abstractNumId="353">
    <w:nsid w:val="EA697F2"/>
    <w:multiLevelType w:val="hybridMultilevel"/>
    <w:lvl w:ilvl="0">
      <w:lvlJc w:val="left"/>
      <w:lvlText w:val="(%1)"/>
      <w:numFmt w:val="lowerLetter"/>
      <w:start w:val="1"/>
    </w:lvl>
  </w:abstractNum>
  <w:abstractNum w:abstractNumId="354">
    <w:nsid w:val="70BA39EB"/>
    <w:multiLevelType w:val="hybridMultilevel"/>
    <w:lvl w:ilvl="0">
      <w:lvlJc w:val="left"/>
      <w:lvlText w:val="(%1)"/>
      <w:numFmt w:val="lowerLetter"/>
      <w:start w:val="1"/>
    </w:lvl>
  </w:abstractNum>
  <w:abstractNum w:abstractNumId="355">
    <w:nsid w:val="4A8DB5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6">
    <w:nsid w:val="1AFD9053"/>
    <w:multiLevelType w:val="hybridMultilevel"/>
    <w:lvl w:ilvl="0">
      <w:lvlJc w:val="left"/>
      <w:lvlText w:val="(%1)"/>
      <w:numFmt w:val="lowerLetter"/>
      <w:start w:val="2"/>
    </w:lvl>
    <w:lvl w:ilvl="1">
      <w:lvlJc w:val="left"/>
      <w:lvlText w:val="(%2)"/>
      <w:numFmt w:val="lowerRoman"/>
      <w:start w:val="1"/>
    </w:lvl>
  </w:abstractNum>
  <w:abstractNum w:abstractNumId="357">
    <w:nsid w:val="558BB10D"/>
    <w:multiLevelType w:val="hybridMultilevel"/>
    <w:lvl w:ilvl="0">
      <w:lvlJc w:val="left"/>
      <w:lvlText w:val="(%1)"/>
      <w:numFmt w:val="lowerRoman"/>
      <w:start w:val="1"/>
    </w:lvl>
  </w:abstractNum>
  <w:abstractNum w:abstractNumId="358">
    <w:nsid w:val="43B27FA7"/>
    <w:multiLevelType w:val="hybridMultilevel"/>
    <w:lvl w:ilvl="0">
      <w:lvlJc w:val="left"/>
      <w:lvlText w:val="(%1)"/>
      <w:numFmt w:val="lowerLetter"/>
      <w:start w:val="1"/>
    </w:lvl>
  </w:abstractNum>
  <w:abstractNum w:abstractNumId="359">
    <w:nsid w:val="27FADEFA"/>
    <w:multiLevelType w:val="hybridMultilevel"/>
    <w:lvl w:ilvl="0">
      <w:lvlJc w:val="left"/>
      <w:lvlText w:val="(%1)"/>
      <w:numFmt w:val="lowerLetter"/>
      <w:start w:val="1"/>
    </w:lvl>
  </w:abstractNum>
  <w:abstractNum w:abstractNumId="360">
    <w:nsid w:val="78BB805A"/>
    <w:multiLevelType w:val="hybridMultilevel"/>
    <w:lvl w:ilvl="0">
      <w:lvlJc w:val="left"/>
      <w:lvlText w:val="(%1)"/>
      <w:numFmt w:val="lowerLetter"/>
      <w:start w:val="1"/>
    </w:lvl>
    <w:lvl w:ilvl="1">
      <w:lvlJc w:val="left"/>
      <w:lvlText w:val="(%2)"/>
      <w:numFmt w:val="lowerRoman"/>
      <w:start w:val="1"/>
    </w:lvl>
  </w:abstractNum>
  <w:abstractNum w:abstractNumId="361">
    <w:nsid w:val="62548FD8"/>
    <w:multiLevelType w:val="hybridMultilevel"/>
    <w:lvl w:ilvl="0">
      <w:lvlJc w:val="left"/>
      <w:lvlText w:val="(%1)"/>
      <w:numFmt w:val="lowerRoman"/>
      <w:start w:val="3"/>
    </w:lvl>
    <w:lvl w:ilvl="1">
      <w:lvlJc w:val="left"/>
      <w:lvlText w:val="(%2)"/>
      <w:numFmt w:val="upperLetter"/>
      <w:start w:val="1"/>
    </w:lvl>
  </w:abstractNum>
  <w:abstractNum w:abstractNumId="362">
    <w:nsid w:val="FA085B0"/>
    <w:multiLevelType w:val="hybridMultilevel"/>
    <w:lvl w:ilvl="0">
      <w:lvlJc w:val="left"/>
      <w:lvlText w:val="(%1)"/>
      <w:numFmt w:val="lowerLetter"/>
      <w:start w:val="2"/>
    </w:lvl>
    <w:lvl w:ilvl="1">
      <w:lvlJc w:val="left"/>
      <w:lvlText w:val="(%2)"/>
      <w:numFmt w:val="lowerRoman"/>
      <w:start w:val="1"/>
    </w:lvl>
  </w:abstractNum>
  <w:abstractNum w:abstractNumId="363">
    <w:nsid w:val="4E5DCB5"/>
    <w:multiLevelType w:val="hybridMultilevel"/>
    <w:lvl w:ilvl="0">
      <w:lvlJc w:val="left"/>
      <w:lvlText w:val="(%1)"/>
      <w:numFmt w:val="lowerLetter"/>
      <w:start w:val="5"/>
    </w:lvl>
  </w:abstractNum>
  <w:abstractNum w:abstractNumId="364">
    <w:nsid w:val="41E96BDB"/>
    <w:multiLevelType w:val="hybridMultilevel"/>
    <w:lvl w:ilvl="0">
      <w:lvlJc w:val="left"/>
      <w:lvlText w:val="(%1)"/>
      <w:numFmt w:val="lowerLetter"/>
      <w:start w:val="1"/>
    </w:lvl>
  </w:abstractNum>
  <w:abstractNum w:abstractNumId="365">
    <w:nsid w:val="331C4250"/>
    <w:multiLevelType w:val="hybridMultilevel"/>
    <w:lvl w:ilvl="0">
      <w:lvlJc w:val="left"/>
      <w:lvlText w:val="(%1)"/>
      <w:numFmt w:val="lowerRoman"/>
      <w:start w:val="1"/>
    </w:lvl>
  </w:abstractNum>
  <w:abstractNum w:abstractNumId="366">
    <w:nsid w:val="1B1493C2"/>
    <w:multiLevelType w:val="hybridMultilevel"/>
    <w:lvl w:ilvl="0">
      <w:lvlJc w:val="left"/>
      <w:lvlText w:val="(%1)"/>
      <w:numFmt w:val="lowerLetter"/>
      <w:start w:val="1"/>
    </w:lvl>
  </w:abstractNum>
  <w:abstractNum w:abstractNumId="367">
    <w:nsid w:val="39F06DFD"/>
    <w:multiLevelType w:val="hybridMultilevel"/>
    <w:lvl w:ilvl="0">
      <w:lvlJc w:val="left"/>
      <w:lvlText w:val="(%1)"/>
      <w:numFmt w:val="lowerLetter"/>
      <w:start w:val="1"/>
    </w:lvl>
    <w:lvl w:ilvl="1">
      <w:lvlJc w:val="left"/>
      <w:lvlText w:val="(%2)"/>
      <w:numFmt w:val="lowerRoman"/>
      <w:start w:val="1"/>
    </w:lvl>
  </w:abstractNum>
  <w:abstractNum w:abstractNumId="368">
    <w:nsid w:val="14802F5D"/>
    <w:multiLevelType w:val="hybridMultilevel"/>
    <w:lvl w:ilvl="0">
      <w:lvlJc w:val="left"/>
      <w:lvlText w:val="(%1)"/>
      <w:numFmt w:val="lowerLetter"/>
      <w:start w:val="2"/>
    </w:lvl>
  </w:abstractNum>
  <w:abstractNum w:abstractNumId="369">
    <w:nsid w:val="2774A209"/>
    <w:multiLevelType w:val="hybridMultilevel"/>
    <w:lvl w:ilvl="0">
      <w:lvlJc w:val="left"/>
      <w:lvlText w:val="(%1)"/>
      <w:numFmt w:val="lowerLetter"/>
      <w:start w:val="1"/>
    </w:lvl>
  </w:abstractNum>
  <w:abstractNum w:abstractNumId="370">
    <w:nsid w:val="3785655A"/>
    <w:multiLevelType w:val="hybridMultilevel"/>
    <w:lvl w:ilvl="0">
      <w:lvlJc w:val="left"/>
      <w:lvlText w:val="%1."/>
      <w:numFmt w:val="decimal"/>
      <w:start w:val="24"/>
    </w:lvl>
  </w:abstractNum>
  <w:abstractNum w:abstractNumId="371">
    <w:nsid w:val="B2172A"/>
    <w:multiLevelType w:val="hybridMultilevel"/>
    <w:lvl w:ilvl="0">
      <w:lvlJc w:val="left"/>
      <w:lvlText w:val="(%1)"/>
      <w:numFmt w:val="lowerLetter"/>
      <w:start w:val="1"/>
    </w:lvl>
  </w:abstractNum>
  <w:abstractNum w:abstractNumId="372">
    <w:nsid w:val="532C34A5"/>
    <w:multiLevelType w:val="hybridMultilevel"/>
    <w:lvl w:ilvl="0">
      <w:lvlJc w:val="left"/>
      <w:lvlText w:val="(%1)"/>
      <w:numFmt w:val="lowerLetter"/>
      <w:start w:val="3"/>
    </w:lvl>
  </w:abstractNum>
  <w:abstractNum w:abstractNumId="373">
    <w:nsid w:val="102809E2"/>
    <w:multiLevelType w:val="hybridMultilevel"/>
    <w:lvl w:ilvl="0">
      <w:lvlJc w:val="left"/>
      <w:lvlText w:val="(%1)"/>
      <w:numFmt w:val="lowerLetter"/>
      <w:start w:val="1"/>
    </w:lvl>
  </w:abstractNum>
  <w:abstractNum w:abstractNumId="374">
    <w:nsid w:val="3B2125A3"/>
    <w:multiLevelType w:val="hybridMultilevel"/>
    <w:lvl w:ilvl="0">
      <w:lvlJc w:val="left"/>
      <w:lvlText w:val="(%1)"/>
      <w:numFmt w:val="lowerLetter"/>
      <w:start w:val="1"/>
    </w:lvl>
  </w:abstractNum>
  <w:abstractNum w:abstractNumId="375">
    <w:nsid w:val="AC68FFB"/>
    <w:multiLevelType w:val="hybridMultilevel"/>
    <w:lvl w:ilvl="0">
      <w:lvlJc w:val="left"/>
      <w:lvlText w:val="(%1)"/>
      <w:numFmt w:val="lowerLetter"/>
      <w:start w:val="1"/>
    </w:lvl>
    <w:lvl w:ilvl="1">
      <w:lvlJc w:val="left"/>
      <w:lvlText w:val="(%2)"/>
      <w:numFmt w:val="lowerRoman"/>
      <w:start w:val="1"/>
    </w:lvl>
  </w:abstractNum>
  <w:abstractNum w:abstractNumId="376">
    <w:nsid w:val="63DF3FB7"/>
    <w:multiLevelType w:val="hybridMultilevel"/>
    <w:lvl w:ilvl="0">
      <w:lvlJc w:val="left"/>
      <w:lvlText w:val="%1."/>
      <w:numFmt w:val="decimal"/>
      <w:start w:val="25"/>
    </w:lvl>
  </w:abstractNum>
  <w:abstractNum w:abstractNumId="377">
    <w:nsid w:val="64996E13"/>
    <w:multiLevelType w:val="hybridMultilevel"/>
    <w:lvl w:ilvl="0">
      <w:lvlJc w:val="left"/>
      <w:lvlText w:val="(%1)"/>
      <w:numFmt w:val="lowerLetter"/>
      <w:start w:val="1"/>
    </w:lvl>
  </w:abstractNum>
  <w:abstractNum w:abstractNumId="378">
    <w:nsid w:val="57A37D47"/>
    <w:multiLevelType w:val="hybridMultilevel"/>
    <w:lvl w:ilvl="0">
      <w:lvlJc w:val="left"/>
      <w:lvlText w:val="(%1)"/>
      <w:numFmt w:val="lowerLetter"/>
      <w:start w:val="1"/>
    </w:lvl>
  </w:abstractNum>
  <w:abstractNum w:abstractNumId="379">
    <w:nsid w:val="74824D54"/>
    <w:multiLevelType w:val="hybridMultilevel"/>
    <w:lvl w:ilvl="0">
      <w:lvlJc w:val="left"/>
      <w:lvlText w:val="(%1)"/>
      <w:numFmt w:val="lowerLetter"/>
      <w:start w:val="1"/>
    </w:lvl>
  </w:abstractNum>
  <w:abstractNum w:abstractNumId="380">
    <w:nsid w:val="6F00529A"/>
    <w:multiLevelType w:val="hybridMultilevel"/>
    <w:lvl w:ilvl="0">
      <w:lvlJc w:val="left"/>
      <w:lvlText w:val="(%1)"/>
      <w:numFmt w:val="lowerRoman"/>
      <w:start w:val="1"/>
    </w:lvl>
  </w:abstractNum>
  <w:abstractNum w:abstractNumId="381">
    <w:nsid w:val="805B331"/>
    <w:multiLevelType w:val="hybridMultilevel"/>
    <w:lvl w:ilvl="0">
      <w:lvlJc w:val="left"/>
      <w:lvlText w:val="(%1)"/>
      <w:numFmt w:val="lowerLetter"/>
      <w:start w:val="1"/>
    </w:lvl>
    <w:lvl w:ilvl="1">
      <w:lvlJc w:val="left"/>
      <w:lvlText w:val="(%2)"/>
      <w:numFmt w:val="lowerRoman"/>
      <w:start w:val="1"/>
    </w:lvl>
  </w:abstractNum>
  <w:abstractNum w:abstractNumId="382">
    <w:nsid w:val="60A1463"/>
    <w:multiLevelType w:val="hybridMultilevel"/>
    <w:lvl w:ilvl="0">
      <w:lvlJc w:val="left"/>
      <w:lvlText w:val="(%1)"/>
      <w:numFmt w:val="lowerLetter"/>
      <w:start w:val="2"/>
    </w:lvl>
    <w:lvl w:ilvl="1">
      <w:lvlJc w:val="left"/>
      <w:lvlText w:val="(%2)"/>
      <w:numFmt w:val="lowerLetter"/>
      <w:start w:val="9"/>
    </w:lvl>
  </w:abstractNum>
  <w:abstractNum w:abstractNumId="383">
    <w:nsid w:val="43773132"/>
    <w:multiLevelType w:val="hybridMultilevel"/>
    <w:lvl w:ilvl="0">
      <w:lvlJc w:val="left"/>
      <w:lvlText w:val="(%1)"/>
      <w:numFmt w:val="lowerRoman"/>
      <w:start w:val="2"/>
    </w:lvl>
  </w:abstractNum>
  <w:abstractNum w:abstractNumId="384">
    <w:nsid w:val="16AC4B23"/>
    <w:multiLevelType w:val="hybridMultilevel"/>
    <w:lvl w:ilvl="0">
      <w:lvlJc w:val="left"/>
      <w:lvlText w:val="(%1)"/>
      <w:numFmt w:val="lowerLetter"/>
      <w:start w:val="1"/>
    </w:lvl>
    <w:lvl w:ilvl="1">
      <w:lvlJc w:val="left"/>
      <w:lvlText w:val="(%2)"/>
      <w:numFmt w:val="lowerRoman"/>
      <w:start w:val="1"/>
    </w:lvl>
  </w:abstractNum>
  <w:abstractNum w:abstractNumId="385">
    <w:nsid w:val="76C44E4E"/>
    <w:multiLevelType w:val="hybridMultilevel"/>
    <w:lvl w:ilvl="0">
      <w:lvlJc w:val="left"/>
      <w:lvlText w:val="(%1)"/>
      <w:numFmt w:val="lowerLetter"/>
      <w:start w:val="1"/>
    </w:lvl>
  </w:abstractNum>
  <w:abstractNum w:abstractNumId="386">
    <w:nsid w:val="E04E6CE"/>
    <w:multiLevelType w:val="hybridMultilevel"/>
    <w:lvl w:ilvl="0">
      <w:lvlJc w:val="left"/>
      <w:lvlText w:val="(%1)"/>
      <w:numFmt w:val="lowerLetter"/>
      <w:start w:val="1"/>
    </w:lvl>
  </w:abstractNum>
  <w:abstractNum w:abstractNumId="387">
    <w:nsid w:val="31A9DB76"/>
    <w:multiLevelType w:val="hybridMultilevel"/>
    <w:lvl w:ilvl="0">
      <w:lvlJc w:val="left"/>
      <w:lvlText w:val="(%1)"/>
      <w:numFmt w:val="lowerLetter"/>
      <w:start w:val="3"/>
    </w:lvl>
  </w:abstractNum>
  <w:abstractNum w:abstractNumId="388">
    <w:nsid w:val="4C4FFF5B"/>
    <w:multiLevelType w:val="hybridMultilevel"/>
    <w:lvl w:ilvl="0">
      <w:lvlJc w:val="left"/>
      <w:lvlText w:val="(%1)"/>
      <w:numFmt w:val="lowerLetter"/>
      <w:start w:val="1"/>
    </w:lvl>
    <w:lvl w:ilvl="1">
      <w:lvlJc w:val="left"/>
      <w:lvlText w:val="(%2)"/>
      <w:numFmt w:val="lowerRoman"/>
      <w:start w:val="1"/>
    </w:lvl>
  </w:abstractNum>
  <w:abstractNum w:abstractNumId="389">
    <w:nsid w:val="51B76675"/>
    <w:multiLevelType w:val="hybridMultilevel"/>
    <w:lvl w:ilvl="0">
      <w:lvlJc w:val="left"/>
      <w:lvlText w:val="(%1)"/>
      <w:numFmt w:val="lowerLetter"/>
      <w:start w:val="1"/>
    </w:lvl>
  </w:abstractNum>
  <w:abstractNum w:abstractNumId="390">
    <w:nsid w:val="59A4BA71"/>
    <w:multiLevelType w:val="hybridMultilevel"/>
    <w:lvl w:ilvl="0">
      <w:lvlJc w:val="left"/>
      <w:lvlText w:val="%1"/>
      <w:numFmt w:val="decimal"/>
      <w:start w:val="1"/>
    </w:lvl>
    <w:lvl w:ilvl="1">
      <w:lvlJc w:val="left"/>
      <w:lvlText w:val="(%2)"/>
      <w:numFmt w:val="lowerLetter"/>
      <w:start w:val="6"/>
    </w:lvl>
  </w:abstractNum>
  <w:abstractNum w:abstractNumId="391">
    <w:nsid w:val="450B7FB6"/>
    <w:multiLevelType w:val="hybridMultilevel"/>
    <w:lvl w:ilvl="0">
      <w:lvlJc w:val="left"/>
      <w:lvlText w:val="%1."/>
      <w:numFmt w:val="decimal"/>
      <w:start w:val="26"/>
    </w:lvl>
    <w:lvl w:ilvl="1">
      <w:lvlJc w:val="left"/>
      <w:lvlText w:val="%2"/>
      <w:numFmt w:val="lowerLetter"/>
      <w:start w:val="1"/>
    </w:lvl>
  </w:abstractNum>
  <w:abstractNum w:abstractNumId="392">
    <w:nsid w:val="340BF64D"/>
    <w:multiLevelType w:val="hybridMultilevel"/>
    <w:lvl w:ilvl="0">
      <w:lvlJc w:val="left"/>
      <w:lvlText w:val="(%1)"/>
      <w:numFmt w:val="lowerLetter"/>
      <w:start w:val="1"/>
    </w:lvl>
  </w:abstractNum>
  <w:abstractNum w:abstractNumId="393">
    <w:nsid w:val="69454021"/>
    <w:multiLevelType w:val="hybridMultilevel"/>
    <w:lvl w:ilvl="0">
      <w:lvlJc w:val="left"/>
      <w:lvlText w:val="(%1)"/>
      <w:numFmt w:val="lowerLetter"/>
      <w:start w:val="1"/>
    </w:lvl>
    <w:lvl w:ilvl="1">
      <w:lvlJc w:val="left"/>
      <w:lvlText w:val="(%2)"/>
      <w:numFmt w:val="lowerRoman"/>
      <w:start w:val="1"/>
    </w:lvl>
  </w:abstractNum>
  <w:abstractNum w:abstractNumId="394">
    <w:nsid w:val="49F15C6B"/>
    <w:multiLevelType w:val="hybridMultilevel"/>
    <w:lvl w:ilvl="0">
      <w:lvlJc w:val="left"/>
      <w:lvlText w:val="(%1)"/>
      <w:numFmt w:val="lowerLetter"/>
      <w:start w:val="2"/>
    </w:lvl>
  </w:abstractNum>
  <w:abstractNum w:abstractNumId="395">
    <w:nsid w:val="75F56228"/>
    <w:multiLevelType w:val="hybridMultilevel"/>
    <w:lvl w:ilvl="0">
      <w:lvlJc w:val="left"/>
      <w:lvlText w:val="(%1)"/>
      <w:numFmt w:val="lowerLetter"/>
      <w:start w:val="1"/>
    </w:lvl>
    <w:lvl w:ilvl="1">
      <w:lvlJc w:val="left"/>
      <w:lvlText w:val="(%2)"/>
      <w:numFmt w:val="lowerRoman"/>
      <w:start w:val="1"/>
    </w:lvl>
  </w:abstractNum>
  <w:abstractNum w:abstractNumId="396">
    <w:nsid w:val="1C618271"/>
    <w:multiLevelType w:val="hybridMultilevel"/>
    <w:lvl w:ilvl="0">
      <w:lvlJc w:val="left"/>
      <w:lvlText w:val="(%1)"/>
      <w:numFmt w:val="lowerLetter"/>
      <w:start w:val="4"/>
    </w:lvl>
  </w:abstractNum>
  <w:abstractNum w:abstractNumId="397">
    <w:nsid w:val="6505F02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8">
    <w:nsid w:val="2FE5D025"/>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abstractNum>
  <w:abstractNum w:abstractNumId="399">
    <w:nsid w:val="30E1B1CF"/>
    <w:multiLevelType w:val="hybridMultilevel"/>
    <w:lvl w:ilvl="0">
      <w:lvlJc w:val="left"/>
      <w:lvlText w:val="%1."/>
      <w:numFmt w:val="decimal"/>
      <w:start w:val="29"/>
    </w:lvl>
  </w:abstractNum>
  <w:abstractNum w:abstractNumId="400">
    <w:nsid w:val="C7A9237"/>
    <w:multiLevelType w:val="hybridMultilevel"/>
    <w:lvl w:ilvl="0">
      <w:lvlJc w:val="left"/>
      <w:lvlText w:val="(%1)"/>
      <w:numFmt w:val="lowerLetter"/>
      <w:start w:val="1"/>
    </w:lvl>
  </w:abstractNum>
  <w:abstractNum w:abstractNumId="401">
    <w:nsid w:val="676B3580"/>
    <w:multiLevelType w:val="hybridMultilevel"/>
    <w:lvl w:ilvl="0">
      <w:lvlJc w:val="left"/>
      <w:lvlText w:val="(%1)"/>
      <w:numFmt w:val="lowerLetter"/>
      <w:start w:val="1"/>
    </w:lvl>
  </w:abstractNum>
  <w:abstractNum w:abstractNumId="402">
    <w:nsid w:val="3193C8F9"/>
    <w:multiLevelType w:val="hybridMultilevel"/>
    <w:lvl w:ilvl="0">
      <w:lvlJc w:val="left"/>
      <w:lvlText w:val="(%1)"/>
      <w:numFmt w:val="lowerLetter"/>
      <w:start w:val="1"/>
    </w:lvl>
  </w:abstractNum>
  <w:abstractNum w:abstractNumId="403">
    <w:nsid w:val="5FA6C6DC"/>
    <w:multiLevelType w:val="hybridMultilevel"/>
    <w:lvl w:ilvl="0">
      <w:lvlJc w:val="left"/>
      <w:lvlText w:val="(%1)"/>
      <w:numFmt w:val="lowerLetter"/>
      <w:start w:val="1"/>
    </w:lvl>
    <w:lvl w:ilvl="1">
      <w:lvlJc w:val="left"/>
      <w:lvlText w:val="(%2)"/>
      <w:numFmt w:val="lowerLetter"/>
      <w:start w:val="9"/>
    </w:lvl>
  </w:abstractNum>
  <w:abstractNum w:abstractNumId="404">
    <w:nsid w:val="77933F62"/>
    <w:multiLevelType w:val="hybridMultilevel"/>
    <w:lvl w:ilvl="0">
      <w:lvlJc w:val="left"/>
      <w:lvlText w:val="(%1)"/>
      <w:numFmt w:val="upperLetter"/>
      <w:start w:val="1"/>
    </w:lvl>
  </w:abstractNum>
  <w:abstractNum w:abstractNumId="405">
    <w:nsid w:val="6CB4EE9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6">
    <w:nsid w:val="6A6D56D7"/>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407">
    <w:nsid w:val="5B727F19"/>
    <w:multiLevelType w:val="hybridMultilevel"/>
    <w:lvl w:ilvl="0">
      <w:lvlJc w:val="left"/>
      <w:lvlText w:val="(%1)"/>
      <w:numFmt w:val="lowerLetter"/>
      <w:start w:val="1"/>
    </w:lvl>
    <w:lvl w:ilvl="1">
      <w:lvlJc w:val="left"/>
      <w:lvlText w:val="(%2)"/>
      <w:numFmt w:val="lowerRoman"/>
      <w:start w:val="1"/>
    </w:lvl>
  </w:abstractNum>
  <w:abstractNum w:abstractNumId="408">
    <w:nsid w:val="514E5CB0"/>
    <w:multiLevelType w:val="hybridMultilevel"/>
    <w:lvl w:ilvl="0">
      <w:lvlJc w:val="left"/>
      <w:lvlText w:val="(%1)"/>
      <w:numFmt w:val="lowerRoman"/>
      <w:start w:val="4"/>
    </w:lvl>
  </w:abstractNum>
  <w:abstractNum w:abstractNumId="409">
    <w:nsid w:val="4210D41E"/>
    <w:multiLevelType w:val="hybridMultilevel"/>
    <w:lvl w:ilvl="0">
      <w:lvlJc w:val="left"/>
      <w:lvlText w:val="(%1)"/>
      <w:numFmt w:val="lowerRoman"/>
      <w:start w:val="8"/>
    </w:lvl>
  </w:abstractNum>
  <w:abstractNum w:abstractNumId="410">
    <w:nsid w:val="4FF4CC6D"/>
    <w:multiLevelType w:val="hybridMultilevel"/>
    <w:lvl w:ilvl="0">
      <w:lvlJc w:val="left"/>
      <w:lvlText w:val="%1"/>
      <w:numFmt w:val="lowerLetter"/>
      <w:start w:val="1"/>
    </w:lvl>
    <w:lvl w:ilvl="1">
      <w:lvlJc w:val="left"/>
      <w:lvlText w:val="(%2)"/>
      <w:numFmt w:val="upperLetter"/>
      <w:start w:val="1"/>
    </w:lvl>
  </w:abstractNum>
  <w:abstractNum w:abstractNumId="411">
    <w:nsid w:val="404EAF4A"/>
    <w:multiLevelType w:val="hybridMultilevel"/>
    <w:lvl w:ilvl="0">
      <w:lvlJc w:val="left"/>
      <w:lvlText w:val="(%1)"/>
      <w:numFmt w:val="lowerLetter"/>
      <w:start w:val="3"/>
    </w:lvl>
    <w:lvl w:ilvl="1">
      <w:lvlJc w:val="left"/>
      <w:lvlText w:val="%2"/>
      <w:numFmt w:val="upperLetter"/>
      <w:start w:val="1"/>
    </w:lvl>
  </w:abstractNum>
  <w:abstractNum w:abstractNumId="412">
    <w:nsid w:val="4A16874F"/>
    <w:multiLevelType w:val="hybridMultilevel"/>
    <w:lvl w:ilvl="0">
      <w:lvlJc w:val="left"/>
      <w:lvlText w:val="(%1)"/>
      <w:numFmt w:val="lowerLetter"/>
      <w:start w:val="1"/>
    </w:lvl>
    <w:lvl w:ilvl="1">
      <w:lvlJc w:val="left"/>
      <w:lvlText w:val="(%2)"/>
      <w:numFmt w:val="lowerRoman"/>
      <w:start w:val="1"/>
    </w:lvl>
  </w:abstractNum>
  <w:abstractNum w:abstractNumId="413">
    <w:nsid w:val="55FEE0D1"/>
    <w:multiLevelType w:val="hybridMultilevel"/>
    <w:lvl w:ilvl="0">
      <w:lvlJc w:val="left"/>
      <w:lvlText w:val="(%1)"/>
      <w:numFmt w:val="lowerLetter"/>
      <w:start w:val="2"/>
    </w:lvl>
    <w:lvl w:ilvl="1">
      <w:lvlJc w:val="left"/>
      <w:lvlText w:val="(%2)"/>
      <w:numFmt w:val="lowerLetter"/>
      <w:start w:val="9"/>
    </w:lvl>
  </w:abstractNum>
  <w:abstractNum w:abstractNumId="414">
    <w:nsid w:val="3C5E07C"/>
    <w:multiLevelType w:val="hybridMultilevel"/>
    <w:lvl w:ilvl="0">
      <w:lvlJc w:val="left"/>
      <w:lvlText w:val="(%1)"/>
      <w:numFmt w:val="lowerRoman"/>
      <w:start w:val="2"/>
    </w:lvl>
  </w:abstractNum>
  <w:abstractNum w:abstractNumId="415">
    <w:nsid w:val="60C2D273"/>
    <w:multiLevelType w:val="hybridMultilevel"/>
    <w:lvl w:ilvl="0">
      <w:lvlJc w:val="left"/>
      <w:lvlText w:val="(%1)"/>
      <w:numFmt w:val="lowerLetter"/>
      <w:start w:val="1"/>
    </w:lvl>
  </w:abstractNum>
  <w:abstractNum w:abstractNumId="416">
    <w:nsid w:val="4CC32F1F"/>
    <w:multiLevelType w:val="hybridMultilevel"/>
    <w:lvl w:ilvl="0">
      <w:lvlJc w:val="left"/>
      <w:lvlText w:val="%1"/>
      <w:numFmt w:val="decimal"/>
      <w:start w:val="1"/>
    </w:lvl>
    <w:lvl w:ilvl="1">
      <w:lvlJc w:val="left"/>
      <w:lvlText w:val="(%2)"/>
      <w:numFmt w:val="lowerLetter"/>
      <w:start w:val="1"/>
    </w:lvl>
  </w:abstractNum>
  <w:abstractNum w:abstractNumId="417">
    <w:nsid w:val="11CAC74A"/>
    <w:multiLevelType w:val="hybridMultilevel"/>
    <w:lvl w:ilvl="0">
      <w:lvlJc w:val="left"/>
      <w:lvlText w:val="%1."/>
      <w:numFmt w:val="decimal"/>
      <w:start w:val="33"/>
    </w:lvl>
    <w:lvl w:ilvl="1">
      <w:lvlJc w:val="left"/>
      <w:lvlText w:val="%2"/>
      <w:numFmt w:val="lowerLetter"/>
      <w:start w:val="1"/>
    </w:lvl>
  </w:abstractNum>
  <w:abstractNum w:abstractNumId="418">
    <w:nsid w:val="126CADE9"/>
    <w:multiLevelType w:val="hybridMultilevel"/>
    <w:lvl w:ilvl="0">
      <w:lvlJc w:val="left"/>
      <w:lvlText w:val="(%1)"/>
      <w:numFmt w:val="lowerLetter"/>
      <w:start w:val="1"/>
    </w:lvl>
    <w:lvl w:ilvl="1">
      <w:lvlJc w:val="left"/>
      <w:lvlText w:val="(%2)"/>
      <w:numFmt w:val="lowerRoman"/>
      <w:start w:val="1"/>
    </w:lvl>
  </w:abstractNum>
  <w:abstractNum w:abstractNumId="419">
    <w:nsid w:val="19132E7B"/>
    <w:multiLevelType w:val="hybridMultilevel"/>
    <w:lvl w:ilvl="0">
      <w:lvlJc w:val="left"/>
      <w:lvlText w:val="(%1)"/>
      <w:numFmt w:val="lowerLetter"/>
      <w:start w:val="3"/>
    </w:lvl>
    <w:lvl w:ilvl="1">
      <w:lvlJc w:val="left"/>
      <w:lvlText w:val="(%2)"/>
      <w:numFmt w:val="lowerRoman"/>
      <w:start w:val="1"/>
    </w:lvl>
  </w:abstractNum>
  <w:abstractNum w:abstractNumId="420">
    <w:nsid w:val="63822DC0"/>
    <w:multiLevelType w:val="hybridMultilevel"/>
    <w:lvl w:ilvl="0">
      <w:lvlJc w:val="left"/>
      <w:lvlText w:val="(%1)"/>
      <w:numFmt w:val="lowerLetter"/>
      <w:start w:val="1"/>
    </w:lvl>
    <w:lvl w:ilvl="1">
      <w:lvlJc w:val="left"/>
      <w:lvlText w:val="(%2)"/>
      <w:numFmt w:val="lowerRoman"/>
      <w:start w:val="1"/>
    </w:lvl>
  </w:abstractNum>
  <w:abstractNum w:abstractNumId="421">
    <w:nsid w:val="6C11685A"/>
    <w:multiLevelType w:val="hybridMultilevel"/>
    <w:lvl w:ilvl="0">
      <w:lvlJc w:val="left"/>
      <w:lvlText w:val="%1."/>
      <w:numFmt w:val="decimal"/>
      <w:start w:val="34"/>
    </w:lvl>
  </w:abstractNum>
  <w:abstractNum w:abstractNumId="422">
    <w:nsid w:val="5E1EAE31"/>
    <w:multiLevelType w:val="hybridMultilevel"/>
    <w:lvl w:ilvl="0">
      <w:lvlJc w:val="left"/>
      <w:lvlText w:val="(%1)"/>
      <w:numFmt w:val="lowerLetter"/>
      <w:start w:val="1"/>
    </w:lvl>
    <w:lvl w:ilvl="1">
      <w:lvlJc w:val="left"/>
      <w:lvlText w:val="(%2)"/>
      <w:numFmt w:val="lowerRoman"/>
      <w:start w:val="1"/>
    </w:lvl>
  </w:abstractNum>
  <w:abstractNum w:abstractNumId="423">
    <w:nsid w:val="178E240D"/>
    <w:multiLevelType w:val="hybridMultilevel"/>
    <w:lvl w:ilvl="0">
      <w:lvlJc w:val="left"/>
      <w:lvlText w:val="%1."/>
      <w:numFmt w:val="decimal"/>
      <w:start w:val="35"/>
    </w:lvl>
  </w:abstractNum>
  <w:abstractNum w:abstractNumId="424">
    <w:nsid w:val="5556A87B"/>
    <w:multiLevelType w:val="hybridMultilevel"/>
    <w:lvl w:ilvl="0">
      <w:lvlJc w:val="left"/>
      <w:lvlText w:val="(%1)"/>
      <w:numFmt w:val="lowerLetter"/>
      <w:start w:val="1"/>
    </w:lvl>
  </w:abstractNum>
  <w:abstractNum w:abstractNumId="425">
    <w:nsid w:val="28100A9C"/>
    <w:multiLevelType w:val="hybridMultilevel"/>
    <w:lvl w:ilvl="0">
      <w:lvlJc w:val="left"/>
      <w:lvlText w:val="(%1)"/>
      <w:numFmt w:val="lowerRoman"/>
      <w:start w:val="1"/>
    </w:lvl>
  </w:abstractNum>
  <w:abstractNum w:abstractNumId="426">
    <w:nsid w:val="D838636"/>
    <w:multiLevelType w:val="hybridMultilevel"/>
    <w:lvl w:ilvl="0">
      <w:lvlJc w:val="left"/>
      <w:lvlText w:val="(%1)"/>
      <w:numFmt w:val="lowerLetter"/>
      <w:start w:val="2"/>
    </w:lvl>
  </w:abstractNum>
  <w:abstractNum w:abstractNumId="427">
    <w:nsid w:val="71B82AED"/>
    <w:multiLevelType w:val="hybridMultilevel"/>
    <w:lvl w:ilvl="0">
      <w:lvlJc w:val="left"/>
      <w:lvlText w:val="%1."/>
      <w:numFmt w:val="decimal"/>
      <w:start w:val="38"/>
    </w:lvl>
  </w:abstractNum>
  <w:abstractNum w:abstractNumId="428">
    <w:nsid w:val="D15FACA"/>
    <w:multiLevelType w:val="hybridMultilevel"/>
    <w:lvl w:ilvl="0">
      <w:lvlJc w:val="left"/>
      <w:lvlText w:val="(%1)"/>
      <w:numFmt w:val="lowerLetter"/>
      <w:start w:val="1"/>
    </w:lvl>
  </w:abstractNum>
  <w:abstractNum w:abstractNumId="429">
    <w:nsid w:val="3D69565B"/>
    <w:multiLevelType w:val="hybridMultilevel"/>
    <w:lvl w:ilvl="0">
      <w:lvlJc w:val="left"/>
      <w:lvlText w:val="(%1)"/>
      <w:numFmt w:val="lowerLetter"/>
      <w:start w:val="1"/>
    </w:lvl>
  </w:abstractNum>
  <w:abstractNum w:abstractNumId="430">
    <w:nsid w:val="2299DCBC"/>
    <w:multiLevelType w:val="hybridMultilevel"/>
    <w:lvl w:ilvl="0">
      <w:lvlJc w:val="left"/>
      <w:lvlText w:val="%1"/>
      <w:numFmt w:val="decimal"/>
      <w:start w:val="1"/>
    </w:lvl>
    <w:lvl w:ilvl="1">
      <w:lvlJc w:val="left"/>
      <w:lvlText w:val="(%2)"/>
      <w:numFmt w:val="lowerLetter"/>
      <w:start w:val="1"/>
    </w:lvl>
  </w:abstractNum>
  <w:abstractNum w:abstractNumId="431">
    <w:nsid w:val="19908D02"/>
    <w:multiLevelType w:val="hybridMultilevel"/>
    <w:lvl w:ilvl="0">
      <w:lvlJc w:val="left"/>
      <w:lvlText w:val="%1."/>
      <w:numFmt w:val="decimal"/>
      <w:start w:val="40"/>
    </w:lvl>
    <w:lvl w:ilvl="1">
      <w:lvlJc w:val="left"/>
      <w:lvlText w:val="%2"/>
      <w:numFmt w:val="lowerLetter"/>
      <w:start w:val="1"/>
    </w:lvl>
  </w:abstractNum>
  <w:abstractNum w:abstractNumId="432">
    <w:nsid w:val="24D48B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3">
    <w:nsid w:val="542DA5B5"/>
    <w:multiLevelType w:val="hybridMultilevel"/>
    <w:lvl w:ilvl="0">
      <w:lvlJc w:val="left"/>
      <w:lvlText w:val="%1."/>
      <w:numFmt w:val="decimal"/>
      <w:start w:val="1"/>
    </w:lvl>
  </w:abstractNum>
  <w:abstractNum w:abstractNumId="434">
    <w:nsid w:val="793753DE"/>
    <w:multiLevelType w:val="hybridMultilevel"/>
    <w:lvl w:ilvl="0">
      <w:lvlJc w:val="left"/>
      <w:lvlText w:val="%1."/>
      <w:numFmt w:val="decimal"/>
      <w:start w:val="3"/>
    </w:lvl>
  </w:abstractNum>
  <w:abstractNum w:abstractNumId="435">
    <w:nsid w:val="1C67CB3D"/>
    <w:multiLevelType w:val="hybridMultilevel"/>
    <w:lvl w:ilvl="0">
      <w:lvlJc w:val="left"/>
      <w:lvlText w:val="%1."/>
      <w:numFmt w:val="decimal"/>
      <w:start w:val="1"/>
    </w:lvl>
  </w:abstractNum>
  <w:abstractNum w:abstractNumId="436">
    <w:nsid w:val="40E29452"/>
    <w:multiLevelType w:val="hybridMultilevel"/>
    <w:lvl w:ilvl="0">
      <w:lvlJc w:val="left"/>
      <w:lvlText w:val="%1."/>
      <w:numFmt w:val="decimal"/>
      <w:start w:val="4"/>
    </w:lvl>
    <w:lvl w:ilvl="1">
      <w:lvlJc w:val="left"/>
      <w:lvlText w:val="(%2)"/>
      <w:numFmt w:val="lowerLetter"/>
      <w:start w:val="1"/>
    </w:lvl>
  </w:abstractNum>
  <w:abstractNum w:abstractNumId="437">
    <w:nsid w:val="63A4AAB6"/>
    <w:multiLevelType w:val="hybridMultilevel"/>
    <w:lvl w:ilvl="0">
      <w:lvlJc w:val="left"/>
      <w:lvlText w:val="%1."/>
      <w:numFmt w:val="decimal"/>
      <w:start w:val="1"/>
    </w:lvl>
    <w:lvl w:ilvl="1">
      <w:lvlJc w:val="left"/>
      <w:lvlText w:val="(%2)"/>
      <w:numFmt w:val="lowerLetter"/>
      <w:start w:val="1"/>
    </w:lvl>
  </w:abstractNum>
  <w:abstractNum w:abstractNumId="438">
    <w:nsid w:val="77DA4A57"/>
    <w:multiLevelType w:val="hybridMultilevel"/>
    <w:lvl w:ilvl="0">
      <w:lvlJc w:val="left"/>
      <w:lvlText w:val="%1."/>
      <w:numFmt w:val="decimal"/>
      <w:start w:val="4"/>
    </w:lvl>
    <w:lvl w:ilvl="1">
      <w:lvlJc w:val="left"/>
      <w:lvlText w:val="(%2)"/>
      <w:numFmt w:val="lowerLetter"/>
      <w:start w:val="1"/>
    </w:lvl>
  </w:abstractNum>
  <w:abstractNum w:abstractNumId="439">
    <w:nsid w:val="1230F102"/>
    <w:multiLevelType w:val="hybridMultilevel"/>
    <w:lvl w:ilvl="0">
      <w:lvlJc w:val="left"/>
      <w:lvlText w:val="%1."/>
      <w:numFmt w:val="decimal"/>
      <w:start w:val="7"/>
    </w:lvl>
  </w:abstractNum>
  <w:abstractNum w:abstractNumId="440">
    <w:nsid w:val="25B57ED4"/>
    <w:multiLevelType w:val="hybridMultilevel"/>
    <w:lvl w:ilvl="0">
      <w:lvlJc w:val="left"/>
      <w:lvlText w:val="%1."/>
      <w:numFmt w:val="decimal"/>
      <w:start w:val="1"/>
    </w:lvl>
  </w:abstractNum>
  <w:abstractNum w:abstractNumId="441">
    <w:nsid w:val="47CF16C4"/>
    <w:multiLevelType w:val="hybridMultilevel"/>
    <w:lvl w:ilvl="0">
      <w:lvlJc w:val="left"/>
      <w:lvlText w:val="1"/>
      <w:numFmt w:val="bullet"/>
      <w:start w:val="1"/>
    </w:lvl>
  </w:abstractNum>
  <w:abstractNum w:abstractNumId="442">
    <w:nsid w:val="527FA04C"/>
    <w:multiLevelType w:val="hybridMultilevel"/>
    <w:lvl w:ilvl="0">
      <w:lvlJc w:val="left"/>
      <w:lvlText w:val="(%1)"/>
      <w:numFmt w:val="decimal"/>
      <w:start w:val="1"/>
    </w:lvl>
  </w:abstractNum>
  <w:abstractNum w:abstractNumId="443">
    <w:nsid w:val="6FCC0624"/>
    <w:multiLevelType w:val="hybridMultilevel"/>
    <w:lvl w:ilvl="0">
      <w:lvlJc w:val="left"/>
      <w:lvlText w:val="%1."/>
      <w:numFmt w:val="decimal"/>
      <w:start w:val="1"/>
    </w:lvl>
  </w:abstractNum>
  <w:abstractNum w:abstractNumId="444">
    <w:nsid w:val="1DCDF795"/>
    <w:multiLevelType w:val="hybridMultilevel"/>
    <w:lvl w:ilvl="0">
      <w:lvlJc w:val="left"/>
      <w:lvlText w:val="%1"/>
      <w:numFmt w:val="decimal"/>
      <w:start w:val="1"/>
    </w:lvl>
    <w:lvl w:ilvl="1">
      <w:lvlJc w:val="left"/>
      <w:lvlText w:val="(%2)"/>
      <w:numFmt w:val="lowerLetter"/>
      <w:start w:val="1"/>
    </w:lvl>
  </w:abstractNum>
  <w:abstractNum w:abstractNumId="445">
    <w:nsid w:val="564580C8"/>
    <w:multiLevelType w:val="hybridMultilevel"/>
    <w:lvl w:ilvl="0">
      <w:lvlJc w:val="left"/>
      <w:lvlText w:val="%1."/>
      <w:numFmt w:val="decimal"/>
      <w:start w:val="2"/>
    </w:lvl>
    <w:lvl w:ilvl="1">
      <w:lvlJc w:val="left"/>
      <w:lvlText w:val="%2"/>
      <w:numFmt w:val="lowerLetter"/>
      <w:start w:val="1"/>
    </w:lvl>
  </w:abstractNum>
  <w:abstractNum w:abstractNumId="446">
    <w:nsid w:val="508ED897"/>
    <w:multiLevelType w:val="hybridMultilevel"/>
    <w:lvl w:ilvl="0">
      <w:lvlJc w:val="left"/>
      <w:lvlText w:val="(%1)"/>
      <w:numFmt w:val="lowerLetter"/>
      <w:start w:val="1"/>
    </w:lvl>
  </w:abstractNum>
  <w:abstractNum w:abstractNumId="447">
    <w:nsid w:val="6A9126B5"/>
    <w:multiLevelType w:val="hybridMultilevel"/>
    <w:lvl w:ilvl="0">
      <w:lvlJc w:val="left"/>
      <w:lvlText w:val="(%1)"/>
      <w:numFmt w:val="lowerRoman"/>
      <w:start w:val="1"/>
    </w:lvl>
  </w:abstractNum>
  <w:abstractNum w:abstractNumId="448">
    <w:nsid w:val="68104812"/>
    <w:multiLevelType w:val="hybridMultilevel"/>
    <w:lvl w:ilvl="0">
      <w:lvlJc w:val="left"/>
      <w:lvlText w:val="%1"/>
      <w:numFmt w:val="lowerLetter"/>
      <w:start w:val="1"/>
    </w:lvl>
    <w:lvl w:ilvl="1">
      <w:lvlJc w:val="left"/>
      <w:lvlText w:val="(%2)"/>
      <w:numFmt w:val="lowerLetter"/>
      <w:start w:val="35"/>
    </w:lvl>
  </w:abstractNum>
  <w:abstractNum w:abstractNumId="449">
    <w:nsid w:val="62FB8680"/>
    <w:multiLevelType w:val="hybridMultilevel"/>
    <w:lvl w:ilvl="0">
      <w:lvlJc w:val="left"/>
      <w:lvlText w:val="(%1)"/>
      <w:numFmt w:val="lowerLetter"/>
      <w:start w:val="2"/>
    </w:lvl>
    <w:lvl w:ilvl="1">
      <w:lvlJc w:val="left"/>
      <w:lvlText w:val="(%2)"/>
      <w:numFmt w:val="lowerLetter"/>
      <w:start w:val="9"/>
    </w:lvl>
  </w:abstractNum>
  <w:abstractNum w:abstractNumId="450">
    <w:nsid w:val="3A45530"/>
    <w:multiLevelType w:val="hybridMultilevel"/>
    <w:lvl w:ilvl="0">
      <w:lvlJc w:val="left"/>
      <w:lvlText w:val="%1"/>
      <w:numFmt w:val="lowerLetter"/>
      <w:start w:val="1"/>
    </w:lvl>
    <w:lvl w:ilvl="1">
      <w:lvlJc w:val="left"/>
      <w:lvlText w:val="(%2)"/>
      <w:numFmt w:val="lowerLetter"/>
      <w:start w:val="35"/>
    </w:lvl>
  </w:abstractNum>
  <w:abstractNum w:abstractNumId="451">
    <w:nsid w:val="4B9275D2"/>
    <w:multiLevelType w:val="hybridMultilevel"/>
    <w:lvl w:ilvl="0">
      <w:lvlJc w:val="left"/>
      <w:lvlText w:val="(%1)"/>
      <w:numFmt w:val="lowerLetter"/>
      <w:start w:val="3"/>
    </w:lvl>
    <w:lvl w:ilvl="1">
      <w:lvlJc w:val="left"/>
      <w:lvlText w:val="(%2)"/>
      <w:numFmt w:val="lowerLetter"/>
      <w:start w:val="9"/>
    </w:lvl>
  </w:abstractNum>
  <w:abstractNum w:abstractNumId="452">
    <w:nsid w:val="4F0CEEDB"/>
    <w:multiLevelType w:val="hybridMultilevel"/>
    <w:lvl w:ilvl="0">
      <w:lvlJc w:val="left"/>
      <w:lvlText w:val="(%1)"/>
      <w:numFmt w:val="lowerLetter"/>
      <w:start w:val="1"/>
    </w:lvl>
    <w:lvl w:ilvl="1">
      <w:lvlJc w:val="left"/>
      <w:lvlText w:val="(%2)"/>
      <w:numFmt w:val="lowerRoman"/>
      <w:start w:val="1"/>
    </w:lvl>
  </w:abstractNum>
  <w:abstractNum w:abstractNumId="453">
    <w:nsid w:val="61C30361"/>
    <w:multiLevelType w:val="hybridMultilevel"/>
    <w:lvl w:ilvl="0">
      <w:lvlJc w:val="left"/>
      <w:lvlText w:val="(%1)"/>
      <w:numFmt w:val="lowerLetter"/>
      <w:start w:val="2"/>
    </w:lvl>
    <w:lvl w:ilvl="1">
      <w:lvlJc w:val="left"/>
      <w:lvlText w:val="(%2)"/>
      <w:numFmt w:val="lowerRoman"/>
      <w:start w:val="1"/>
    </w:lvl>
  </w:abstractNum>
  <w:abstractNum w:abstractNumId="454">
    <w:nsid w:val="632099E0"/>
    <w:multiLevelType w:val="hybridMultilevel"/>
    <w:lvl w:ilvl="0">
      <w:lvlJc w:val="left"/>
      <w:lvlText w:val="(%1)"/>
      <w:numFmt w:val="lowerRoman"/>
      <w:start w:val="2"/>
    </w:lvl>
  </w:abstractNum>
  <w:abstractNum w:abstractNumId="455">
    <w:nsid w:val="24639756"/>
    <w:multiLevelType w:val="hybridMultilevel"/>
    <w:lvl w:ilvl="0">
      <w:lvlJc w:val="left"/>
      <w:lvlText w:val="%1"/>
      <w:numFmt w:val="decimal"/>
      <w:start w:val="1"/>
    </w:lvl>
    <w:lvl w:ilvl="1">
      <w:lvlJc w:val="left"/>
      <w:lvlText w:val="(%2)"/>
      <w:numFmt w:val="lowerLetter"/>
      <w:start w:val="1"/>
    </w:lvl>
  </w:abstractNum>
  <w:abstractNum w:abstractNumId="456">
    <w:nsid w:val="9D30DFD"/>
    <w:multiLevelType w:val="hybridMultilevel"/>
    <w:lvl w:ilvl="0">
      <w:lvlJc w:val="left"/>
      <w:lvlText w:val="%1."/>
      <w:numFmt w:val="decimal"/>
      <w:start w:val="3"/>
    </w:lvl>
    <w:lvl w:ilvl="1">
      <w:lvlJc w:val="left"/>
      <w:lvlText w:val="(%2)"/>
      <w:numFmt w:val="lowerLetter"/>
      <w:start w:val="1"/>
    </w:lvl>
  </w:abstractNum>
  <w:abstractNum w:abstractNumId="457">
    <w:nsid w:val="70A42016"/>
    <w:multiLevelType w:val="hybridMultilevel"/>
    <w:lvl w:ilvl="0">
      <w:lvlJc w:val="left"/>
      <w:lvlText w:val="%1."/>
      <w:numFmt w:val="decimal"/>
      <w:start w:val="1"/>
    </w:lvl>
  </w:abstractNum>
  <w:abstractNum w:abstractNumId="458">
    <w:nsid w:val="161BC243"/>
    <w:multiLevelType w:val="hybridMultilevel"/>
    <w:lvl w:ilvl="0">
      <w:lvlJc w:val="left"/>
      <w:lvlText w:val="%1."/>
      <w:numFmt w:val="decimal"/>
      <w:start w:val="5"/>
    </w:lvl>
  </w:abstractNum>
  <w:abstractNum w:abstractNumId="459">
    <w:nsid w:val="16E908C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0">
    <w:nsid w:val="2E0D7671"/>
    <w:multiLevelType w:val="hybridMultilevel"/>
    <w:lvl w:ilvl="0">
      <w:lvlJc w:val="left"/>
      <w:lvlText w:val="(%1)"/>
      <w:numFmt w:val="lowerRoman"/>
      <w:start w:val="1"/>
    </w:lvl>
  </w:abstractNum>
  <w:abstractNum w:abstractNumId="461">
    <w:nsid w:val="38B59EF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62">
    <w:nsid w:val="307995CA"/>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63">
    <w:nsid w:val="52E2024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64">
    <w:nsid w:val="CE344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465">
    <w:nsid w:val="29B0E9A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66">
    <w:nsid w:val="6F49CD8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7">
    <w:nsid w:val="4DC5D907"/>
    <w:multiLevelType w:val="hybridMultilevel"/>
    <w:lvl w:ilvl="0">
      <w:lvlJc w:val="left"/>
      <w:lvlText w:val="%1."/>
      <w:numFmt w:val="decimal"/>
      <w:start w:val="8"/>
    </w:lvl>
  </w:abstractNum>
  <w:abstractNum w:abstractNumId="468">
    <w:nsid w:val="D55945E"/>
    <w:multiLevelType w:val="hybridMultilevel"/>
    <w:lvl w:ilvl="0">
      <w:lvlJc w:val="left"/>
      <w:lvlText w:val="%1."/>
      <w:numFmt w:val="decimal"/>
      <w:start w:val="1"/>
    </w:lvl>
  </w:abstractNum>
  <w:abstractNum w:abstractNumId="469">
    <w:nsid w:val="672417E1"/>
    <w:multiLevelType w:val="hybridMultilevel"/>
    <w:lvl w:ilvl="0">
      <w:lvlJc w:val="left"/>
      <w:lvlText w:val="%1."/>
      <w:numFmt w:val="decimal"/>
      <w:start w:val="1"/>
    </w:lvl>
  </w:abstractNum>
  <w:abstractNum w:abstractNumId="470">
    <w:nsid w:val="5FF6CA09"/>
    <w:multiLevelType w:val="hybridMultilevel"/>
    <w:lvl w:ilvl="0">
      <w:lvlJc w:val="left"/>
      <w:lvlText w:val="(%1)"/>
      <w:numFmt w:val="decimal"/>
      <w:start w:val="1"/>
    </w:lvl>
  </w:abstractNum>
  <w:abstractNum w:abstractNumId="471">
    <w:nsid w:val="330B1333"/>
    <w:multiLevelType w:val="hybridMultilevel"/>
    <w:lvl w:ilvl="0">
      <w:lvlJc w:val="left"/>
      <w:lvlText w:val="%1."/>
      <w:numFmt w:val="decimal"/>
      <w:start w:val="1"/>
    </w:lvl>
    <w:lvl w:ilvl="1">
      <w:lvlJc w:val="left"/>
      <w:lvlText w:val="(%2)"/>
      <w:numFmt w:val="lowerLetter"/>
      <w:start w:val="1"/>
    </w:lvl>
  </w:abstractNum>
  <w:abstractNum w:abstractNumId="472">
    <w:nsid w:val="2EF32EA6"/>
    <w:multiLevelType w:val="hybridMultilevel"/>
    <w:lvl w:ilvl="0">
      <w:lvlJc w:val="left"/>
      <w:lvlText w:val="%1."/>
      <w:numFmt w:val="decimal"/>
      <w:start w:val="1"/>
    </w:lvl>
    <w:lvl w:ilvl="1">
      <w:lvlJc w:val="left"/>
      <w:lvlText w:val="(%2)"/>
      <w:numFmt w:val="lowerLetter"/>
      <w:start w:val="1"/>
    </w:lvl>
  </w:abstractNum>
  <w:abstractNum w:abstractNumId="473">
    <w:nsid w:val="32766A55"/>
    <w:multiLevelType w:val="hybridMultilevel"/>
    <w:lvl w:ilvl="0">
      <w:lvlJc w:val="left"/>
      <w:lvlText w:val="%1."/>
      <w:numFmt w:val="decimal"/>
      <w:start w:val="1"/>
    </w:lvl>
  </w:abstractNum>
  <w:abstractNum w:abstractNumId="474">
    <w:nsid w:val="22D719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png"/><Relationship Id="rId223"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jpe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292" Type="http://schemas.openxmlformats.org/officeDocument/2006/relationships/image" Target="media/image221.png"/><Relationship Id="rId293" Type="http://schemas.openxmlformats.org/officeDocument/2006/relationships/image" Target="media/image222.png"/><Relationship Id="rId294" Type="http://schemas.openxmlformats.org/officeDocument/2006/relationships/image" Target="media/image223.png"/><Relationship Id="rId295" Type="http://schemas.openxmlformats.org/officeDocument/2006/relationships/image" Target="media/image224.png"/><Relationship Id="rId296" Type="http://schemas.openxmlformats.org/officeDocument/2006/relationships/image" Target="media/image225.png"/><Relationship Id="rId297" Type="http://schemas.openxmlformats.org/officeDocument/2006/relationships/image" Target="media/image226.png"/><Relationship Id="rId298" Type="http://schemas.openxmlformats.org/officeDocument/2006/relationships/image" Target="media/image227.png"/><Relationship Id="rId299" Type="http://schemas.openxmlformats.org/officeDocument/2006/relationships/image" Target="media/image228.png"/><Relationship Id="rId300" Type="http://schemas.openxmlformats.org/officeDocument/2006/relationships/image" Target="media/image229.png"/><Relationship Id="rId301" Type="http://schemas.openxmlformats.org/officeDocument/2006/relationships/image" Target="media/image230.png"/><Relationship Id="rId302" Type="http://schemas.openxmlformats.org/officeDocument/2006/relationships/image" Target="media/image231.png"/><Relationship Id="rId303" Type="http://schemas.openxmlformats.org/officeDocument/2006/relationships/image" Target="media/image232.png"/><Relationship Id="rId304" Type="http://schemas.openxmlformats.org/officeDocument/2006/relationships/image" Target="media/image233.png"/><Relationship Id="rId305" Type="http://schemas.openxmlformats.org/officeDocument/2006/relationships/image" Target="media/image234.png"/><Relationship Id="rId306" Type="http://schemas.openxmlformats.org/officeDocument/2006/relationships/image" Target="media/image235.png"/><Relationship Id="rId307" Type="http://schemas.openxmlformats.org/officeDocument/2006/relationships/image" Target="media/image236.png"/><Relationship Id="rId308" Type="http://schemas.openxmlformats.org/officeDocument/2006/relationships/image" Target="media/image237.png"/><Relationship Id="rId309" Type="http://schemas.openxmlformats.org/officeDocument/2006/relationships/image" Target="media/image238.png"/><Relationship Id="rId310" Type="http://schemas.openxmlformats.org/officeDocument/2006/relationships/image" Target="media/image239.png"/><Relationship Id="rId311" Type="http://schemas.openxmlformats.org/officeDocument/2006/relationships/image" Target="media/image240.png"/><Relationship Id="rId312" Type="http://schemas.openxmlformats.org/officeDocument/2006/relationships/image" Target="media/image241.png"/><Relationship Id="rId313" Type="http://schemas.openxmlformats.org/officeDocument/2006/relationships/image" Target="media/image242.png"/><Relationship Id="rId314" Type="http://schemas.openxmlformats.org/officeDocument/2006/relationships/image" Target="media/image243.png"/><Relationship Id="rId315" Type="http://schemas.openxmlformats.org/officeDocument/2006/relationships/image" Target="media/image244.png"/><Relationship Id="rId316" Type="http://schemas.openxmlformats.org/officeDocument/2006/relationships/image" Target="media/image245.png"/><Relationship Id="rId317" Type="http://schemas.openxmlformats.org/officeDocument/2006/relationships/image" Target="media/image246.png"/><Relationship Id="rId318" Type="http://schemas.openxmlformats.org/officeDocument/2006/relationships/image" Target="media/image247.png"/><Relationship Id="rId319" Type="http://schemas.openxmlformats.org/officeDocument/2006/relationships/image" Target="media/image248.png"/><Relationship Id="rId320" Type="http://schemas.openxmlformats.org/officeDocument/2006/relationships/image" Target="media/image249.png"/><Relationship Id="rId321" Type="http://schemas.openxmlformats.org/officeDocument/2006/relationships/image" Target="media/image250.png"/><Relationship Id="rId322" Type="http://schemas.openxmlformats.org/officeDocument/2006/relationships/image" Target="media/image251.png"/><Relationship Id="rId323" Type="http://schemas.openxmlformats.org/officeDocument/2006/relationships/image" Target="media/image252.png"/><Relationship Id="rId324" Type="http://schemas.openxmlformats.org/officeDocument/2006/relationships/image" Target="media/image253.png"/><Relationship Id="rId325" Type="http://schemas.openxmlformats.org/officeDocument/2006/relationships/image" Target="media/image254.png"/><Relationship Id="rId326" Type="http://schemas.openxmlformats.org/officeDocument/2006/relationships/image" Target="media/image255.png"/><Relationship Id="rId327" Type="http://schemas.openxmlformats.org/officeDocument/2006/relationships/image" Target="media/image256.png"/><Relationship Id="rId328" Type="http://schemas.openxmlformats.org/officeDocument/2006/relationships/image" Target="media/image257.png"/><Relationship Id="rId329" Type="http://schemas.openxmlformats.org/officeDocument/2006/relationships/image" Target="media/image258.png"/><Relationship Id="rId330" Type="http://schemas.openxmlformats.org/officeDocument/2006/relationships/image" Target="media/image259.png"/><Relationship Id="rId331" Type="http://schemas.openxmlformats.org/officeDocument/2006/relationships/image" Target="media/image260.png"/><Relationship Id="rId332" Type="http://schemas.openxmlformats.org/officeDocument/2006/relationships/image" Target="media/image261.png"/><Relationship Id="rId333" Type="http://schemas.openxmlformats.org/officeDocument/2006/relationships/image" Target="media/image262.png"/><Relationship Id="rId334" Type="http://schemas.openxmlformats.org/officeDocument/2006/relationships/image" Target="media/image263.png"/><Relationship Id="rId335" Type="http://schemas.openxmlformats.org/officeDocument/2006/relationships/image" Target="media/image264.png"/><Relationship Id="rId336" Type="http://schemas.openxmlformats.org/officeDocument/2006/relationships/image" Target="media/image265.png"/><Relationship Id="rId337" Type="http://schemas.openxmlformats.org/officeDocument/2006/relationships/image" Target="media/image266.png"/><Relationship Id="rId338" Type="http://schemas.openxmlformats.org/officeDocument/2006/relationships/image" Target="media/image267.png"/><Relationship Id="rId339" Type="http://schemas.openxmlformats.org/officeDocument/2006/relationships/image" Target="media/image268.png"/><Relationship Id="rId340" Type="http://schemas.openxmlformats.org/officeDocument/2006/relationships/image" Target="media/image269.png"/><Relationship Id="rId341" Type="http://schemas.openxmlformats.org/officeDocument/2006/relationships/image" Target="media/image270.png"/><Relationship Id="rId342" Type="http://schemas.openxmlformats.org/officeDocument/2006/relationships/image" Target="media/image271.png"/><Relationship Id="rId343" Type="http://schemas.openxmlformats.org/officeDocument/2006/relationships/image" Target="media/image272.png"/><Relationship Id="rId344" Type="http://schemas.openxmlformats.org/officeDocument/2006/relationships/image" Target="media/image273.png"/><Relationship Id="rId345" Type="http://schemas.openxmlformats.org/officeDocument/2006/relationships/image" Target="media/image274.png"/><Relationship Id="rId346" Type="http://schemas.openxmlformats.org/officeDocument/2006/relationships/image" Target="media/image275.png"/><Relationship Id="rId347" Type="http://schemas.openxmlformats.org/officeDocument/2006/relationships/image" Target="media/image276.png"/><Relationship Id="rId348" Type="http://schemas.openxmlformats.org/officeDocument/2006/relationships/image" Target="media/image277.png"/><Relationship Id="rId349" Type="http://schemas.openxmlformats.org/officeDocument/2006/relationships/image" Target="media/image278.png"/><Relationship Id="rId350" Type="http://schemas.openxmlformats.org/officeDocument/2006/relationships/image" Target="media/image279.png"/><Relationship Id="rId351" Type="http://schemas.openxmlformats.org/officeDocument/2006/relationships/image" Target="media/image280.png"/><Relationship Id="rId352" Type="http://schemas.openxmlformats.org/officeDocument/2006/relationships/image" Target="media/image281.png"/><Relationship Id="rId353" Type="http://schemas.openxmlformats.org/officeDocument/2006/relationships/image" Target="media/image282.png"/><Relationship Id="rId354" Type="http://schemas.openxmlformats.org/officeDocument/2006/relationships/image" Target="media/image283.png"/><Relationship Id="rId355" Type="http://schemas.openxmlformats.org/officeDocument/2006/relationships/image" Target="media/image284.png"/><Relationship Id="rId356" Type="http://schemas.openxmlformats.org/officeDocument/2006/relationships/image" Target="media/image285.png"/><Relationship Id="rId357" Type="http://schemas.openxmlformats.org/officeDocument/2006/relationships/image" Target="media/image286.png"/><Relationship Id="rId358" Type="http://schemas.openxmlformats.org/officeDocument/2006/relationships/image" Target="media/image287.png"/><Relationship Id="rId359" Type="http://schemas.openxmlformats.org/officeDocument/2006/relationships/image" Target="media/image288.png"/><Relationship Id="rId360" Type="http://schemas.openxmlformats.org/officeDocument/2006/relationships/image" Target="media/image289.png"/><Relationship Id="rId361" Type="http://schemas.openxmlformats.org/officeDocument/2006/relationships/image" Target="media/image290.png"/><Relationship Id="rId362" Type="http://schemas.openxmlformats.org/officeDocument/2006/relationships/image" Target="media/image291.png"/><Relationship Id="rId363" Type="http://schemas.openxmlformats.org/officeDocument/2006/relationships/image" Target="media/image292.png"/><Relationship Id="rId364" Type="http://schemas.openxmlformats.org/officeDocument/2006/relationships/image" Target="media/image293.png"/><Relationship Id="rId365" Type="http://schemas.openxmlformats.org/officeDocument/2006/relationships/image" Target="media/image294.png"/><Relationship Id="rId366" Type="http://schemas.openxmlformats.org/officeDocument/2006/relationships/image" Target="media/image295.png"/><Relationship Id="rId367" Type="http://schemas.openxmlformats.org/officeDocument/2006/relationships/image" Target="media/image296.png"/><Relationship Id="rId368" Type="http://schemas.openxmlformats.org/officeDocument/2006/relationships/image" Target="media/image297.png"/><Relationship Id="rId369" Type="http://schemas.openxmlformats.org/officeDocument/2006/relationships/image" Target="media/image298.png"/><Relationship Id="rId370" Type="http://schemas.openxmlformats.org/officeDocument/2006/relationships/image" Target="media/image299.png"/><Relationship Id="rId371" Type="http://schemas.openxmlformats.org/officeDocument/2006/relationships/image" Target="media/image300.png"/><Relationship Id="rId372" Type="http://schemas.openxmlformats.org/officeDocument/2006/relationships/image" Target="media/image301.png"/><Relationship Id="rId373" Type="http://schemas.openxmlformats.org/officeDocument/2006/relationships/image" Target="media/image302.png"/><Relationship Id="rId374" Type="http://schemas.openxmlformats.org/officeDocument/2006/relationships/image" Target="media/image303.png"/><Relationship Id="rId375" Type="http://schemas.openxmlformats.org/officeDocument/2006/relationships/image" Target="media/image304.png"/><Relationship Id="rId376" Type="http://schemas.openxmlformats.org/officeDocument/2006/relationships/image" Target="media/image305.png"/><Relationship Id="rId377" Type="http://schemas.openxmlformats.org/officeDocument/2006/relationships/image" Target="media/image306.png"/><Relationship Id="rId378" Type="http://schemas.openxmlformats.org/officeDocument/2006/relationships/image" Target="media/image307.png"/><Relationship Id="rId379" Type="http://schemas.openxmlformats.org/officeDocument/2006/relationships/image" Target="media/image308.png"/><Relationship Id="rId380" Type="http://schemas.openxmlformats.org/officeDocument/2006/relationships/image" Target="media/image309.png"/><Relationship Id="rId381" Type="http://schemas.openxmlformats.org/officeDocument/2006/relationships/image" Target="media/image310.png"/><Relationship Id="rId382" Type="http://schemas.openxmlformats.org/officeDocument/2006/relationships/image" Target="media/image311.png"/><Relationship Id="rId383" Type="http://schemas.openxmlformats.org/officeDocument/2006/relationships/image" Target="media/image312.png"/><Relationship Id="rId384" Type="http://schemas.openxmlformats.org/officeDocument/2006/relationships/image" Target="media/image313.png"/><Relationship Id="rId385" Type="http://schemas.openxmlformats.org/officeDocument/2006/relationships/image" Target="media/image314.png"/><Relationship Id="rId386" Type="http://schemas.openxmlformats.org/officeDocument/2006/relationships/image" Target="media/image315.png"/><Relationship Id="rId387" Type="http://schemas.openxmlformats.org/officeDocument/2006/relationships/image" Target="media/image316.png"/><Relationship Id="rId388" Type="http://schemas.openxmlformats.org/officeDocument/2006/relationships/image" Target="media/image317.png"/><Relationship Id="rId389" Type="http://schemas.openxmlformats.org/officeDocument/2006/relationships/image" Target="media/image318.png"/><Relationship Id="rId390" Type="http://schemas.openxmlformats.org/officeDocument/2006/relationships/image" Target="media/image319.png"/><Relationship Id="rId391" Type="http://schemas.openxmlformats.org/officeDocument/2006/relationships/image" Target="media/image320.png"/><Relationship Id="rId392" Type="http://schemas.openxmlformats.org/officeDocument/2006/relationships/image" Target="media/image321.png"/><Relationship Id="rId393" Type="http://schemas.openxmlformats.org/officeDocument/2006/relationships/image" Target="media/image322.png"/><Relationship Id="rId394" Type="http://schemas.openxmlformats.org/officeDocument/2006/relationships/image" Target="media/image323.jpeg"/><Relationship Id="rId395" Type="http://schemas.openxmlformats.org/officeDocument/2006/relationships/image" Target="media/image324.png"/><Relationship Id="rId396" Type="http://schemas.openxmlformats.org/officeDocument/2006/relationships/image" Target="media/image325.png"/><Relationship Id="rId397" Type="http://schemas.openxmlformats.org/officeDocument/2006/relationships/image" Target="media/image326.png"/><Relationship Id="rId398" Type="http://schemas.openxmlformats.org/officeDocument/2006/relationships/image" Target="media/image327.png"/><Relationship Id="rId399" Type="http://schemas.openxmlformats.org/officeDocument/2006/relationships/image" Target="media/image328.png"/><Relationship Id="rId400" Type="http://schemas.openxmlformats.org/officeDocument/2006/relationships/image" Target="media/image329.png"/><Relationship Id="rId401" Type="http://schemas.openxmlformats.org/officeDocument/2006/relationships/image" Target="media/image330.png"/><Relationship Id="rId402" Type="http://schemas.openxmlformats.org/officeDocument/2006/relationships/image" Target="media/image331.png"/><Relationship Id="rId403" Type="http://schemas.openxmlformats.org/officeDocument/2006/relationships/image" Target="media/image332.png"/><Relationship Id="rId404" Type="http://schemas.openxmlformats.org/officeDocument/2006/relationships/image" Target="media/image333.png"/><Relationship Id="rId405" Type="http://schemas.openxmlformats.org/officeDocument/2006/relationships/image" Target="media/image334.png"/><Relationship Id="rId406" Type="http://schemas.openxmlformats.org/officeDocument/2006/relationships/image" Target="media/image335.png"/><Relationship Id="rId407" Type="http://schemas.openxmlformats.org/officeDocument/2006/relationships/image" Target="media/image336.png"/><Relationship Id="rId408" Type="http://schemas.openxmlformats.org/officeDocument/2006/relationships/image" Target="media/image337.png"/><Relationship Id="rId409" Type="http://schemas.openxmlformats.org/officeDocument/2006/relationships/image" Target="media/image338.png"/><Relationship Id="rId410" Type="http://schemas.openxmlformats.org/officeDocument/2006/relationships/image" Target="media/image339.png"/><Relationship Id="rId411" Type="http://schemas.openxmlformats.org/officeDocument/2006/relationships/image" Target="media/image340.png"/><Relationship Id="rId412" Type="http://schemas.openxmlformats.org/officeDocument/2006/relationships/image" Target="media/image341.png"/><Relationship Id="rId413" Type="http://schemas.openxmlformats.org/officeDocument/2006/relationships/image" Target="media/image342.png"/><Relationship Id="rId414" Type="http://schemas.openxmlformats.org/officeDocument/2006/relationships/image" Target="media/image343.png"/><Relationship Id="rId415" Type="http://schemas.openxmlformats.org/officeDocument/2006/relationships/image" Target="media/image344.png"/><Relationship Id="rId416" Type="http://schemas.openxmlformats.org/officeDocument/2006/relationships/image" Target="media/image345.png"/><Relationship Id="rId417" Type="http://schemas.openxmlformats.org/officeDocument/2006/relationships/image" Target="media/image346.png"/><Relationship Id="rId418" Type="http://schemas.openxmlformats.org/officeDocument/2006/relationships/image" Target="media/image347.png"/><Relationship Id="rId419" Type="http://schemas.openxmlformats.org/officeDocument/2006/relationships/image" Target="media/image348.png"/><Relationship Id="rId420" Type="http://schemas.openxmlformats.org/officeDocument/2006/relationships/image" Target="media/image349.png"/><Relationship Id="rId421" Type="http://schemas.openxmlformats.org/officeDocument/2006/relationships/image" Target="media/image350.png"/><Relationship Id="rId422" Type="http://schemas.openxmlformats.org/officeDocument/2006/relationships/image" Target="media/image351.png"/><Relationship Id="rId423" Type="http://schemas.openxmlformats.org/officeDocument/2006/relationships/image" Target="media/image352.png"/><Relationship Id="rId424" Type="http://schemas.openxmlformats.org/officeDocument/2006/relationships/image" Target="media/image353.png"/><Relationship Id="rId425" Type="http://schemas.openxmlformats.org/officeDocument/2006/relationships/image" Target="media/image354.png"/><Relationship Id="rId426" Type="http://schemas.openxmlformats.org/officeDocument/2006/relationships/image" Target="media/image355.png"/><Relationship Id="rId427" Type="http://schemas.openxmlformats.org/officeDocument/2006/relationships/image" Target="media/image356.png"/><Relationship Id="rId428" Type="http://schemas.openxmlformats.org/officeDocument/2006/relationships/image" Target="media/image357.png"/><Relationship Id="rId429" Type="http://schemas.openxmlformats.org/officeDocument/2006/relationships/image" Target="media/image358.png"/><Relationship Id="rId430" Type="http://schemas.openxmlformats.org/officeDocument/2006/relationships/image" Target="media/image359.png"/><Relationship Id="rId431" Type="http://schemas.openxmlformats.org/officeDocument/2006/relationships/image" Target="media/image360.png"/><Relationship Id="rId432" Type="http://schemas.openxmlformats.org/officeDocument/2006/relationships/image" Target="media/image361.png"/><Relationship Id="rId433" Type="http://schemas.openxmlformats.org/officeDocument/2006/relationships/image" Target="media/image362.png"/><Relationship Id="rId434" Type="http://schemas.openxmlformats.org/officeDocument/2006/relationships/image" Target="media/image363.png"/><Relationship Id="rId435" Type="http://schemas.openxmlformats.org/officeDocument/2006/relationships/image" Target="media/image364.png"/><Relationship Id="rId436" Type="http://schemas.openxmlformats.org/officeDocument/2006/relationships/image" Target="media/image365.png"/><Relationship Id="rId437" Type="http://schemas.openxmlformats.org/officeDocument/2006/relationships/image" Target="media/image366.png"/><Relationship Id="rId438" Type="http://schemas.openxmlformats.org/officeDocument/2006/relationships/image" Target="media/image367.png"/><Relationship Id="rId439" Type="http://schemas.openxmlformats.org/officeDocument/2006/relationships/image" Target="media/image368.png"/><Relationship Id="rId440" Type="http://schemas.openxmlformats.org/officeDocument/2006/relationships/image" Target="media/image369.png"/><Relationship Id="rId441" Type="http://schemas.openxmlformats.org/officeDocument/2006/relationships/image" Target="media/image370.png"/><Relationship Id="rId442" Type="http://schemas.openxmlformats.org/officeDocument/2006/relationships/image" Target="media/image371.png"/><Relationship Id="rId443" Type="http://schemas.openxmlformats.org/officeDocument/2006/relationships/image" Target="media/image372.png"/><Relationship Id="rId444" Type="http://schemas.openxmlformats.org/officeDocument/2006/relationships/image" Target="media/image373.png"/><Relationship Id="rId445" Type="http://schemas.openxmlformats.org/officeDocument/2006/relationships/image" Target="media/image374.png"/><Relationship Id="rId446" Type="http://schemas.openxmlformats.org/officeDocument/2006/relationships/image" Target="media/image375.png"/><Relationship Id="rId447" Type="http://schemas.openxmlformats.org/officeDocument/2006/relationships/image" Target="media/image376.png"/><Relationship Id="rId448" Type="http://schemas.openxmlformats.org/officeDocument/2006/relationships/image" Target="media/image377.png"/><Relationship Id="rId449" Type="http://schemas.openxmlformats.org/officeDocument/2006/relationships/image" Target="media/image378.png"/><Relationship Id="rId450" Type="http://schemas.openxmlformats.org/officeDocument/2006/relationships/image" Target="media/image379.png"/><Relationship Id="rId451" Type="http://schemas.openxmlformats.org/officeDocument/2006/relationships/image" Target="media/image380.png"/><Relationship Id="rId452" Type="http://schemas.openxmlformats.org/officeDocument/2006/relationships/image" Target="media/image381.png"/><Relationship Id="rId453" Type="http://schemas.openxmlformats.org/officeDocument/2006/relationships/image" Target="media/image382.png"/><Relationship Id="rId454" Type="http://schemas.openxmlformats.org/officeDocument/2006/relationships/image" Target="media/image383.png"/><Relationship Id="rId455" Type="http://schemas.openxmlformats.org/officeDocument/2006/relationships/image" Target="media/image384.png"/><Relationship Id="rId456" Type="http://schemas.openxmlformats.org/officeDocument/2006/relationships/image" Target="media/image385.png"/><Relationship Id="rId457" Type="http://schemas.openxmlformats.org/officeDocument/2006/relationships/image" Target="media/image386.png"/><Relationship Id="rId458" Type="http://schemas.openxmlformats.org/officeDocument/2006/relationships/image" Target="media/image387.png"/><Relationship Id="rId459" Type="http://schemas.openxmlformats.org/officeDocument/2006/relationships/image" Target="media/image388.png"/><Relationship Id="rId460" Type="http://schemas.openxmlformats.org/officeDocument/2006/relationships/image" Target="media/image389.png"/><Relationship Id="rId461" Type="http://schemas.openxmlformats.org/officeDocument/2006/relationships/image" Target="media/image390.png"/><Relationship Id="rId462" Type="http://schemas.openxmlformats.org/officeDocument/2006/relationships/image" Target="media/image391.png"/><Relationship Id="rId463" Type="http://schemas.openxmlformats.org/officeDocument/2006/relationships/image" Target="media/image392.jpeg"/><Relationship Id="rId464" Type="http://schemas.openxmlformats.org/officeDocument/2006/relationships/image" Target="media/image393.png"/><Relationship Id="rId465" Type="http://schemas.openxmlformats.org/officeDocument/2006/relationships/image" Target="media/image394.png"/><Relationship Id="rId466" Type="http://schemas.openxmlformats.org/officeDocument/2006/relationships/image" Target="media/image395.png"/><Relationship Id="rId144" Type="http://schemas.openxmlformats.org/officeDocument/2006/relationships/hyperlink" Target="http://www.sec.gov/Archives/edgar/data/1110646/000102140803009190/dex13.txt" TargetMode="External"/><Relationship Id="rId145" Type="http://schemas.openxmlformats.org/officeDocument/2006/relationships/hyperlink" Target="http://www.sec.gov/Archives/edgar/data/1110646/000110465915030142/a15-4743_1ex3d3.htm" TargetMode="External"/><Relationship Id="rId146" Type="http://schemas.openxmlformats.org/officeDocument/2006/relationships/hyperlink" Target="http://www.sec.gov/Archives/edgar/data/1110646/000110465916113375/a16-3849_1ex3d8.htm" TargetMode="External"/><Relationship Id="rId147" Type="http://schemas.openxmlformats.org/officeDocument/2006/relationships/hyperlink" Target="http://www.sec.gov/Archives/edgar/data/1110646/000110465916113375/a16-3849_1ex3d9.htm" TargetMode="External"/><Relationship Id="rId148" Type="http://schemas.openxmlformats.org/officeDocument/2006/relationships/hyperlink" Target="http://www.sec.gov/Archives/edgar/data/1110646/000110465916113375/a16-3849_1ex3d6.htm" TargetMode="External"/><Relationship Id="rId149" Type="http://schemas.openxmlformats.org/officeDocument/2006/relationships/hyperlink" Target="http://www.sec.gov/Archives/edgar/data/1110646/000110465916113375/a16-3849_1ex3d5.htm" TargetMode="External"/><Relationship Id="rId150" Type="http://schemas.openxmlformats.org/officeDocument/2006/relationships/hyperlink" Target="http://www.sec.gov/Archives/edgar/data/1110646/000110465916113375/a16-3849_1ex3d7.htm" TargetMode="External"/><Relationship Id="rId151" Type="http://schemas.openxmlformats.org/officeDocument/2006/relationships/hyperlink" Target="http://www.sec.gov/Archives/edgar/data/1110646/000110465917025196/a17-1327_1ex3d6.htm" TargetMode="External"/><Relationship Id="rId152" Type="http://schemas.openxmlformats.org/officeDocument/2006/relationships/hyperlink" Target="http://www.sec.gov/Archives/edgar/data/1110646/000110465918025392/a18-5396_1ex3d8.htm" TargetMode="External"/><Relationship Id="rId153" Type="http://schemas.openxmlformats.org/officeDocument/2006/relationships/hyperlink" Target="http://www.sec.gov/Archives/edgar/data/1110646/000119312510003078/dex101.htm" TargetMode="External"/><Relationship Id="rId156" Type="http://schemas.openxmlformats.org/officeDocument/2006/relationships/hyperlink" Target="http://www.sec.gov/Archives/edgar/data/1110646/000119312510149321/dex43.htm" TargetMode="External"/><Relationship Id="rId159" Type="http://schemas.openxmlformats.org/officeDocument/2006/relationships/hyperlink" Target="http://www.sec.gov/Archives/edgar/data/1110646/000119312505131680/dex439.htm" TargetMode="External"/><Relationship Id="rId160" Type="http://schemas.openxmlformats.org/officeDocument/2006/relationships/hyperlink" Target="http://www.sec.gov/Archives/edgar/data/1110646/000119312505131680/dex440.htm" TargetMode="External"/><Relationship Id="rId161" Type="http://schemas.openxmlformats.org/officeDocument/2006/relationships/hyperlink" Target="http://www.sec.gov/Archives/edgar/data/1110646/000119312505131680/dex441.htm" TargetMode="External"/><Relationship Id="rId162" Type="http://schemas.openxmlformats.org/officeDocument/2006/relationships/hyperlink" Target="http://www.sec.gov/Archives/edgar/data/1110646/000110465913031064/a12-28368_1ex4d25.htm" TargetMode="External"/><Relationship Id="rId163" Type="http://schemas.openxmlformats.org/officeDocument/2006/relationships/hyperlink" Target="http://www.sec.gov/Archives/edgar/data/1110646/000110465915030142/a15-4743_1ex4d25.htm" TargetMode="External"/><Relationship Id="rId164" Type="http://schemas.openxmlformats.org/officeDocument/2006/relationships/hyperlink" Target="http://www.sec.gov/Archives/edgar/data/1110646/000110465915030142/a15-4743_1ex4d26.htm" TargetMode="External"/><Relationship Id="rId165" Type="http://schemas.openxmlformats.org/officeDocument/2006/relationships/hyperlink" Target="http://www.sec.gov/Archives/edgar/data/1110646/000110465915030142/a15-4743_1ex4d27.htm" TargetMode="External"/><Relationship Id="rId168" Type="http://schemas.openxmlformats.org/officeDocument/2006/relationships/hyperlink" Target="http://www.sec.gov/Archives/edgar/data/1110646/000110465915030142/a15-4743_1ex4d28.htm" TargetMode="External"/><Relationship Id="rId169" Type="http://schemas.openxmlformats.org/officeDocument/2006/relationships/hyperlink" Target="http://www.sec.gov/Archives/edgar/data/1110646/000110465915030142/a15-4743_1ex4d29.htm" TargetMode="External"/><Relationship Id="rId170" Type="http://schemas.openxmlformats.org/officeDocument/2006/relationships/hyperlink" Target="http://www.sec.gov/Archives/edgar/data/1110646/000110465915030142/a15-4743_1ex4d30.htm" TargetMode="External"/><Relationship Id="rId171" Type="http://schemas.openxmlformats.org/officeDocument/2006/relationships/hyperlink" Target="http://www.sec.gov/Archives/edgar/data/1110646/000110465915030142/a15-4743_1ex4d31.htm" TargetMode="External"/><Relationship Id="rId172" Type="http://schemas.openxmlformats.org/officeDocument/2006/relationships/hyperlink" Target="http://www.sec.gov/Archives/edgar/data/1110646/000110465915030142/a15-4743_1ex4d32.htm" TargetMode="External"/><Relationship Id="rId173" Type="http://schemas.openxmlformats.org/officeDocument/2006/relationships/hyperlink" Target="http://www.sec.gov/Archives/edgar/data/1110646/000110465915030142/a15-4743_1ex4d33.htm" TargetMode="External"/><Relationship Id="rId174" Type="http://schemas.openxmlformats.org/officeDocument/2006/relationships/hyperlink" Target="http://www.sec.gov/Archives/edgar/data/1110646/000110465915030142/a15-4743_1ex4d34.htm" TargetMode="External"/><Relationship Id="rId175" Type="http://schemas.openxmlformats.org/officeDocument/2006/relationships/hyperlink" Target="http://www.sec.gov/Archives/edgar/data/1110646/000110465915030142/a15-4743_1ex4d35.htm" TargetMode="External"/><Relationship Id="rId176" Type="http://schemas.openxmlformats.org/officeDocument/2006/relationships/hyperlink" Target="http://www.sec.gov/Archives/edgar/data/1110646/000110465915030142/a15-4743_1ex4d36.htm" TargetMode="External"/><Relationship Id="rId177" Type="http://schemas.openxmlformats.org/officeDocument/2006/relationships/hyperlink" Target="http://www.sec.gov/Archives/edgar/data/1110646/000110465916113375/a16-3849_1ex4d37.htm" TargetMode="External"/><Relationship Id="rId178" Type="http://schemas.openxmlformats.org/officeDocument/2006/relationships/hyperlink" Target="http://www.sec.gov/Archives/edgar/data/1110646/000110465916113375/a16-3849_1ex4d38.htm" TargetMode="External"/><Relationship Id="rId179" Type="http://schemas.openxmlformats.org/officeDocument/2006/relationships/hyperlink" Target="http://www.sec.gov/Archives/edgar/data/1110646/000110465916113375/a16-3849_1ex4d39.htm" TargetMode="External"/><Relationship Id="rId180" Type="http://schemas.openxmlformats.org/officeDocument/2006/relationships/hyperlink" Target="http://www.sec.gov/Archives/edgar/data/1110646/000110465916113375/a16-3849_1ex4d40.htm" TargetMode="External"/><Relationship Id="rId183" Type="http://schemas.openxmlformats.org/officeDocument/2006/relationships/hyperlink" Target="http://www.sec.gov/Archives/edgar/data/1110646/000110465916113375/a16-3849_1ex4d41.htm" TargetMode="External"/><Relationship Id="rId184" Type="http://schemas.openxmlformats.org/officeDocument/2006/relationships/hyperlink" Target="http://www.sec.gov/Archives/edgar/data/1110646/000110465916113375/a16-3849_1ex4d42.htm" TargetMode="External"/><Relationship Id="rId185" Type="http://schemas.openxmlformats.org/officeDocument/2006/relationships/hyperlink" Target="http://www.sec.gov/Archives/edgar/data/1110646/000110465916113375/a16-3849_1ex4d43.htm" TargetMode="External"/><Relationship Id="rId186" Type="http://schemas.openxmlformats.org/officeDocument/2006/relationships/hyperlink" Target="http://www.sec.gov/Archives/edgar/data/1110646/000110465916113375/a16-3849_1ex4d44.htm" TargetMode="External"/><Relationship Id="rId187" Type="http://schemas.openxmlformats.org/officeDocument/2006/relationships/hyperlink" Target="http://www.sec.gov/Archives/edgar/data/1110646/000110465916113375/a16-3849_1ex4d45.htm" TargetMode="External"/><Relationship Id="rId188" Type="http://schemas.openxmlformats.org/officeDocument/2006/relationships/hyperlink" Target="http://www.sec.gov/Archives/edgar/data/1110646/000110465916113375/a16-3849_1ex4d46.htm" TargetMode="External"/><Relationship Id="rId189" Type="http://schemas.openxmlformats.org/officeDocument/2006/relationships/hyperlink" Target="http://www.sec.gov/Archives/edgar/data/1110646/000110465916113375/a16-3849_1ex4d47.htm" TargetMode="External"/><Relationship Id="rId190" Type="http://schemas.openxmlformats.org/officeDocument/2006/relationships/hyperlink" Target="http://www.sec.gov/Archives/edgar/data/1110646/000110465916113375/a16-3849_1ex4d48.htm" TargetMode="External"/><Relationship Id="rId191" Type="http://schemas.openxmlformats.org/officeDocument/2006/relationships/hyperlink" Target="http://www.sec.gov/Archives/edgar/data/1110646/000110465916113375/a16-3849_1ex4d49.htm" TargetMode="External"/><Relationship Id="rId192" Type="http://schemas.openxmlformats.org/officeDocument/2006/relationships/hyperlink" Target="http://www.sec.gov/Archives/edgar/data/1110646/000110465916113375/a16-3849_1ex4d50.htm" TargetMode="External"/><Relationship Id="rId193" Type="http://schemas.openxmlformats.org/officeDocument/2006/relationships/hyperlink" Target="http://www.sec.gov/Archives/edgar/data/1110646/000110465916113375/a16-3849_1ex4d51.htm" TargetMode="External"/><Relationship Id="rId194" Type="http://schemas.openxmlformats.org/officeDocument/2006/relationships/hyperlink" Target="http://www.sec.gov/Archives/edgar/data/1110646/000110465917025196/a17-1327_1ex4d51.htm" TargetMode="External"/><Relationship Id="rId197" Type="http://schemas.openxmlformats.org/officeDocument/2006/relationships/hyperlink" Target="http://www.sec.gov/Archives/edgar/data/1110646/000110465917025196/a17-1327_1ex4d52.htm" TargetMode="External"/><Relationship Id="rId198" Type="http://schemas.openxmlformats.org/officeDocument/2006/relationships/hyperlink" Target="http://www.sec.gov/Archives/edgar/data/1110646/000110465917025196/a17-1327_1ex4d53.htm" TargetMode="External"/><Relationship Id="rId199" Type="http://schemas.openxmlformats.org/officeDocument/2006/relationships/hyperlink" Target="http://www.sec.gov/Archives/edgar/data/1110646/000110465917025196/a17-1327_1ex4d54.htm" TargetMode="External"/><Relationship Id="rId200" Type="http://schemas.openxmlformats.org/officeDocument/2006/relationships/hyperlink" Target="http://www.sec.gov/Archives/edgar/data/1110646/000110465917025196/a17-1327_1ex4d55.htm" TargetMode="External"/><Relationship Id="rId201" Type="http://schemas.openxmlformats.org/officeDocument/2006/relationships/hyperlink" Target="http://www.sec.gov/Archives/edgar/data/1110646/000110465918025392/a18-5396_1ex4d52.htm" TargetMode="External"/><Relationship Id="rId202" Type="http://schemas.openxmlformats.org/officeDocument/2006/relationships/hyperlink" Target="http://www.sec.gov/Archives/edgar/data/1110646/000110465918025392/a18-5396_1ex4d53.htm" TargetMode="External"/><Relationship Id="rId203" Type="http://schemas.openxmlformats.org/officeDocument/2006/relationships/hyperlink" Target="http://www.sec.gov/Archives/edgar/data/1110646/000110465918025392/a18-5396_1ex4d54.htm" TargetMode="External"/><Relationship Id="rId204" Type="http://schemas.openxmlformats.org/officeDocument/2006/relationships/hyperlink" Target="http://www.sec.gov/Archives/edgar/data/1110646/000110465918025392/a18-5396_1ex4d55.htm" TargetMode="External"/><Relationship Id="rId205" Type="http://schemas.openxmlformats.org/officeDocument/2006/relationships/hyperlink" Target="file:///data/convert/a18-41432_1ex4d56.htm#Exhibit4_56_075017" TargetMode="External"/><Relationship Id="rId206" Type="http://schemas.openxmlformats.org/officeDocument/2006/relationships/hyperlink" Target="file:///data/convert/a18-41432_1ex4d57.htm#Exhibit4_57_121525" TargetMode="External"/><Relationship Id="rId207" Type="http://schemas.openxmlformats.org/officeDocument/2006/relationships/hyperlink" Target="file:///data/convert/a18-41432_1ex4d58.htm#Exhibit4_58_093445" TargetMode="External"/><Relationship Id="rId208" Type="http://schemas.openxmlformats.org/officeDocument/2006/relationships/hyperlink" Target="file:///data/convert/a18-41432_1ex8d1.htm#Exhibit8_1_013232" TargetMode="External"/><Relationship Id="rId209" Type="http://schemas.openxmlformats.org/officeDocument/2006/relationships/hyperlink" Target="http://www.sec.gov/Archives/edgar/data/1110646/000119312507142483/dex111.htm" TargetMode="External"/><Relationship Id="rId210" Type="http://schemas.openxmlformats.org/officeDocument/2006/relationships/hyperlink" Target="file:///data/convert/a18-41432_1ex12d1.htm#Exhibit12_1_013300" TargetMode="External"/><Relationship Id="rId211" Type="http://schemas.openxmlformats.org/officeDocument/2006/relationships/hyperlink" Target="file:///data/convert/a18-41432_1ex12d2.htm#Exhibit12_2_013324" TargetMode="External"/><Relationship Id="rId212" Type="http://schemas.openxmlformats.org/officeDocument/2006/relationships/hyperlink" Target="file:///data/convert/a18-41432_1ex13d1.htm#Exhibit13_1_013349" TargetMode="External"/><Relationship Id="rId213" Type="http://schemas.openxmlformats.org/officeDocument/2006/relationships/hyperlink" Target="file:///data/convert/a18-41432_1ex13d2.htm#Exhibit13_2_013417" TargetMode="External"/><Relationship Id="rId214" Type="http://schemas.openxmlformats.org/officeDocument/2006/relationships/hyperlink" Target="http://www.sec.gov/Archives/edgar/data/1110646/000110465915030142/a15-4743_1ex15d1.htm" TargetMode="External"/><Relationship Id="rId217" Type="http://schemas.openxmlformats.org/officeDocument/2006/relationships/hyperlink" Target="file:///data/convert/a18-41432_1ex15d2.htm#Exhibit15_2_085339" TargetMode="External"/><Relationship Id="rId218" Type="http://schemas.openxmlformats.org/officeDocument/2006/relationships/hyperlink" Target="file:///data/convert/a18-41432_1ex15d3.htm#Exhibit15_3_093141" TargetMode="External"/><Relationship Id="rId219" Type="http://schemas.openxmlformats.org/officeDocument/2006/relationships/hyperlink" Target="file:///data/convert/a18-41432_1ex15d4.htm#Exhibit15_4_0504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2019-12-03T04:18:13Z</dcterms:created>
  <dcterms:modified xsi:type="dcterms:W3CDTF">2019-12-03T04:18:13Z</dcterms:modified>
</cp:coreProperties>
</file>