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3113-1_4seq1.xml.htm"/>
      <w:bookmarkStart w:id="1" w:name="kstm2623113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 Bin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NETEASE, RM 802,CHINA LIFE CTR, TW 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HARBOURGATE, NO.18 HUNG LUEN RD, KLN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HONGKONG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000000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NetEase,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NTES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[HKEX: 9999]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President, Finance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1"/>
        <w:gridCol w:w="903"/>
        <w:gridCol w:w="772"/>
        <w:gridCol w:w="600"/>
        <w:gridCol w:w="349"/>
        <w:gridCol w:w="807"/>
        <w:gridCol w:w="457"/>
        <w:gridCol w:w="714"/>
        <w:gridCol w:w="1168"/>
        <w:gridCol w:w="1001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represents five ordinary shares of NetEase, Inc. (the "Company").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716 restricted stock units (the "RSUs"). The RSUs had been subject to a performance-based vesting condition that was deemed satisfied on August 11, 2026, but remain subject to a time-based vesting condition and will vest on September 1, 2026, provided that the reporting person remains in continued service to the Company through the vesting date. Each RSU represents a contingent right to receive, upon vesting, one American depositary share of the Company.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Doris Fang, Attorney-in-Fact for Mo Bin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2918" TargetMode="External"/><Relationship Id="rId5" Type="http://schemas.openxmlformats.org/officeDocument/2006/relationships/hyperlink" Target="http://www.sec.gov/cgi-bin/browse-edgar?action=getcompany&amp;CIK=00011106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669</Words>
  <Characters>3639</Characters>
  <CharactersWithSpaces>4240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