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122555</wp:posOffset>
            </wp:positionV>
            <wp:extent cx="16287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11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(Mark One)</w:t>
      </w:r>
    </w:p>
    <w:p>
      <w:pPr>
        <w:spacing w:after="0" w:line="221" w:lineRule="exact"/>
        <w:rPr>
          <w:sz w:val="24"/>
          <w:szCs w:val="24"/>
          <w:color w:val="auto"/>
        </w:rPr>
      </w:pPr>
    </w:p>
    <w:p>
      <w:pPr>
        <w:jc w:val="center"/>
        <w:ind w:left="5000" w:right="720" w:hanging="4810"/>
        <w:spacing w:after="0" w:line="511" w:lineRule="auto"/>
        <w:tabs>
          <w:tab w:leader="none" w:pos="51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REGISTRATION STATEMENT PURSUANT TO SECTION 12(b) OR 12(g)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129540</wp:posOffset>
            </wp:positionH>
            <wp:positionV relativeFrom="paragraph">
              <wp:posOffset>-473075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 w:lineRule="exact"/>
        <w:rPr>
          <w:sz w:val="24"/>
          <w:szCs w:val="24"/>
          <w:color w:val="auto"/>
        </w:rPr>
      </w:pPr>
    </w:p>
    <w:p>
      <w:pPr>
        <w:ind w:left="520" w:right="1800" w:hanging="330"/>
        <w:spacing w:after="0" w:line="298" w:lineRule="auto"/>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129540</wp:posOffset>
            </wp:positionH>
            <wp:positionV relativeFrom="paragraph">
              <wp:posOffset>-265430</wp:posOffset>
            </wp:positionV>
            <wp:extent cx="78105" cy="79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5000" w:right="1460" w:hanging="4810"/>
        <w:spacing w:after="0" w:line="511" w:lineRule="auto"/>
        <w:tabs>
          <w:tab w:leader="none" w:pos="511"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OR</w:t>
      </w:r>
    </w:p>
    <w:p>
      <w:pPr>
        <w:spacing w:after="0" w:line="26" w:lineRule="exact"/>
        <w:rPr>
          <w:rFonts w:ascii="MS PGothic" w:cs="MS PGothic" w:eastAsia="MS PGothic" w:hAnsi="MS PGothic"/>
          <w:sz w:val="16"/>
          <w:szCs w:val="16"/>
          <w:color w:val="auto"/>
        </w:rPr>
      </w:pPr>
    </w:p>
    <w:p>
      <w:pPr>
        <w:ind w:left="520" w:hanging="330"/>
        <w:spacing w:after="0"/>
        <w:tabs>
          <w:tab w:leader="none" w:pos="520" w:val="left"/>
        </w:tabs>
        <w:numPr>
          <w:ilvl w:val="0"/>
          <w:numId w:val="3"/>
        </w:numPr>
        <w:rPr>
          <w:rFonts w:ascii="MS PGothic" w:cs="MS PGothic" w:eastAsia="MS PGothic" w:hAnsi="MS PGothic"/>
          <w:sz w:val="16"/>
          <w:szCs w:val="16"/>
          <w:color w:val="auto"/>
        </w:rPr>
      </w:pPr>
      <w:r>
        <w:rPr>
          <w:rFonts w:ascii="Arial" w:cs="Arial" w:eastAsia="Arial" w:hAnsi="Arial"/>
          <w:sz w:val="16"/>
          <w:szCs w:val="16"/>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129540</wp:posOffset>
            </wp:positionH>
            <wp:positionV relativeFrom="paragraph">
              <wp:posOffset>-606425</wp:posOffset>
            </wp:positionV>
            <wp:extent cx="78105" cy="7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105" cy="7937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-92075</wp:posOffset>
            </wp:positionV>
            <wp:extent cx="78105" cy="79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97" w:lineRule="exact"/>
        <w:rPr>
          <w:sz w:val="24"/>
          <w:szCs w:val="24"/>
          <w:color w:val="auto"/>
        </w:rPr>
      </w:pPr>
    </w:p>
    <w:p>
      <w:pPr>
        <w:ind w:left="20"/>
        <w:spacing w:after="0"/>
        <w:rPr>
          <w:sz w:val="20"/>
          <w:szCs w:val="20"/>
          <w:color w:val="auto"/>
        </w:rPr>
      </w:pPr>
      <w:r>
        <w:rPr>
          <w:rFonts w:ascii="Arial" w:cs="Arial" w:eastAsia="Arial" w:hAnsi="Arial"/>
          <w:sz w:val="16"/>
          <w:szCs w:val="16"/>
          <w:color w:val="auto"/>
        </w:rPr>
        <w:t>Date of event requiring this shell company report . . . . . . . . . . . . . . . . . . .</w:t>
      </w:r>
    </w:p>
    <w:p>
      <w:pPr>
        <w:spacing w:after="0" w:line="109" w:lineRule="exact"/>
        <w:rPr>
          <w:sz w:val="24"/>
          <w:szCs w:val="24"/>
          <w:color w:val="auto"/>
        </w:rPr>
      </w:pPr>
    </w:p>
    <w:p>
      <w:pPr>
        <w:ind w:left="3100"/>
        <w:spacing w:after="0"/>
        <w:rPr>
          <w:sz w:val="20"/>
          <w:szCs w:val="20"/>
          <w:color w:val="auto"/>
        </w:rPr>
      </w:pPr>
      <w:r>
        <w:rPr>
          <w:rFonts w:ascii="Arial" w:cs="Arial" w:eastAsia="Arial" w:hAnsi="Arial"/>
          <w:sz w:val="16"/>
          <w:szCs w:val="16"/>
          <w:b w:val="1"/>
          <w:bCs w:val="1"/>
          <w:color w:val="auto"/>
        </w:rPr>
        <w:t>For the transition period from ___________ to __________</w:t>
      </w:r>
    </w:p>
    <w:p>
      <w:pPr>
        <w:spacing w:after="0" w:line="117" w:lineRule="exact"/>
        <w:rPr>
          <w:sz w:val="24"/>
          <w:szCs w:val="24"/>
          <w:color w:val="auto"/>
        </w:rPr>
      </w:pPr>
    </w:p>
    <w:p>
      <w:pPr>
        <w:ind w:left="20"/>
        <w:spacing w:after="0"/>
        <w:rPr>
          <w:sz w:val="20"/>
          <w:szCs w:val="20"/>
          <w:color w:val="auto"/>
        </w:rPr>
      </w:pPr>
      <w:r>
        <w:rPr>
          <w:rFonts w:ascii="Arial" w:cs="Arial" w:eastAsia="Arial" w:hAnsi="Arial"/>
          <w:sz w:val="16"/>
          <w:szCs w:val="16"/>
          <w:color w:val="auto"/>
        </w:rPr>
        <w:t>Commission file number : 000-30666</w:t>
      </w:r>
    </w:p>
    <w:p>
      <w:pPr>
        <w:spacing w:after="0" w:line="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6489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(Translation of Registrant’s name into English)</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(Jurisdiction of incorporation or organization)</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NetEase Building, No.599 Wangshang Road</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Binjiang District, Hangzhou, 310052</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People’s Republic of China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Charles Zhaoxuan Yang</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NetEase Building, No. 599 Wangshang Road</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Binjiang District, Hangzhou, 310052</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People’s Republic of China</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Phone (86 571) 8985-3378</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Email ir@service.netease.com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15875</wp:posOffset>
            </wp:positionV>
            <wp:extent cx="6489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8" w:lineRule="exact"/>
        <w:rPr>
          <w:sz w:val="24"/>
          <w:szCs w:val="24"/>
          <w:color w:val="auto"/>
        </w:rPr>
      </w:pPr>
    </w:p>
    <w:p>
      <w:pPr>
        <w:ind w:left="2060"/>
        <w:spacing w:after="0"/>
        <w:rPr>
          <w:sz w:val="20"/>
          <w:szCs w:val="20"/>
          <w:color w:val="auto"/>
        </w:rPr>
      </w:pPr>
      <w:r>
        <w:rPr>
          <w:rFonts w:ascii="Arial" w:cs="Arial" w:eastAsia="Arial" w:hAnsi="Arial"/>
          <w:sz w:val="16"/>
          <w:szCs w:val="16"/>
          <w:color w:val="auto"/>
        </w:rPr>
        <w:t>(Name, Telephone, E-mail and/or Facsimile number and Address of Company Contact Person)</w:t>
      </w:r>
    </w:p>
    <w:p>
      <w:pPr>
        <w:spacing w:after="0" w:line="113"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or to be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82"/>
        </w:trPr>
        <w:tc>
          <w:tcPr>
            <w:tcW w:w="40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American Depositary Shares, each representing 25</w:t>
            </w:r>
          </w:p>
        </w:tc>
        <w:tc>
          <w:tcPr>
            <w:tcW w:w="20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5"/>
              </w:rPr>
              <w:t>NTES</w:t>
            </w:r>
          </w:p>
        </w:tc>
        <w:tc>
          <w:tcPr>
            <w:tcW w:w="41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5"/>
              </w:rPr>
              <w:t>NASDAQ Global Select Market</w:t>
            </w:r>
          </w:p>
        </w:tc>
      </w:tr>
      <w:tr>
        <w:trPr>
          <w:trHeight w:val="203"/>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1"/>
              </w:rPr>
              <w:t>ordinary shares, par value US$0.0001 per share</w:t>
            </w:r>
          </w:p>
        </w:tc>
        <w:tc>
          <w:tcPr>
            <w:tcW w:w="202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210"/>
        </w:trPr>
        <w:tc>
          <w:tcPr>
            <w:tcW w:w="4020" w:type="dxa"/>
            <w:vAlign w:val="bottom"/>
          </w:tcPr>
          <w:p>
            <w:pPr>
              <w:jc w:val="center"/>
              <w:spacing w:after="0"/>
              <w:rPr>
                <w:sz w:val="20"/>
                <w:szCs w:val="20"/>
                <w:color w:val="auto"/>
              </w:rPr>
            </w:pPr>
            <w:r>
              <w:rPr>
                <w:rFonts w:ascii="Arial" w:cs="Arial" w:eastAsia="Arial" w:hAnsi="Arial"/>
                <w:sz w:val="16"/>
                <w:szCs w:val="16"/>
                <w:b w:val="1"/>
                <w:bCs w:val="1"/>
                <w:color w:val="auto"/>
                <w:w w:val="92"/>
              </w:rPr>
              <w:t>Ordinary shares, par value US$0.0001 per share*</w:t>
            </w:r>
          </w:p>
        </w:tc>
        <w:tc>
          <w:tcPr>
            <w:tcW w:w="2020" w:type="dxa"/>
            <w:vAlign w:val="bottom"/>
          </w:tcPr>
          <w:p>
            <w:pPr>
              <w:spacing w:after="0"/>
              <w:rPr>
                <w:sz w:val="18"/>
                <w:szCs w:val="18"/>
                <w:color w:val="auto"/>
              </w:rPr>
            </w:pP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6"/>
              </w:rPr>
              <w:t>NASDAQ Global Select Market*</w:t>
            </w:r>
          </w:p>
        </w:tc>
      </w:tr>
    </w:tbl>
    <w:p>
      <w:pPr>
        <w:spacing w:after="0" w:line="104"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*Not for trading, but only in connection with the listing of American depositary shares on the NASDAQ Global Select Market.</w:t>
      </w:r>
    </w:p>
    <w:p>
      <w:pPr>
        <w:spacing w:after="0" w:line="113"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or to be registered pursuant to Section 12(g) of the Act:</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64890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429260</wp:posOffset>
            </wp:positionV>
            <wp:extent cx="649795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20" w:top="665" w:right="859" w:bottom="1440" w:gutter="0" w:footer="0" w:header="0"/>
        </w:sectPr>
      </w:pPr>
    </w:p>
    <w:bookmarkStart w:id="1" w:name="page2"/>
    <w:bookmarkEnd w:id="1"/>
    <w:p>
      <w:pPr>
        <w:ind w:left="1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left="10"/>
        <w:spacing w:after="0"/>
        <w:rPr>
          <w:sz w:val="20"/>
          <w:szCs w:val="20"/>
          <w:color w:val="auto"/>
        </w:rPr>
      </w:pPr>
      <w:r>
        <w:rPr>
          <w:rFonts w:ascii="Arial" w:cs="Arial" w:eastAsia="Arial" w:hAnsi="Arial"/>
          <w:sz w:val="16"/>
          <w:szCs w:val="16"/>
          <w:color w:val="auto"/>
        </w:rPr>
        <w:t>Securities for which there is a reporting obligation pursuant to Section 15(d) of the Act:</w:t>
      </w:r>
    </w:p>
    <w:p>
      <w:pPr>
        <w:spacing w:after="0" w:line="123" w:lineRule="exact"/>
        <w:rPr>
          <w:sz w:val="20"/>
          <w:szCs w:val="20"/>
          <w:color w:val="auto"/>
        </w:rPr>
      </w:pPr>
    </w:p>
    <w:p>
      <w:pPr>
        <w:jc w:val="center"/>
        <w:ind w:right="-9"/>
        <w:spacing w:after="0"/>
        <w:rPr>
          <w:sz w:val="20"/>
          <w:szCs w:val="20"/>
          <w:color w:val="auto"/>
        </w:rPr>
      </w:pPr>
      <w:r>
        <w:rPr>
          <w:rFonts w:ascii="Arial" w:cs="Arial" w:eastAsia="Arial" w:hAnsi="Arial"/>
          <w:sz w:val="16"/>
          <w:szCs w:val="16"/>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16" w:lineRule="exact"/>
        <w:rPr>
          <w:sz w:val="20"/>
          <w:szCs w:val="20"/>
          <w:color w:val="auto"/>
        </w:rPr>
      </w:pPr>
    </w:p>
    <w:p>
      <w:pPr>
        <w:jc w:val="center"/>
        <w:ind w:right="-9"/>
        <w:spacing w:after="0"/>
        <w:rPr>
          <w:sz w:val="20"/>
          <w:szCs w:val="20"/>
          <w:color w:val="auto"/>
        </w:rPr>
      </w:pPr>
      <w:r>
        <w:rPr>
          <w:rFonts w:ascii="Arial" w:cs="Arial" w:eastAsia="Arial" w:hAnsi="Arial"/>
          <w:sz w:val="16"/>
          <w:szCs w:val="16"/>
          <w:color w:val="auto"/>
        </w:rPr>
        <w:t>(Title of Class)</w:t>
      </w:r>
    </w:p>
    <w:p>
      <w:pPr>
        <w:spacing w:after="0" w:line="208" w:lineRule="exact"/>
        <w:rPr>
          <w:sz w:val="20"/>
          <w:szCs w:val="20"/>
          <w:color w:val="auto"/>
        </w:rPr>
      </w:pPr>
    </w:p>
    <w:p>
      <w:pPr>
        <w:ind w:left="10" w:right="460"/>
        <w:spacing w:after="0" w:line="266" w:lineRule="auto"/>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 w:lineRule="exact"/>
        <w:rPr>
          <w:sz w:val="20"/>
          <w:szCs w:val="20"/>
          <w:color w:val="auto"/>
        </w:rPr>
      </w:pPr>
    </w:p>
    <w:p>
      <w:pPr>
        <w:ind w:left="5130"/>
        <w:spacing w:after="0"/>
        <w:rPr>
          <w:sz w:val="20"/>
          <w:szCs w:val="20"/>
          <w:color w:val="auto"/>
        </w:rPr>
      </w:pPr>
      <w:r>
        <w:rPr>
          <w:rFonts w:ascii="Arial" w:cs="Arial" w:eastAsia="Arial" w:hAnsi="Arial"/>
          <w:sz w:val="16"/>
          <w:szCs w:val="16"/>
          <w:color w:val="auto"/>
        </w:rPr>
        <w:t>3,228,531,381 ordinary shares,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15875</wp:posOffset>
            </wp:positionV>
            <wp:extent cx="3240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103" w:lineRule="exact"/>
        <w:rPr>
          <w:sz w:val="20"/>
          <w:szCs w:val="20"/>
          <w:color w:val="auto"/>
        </w:rPr>
      </w:pPr>
    </w:p>
    <w:p>
      <w:pPr>
        <w:ind w:left="1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83"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13" w:lineRule="exact"/>
        <w:rPr>
          <w:sz w:val="20"/>
          <w:szCs w:val="20"/>
          <w:color w:val="auto"/>
        </w:rPr>
      </w:pPr>
    </w:p>
    <w:p>
      <w:pPr>
        <w:ind w:left="10" w:right="220"/>
        <w:spacing w:after="0" w:line="293" w:lineRule="auto"/>
        <w:rPr>
          <w:sz w:val="20"/>
          <w:szCs w:val="20"/>
          <w:color w:val="auto"/>
        </w:rPr>
      </w:pPr>
      <w:r>
        <w:rPr>
          <w:rFonts w:ascii="Arial" w:cs="Arial" w:eastAsia="Arial" w:hAnsi="Arial"/>
          <w:sz w:val="16"/>
          <w:szCs w:val="16"/>
          <w:color w:val="auto"/>
        </w:rPr>
        <w:t>If this report is an annual or transition report, indicate by check mark if the registrant is not required to file reports pursuant to Section 13 or (15) (d) of the Securities Exchange Act of 1934.</w:t>
      </w:r>
    </w:p>
    <w:p>
      <w:pPr>
        <w:spacing w:after="0" w:line="20"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13" w:lineRule="exact"/>
        <w:rPr>
          <w:sz w:val="20"/>
          <w:szCs w:val="20"/>
          <w:color w:val="auto"/>
        </w:rPr>
      </w:pPr>
    </w:p>
    <w:p>
      <w:pPr>
        <w:ind w:left="10" w:right="38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3"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13" w:lineRule="exact"/>
        <w:rPr>
          <w:sz w:val="20"/>
          <w:szCs w:val="20"/>
          <w:color w:val="auto"/>
        </w:rPr>
      </w:pPr>
    </w:p>
    <w:p>
      <w:pPr>
        <w:ind w:left="10" w:right="220"/>
        <w:spacing w:after="0" w:line="34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13" w:lineRule="exact"/>
        <w:rPr>
          <w:sz w:val="20"/>
          <w:szCs w:val="20"/>
          <w:color w:val="auto"/>
        </w:rPr>
      </w:pPr>
    </w:p>
    <w:p>
      <w:pPr>
        <w:ind w:left="1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34" w:lineRule="exact"/>
        <w:rPr>
          <w:sz w:val="20"/>
          <w:szCs w:val="20"/>
          <w:color w:val="auto"/>
        </w:rPr>
      </w:pPr>
    </w:p>
    <w:p>
      <w:pPr>
        <w:ind w:left="430"/>
        <w:spacing w:after="0" w:line="215" w:lineRule="exact"/>
        <w:tabs>
          <w:tab w:leader="none" w:pos="3170" w:val="left"/>
          <w:tab w:leader="none" w:pos="5590" w:val="left"/>
          <w:tab w:leader="none" w:pos="795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113" w:lineRule="exact"/>
        <w:rPr>
          <w:sz w:val="20"/>
          <w:szCs w:val="20"/>
          <w:color w:val="auto"/>
        </w:rPr>
      </w:pPr>
    </w:p>
    <w:p>
      <w:pPr>
        <w:ind w:left="10" w:right="80"/>
        <w:spacing w:after="0" w:line="210"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74" w:lineRule="exact"/>
        <w:rPr>
          <w:sz w:val="20"/>
          <w:szCs w:val="20"/>
          <w:color w:val="auto"/>
        </w:rPr>
      </w:pPr>
    </w:p>
    <w:p>
      <w:pPr>
        <w:ind w:left="10" w:right="520" w:hanging="10"/>
        <w:spacing w:after="0" w:line="293" w:lineRule="auto"/>
        <w:tabs>
          <w:tab w:leader="none" w:pos="13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“new or revised financial accounting standard” refers to any update issued by the Financial Accounting Standards Board to its Accounting Standards Codification after April 5, 2012.</w:t>
      </w:r>
    </w:p>
    <w:p>
      <w:pPr>
        <w:spacing w:after="0" w:line="50" w:lineRule="exact"/>
        <w:rPr>
          <w:sz w:val="20"/>
          <w:szCs w:val="20"/>
          <w:color w:val="auto"/>
        </w:rPr>
      </w:pPr>
    </w:p>
    <w:p>
      <w:pPr>
        <w:ind w:left="10" w:right="40"/>
        <w:spacing w:after="0" w:line="278"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33"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13" w:lineRule="exact"/>
        <w:rPr>
          <w:sz w:val="20"/>
          <w:szCs w:val="20"/>
          <w:color w:val="auto"/>
        </w:rPr>
      </w:pPr>
    </w:p>
    <w:p>
      <w:pPr>
        <w:ind w:left="1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ectPr>
          <w:pgSz w:w="11900" w:h="16838" w:orient="portrait"/>
          <w:cols w:equalWidth="0" w:num="1">
            <w:col w:w="10230"/>
          </w:cols>
          <w:pgMar w:left="830" w:top="517" w:right="839" w:bottom="1440" w:gutter="0" w:footer="0" w:header="0"/>
        </w:sectPr>
      </w:pPr>
    </w:p>
    <w:p>
      <w:pPr>
        <w:spacing w:after="0" w:line="97" w:lineRule="exact"/>
        <w:rPr>
          <w:sz w:val="20"/>
          <w:szCs w:val="20"/>
          <w:color w:val="auto"/>
        </w:rPr>
      </w:pPr>
    </w:p>
    <w:p>
      <w:pPr>
        <w:ind w:left="870"/>
        <w:spacing w:after="0" w:line="201" w:lineRule="exact"/>
        <w:rPr>
          <w:sz w:val="20"/>
          <w:szCs w:val="20"/>
          <w:color w:val="auto"/>
        </w:rPr>
      </w:pPr>
      <w:r>
        <w:rPr>
          <w:rFonts w:ascii="Arial" w:cs="Arial" w:eastAsia="Arial" w:hAnsi="Arial"/>
          <w:sz w:val="15"/>
          <w:szCs w:val="15"/>
          <w:color w:val="auto"/>
        </w:rPr>
        <w:t xml:space="preserve">U.S. GAAP </w:t>
      </w:r>
      <w:r>
        <w:rPr>
          <w:rFonts w:ascii="Arial Unicode MS" w:cs="Arial Unicode MS" w:eastAsia="Arial Unicode MS" w:hAnsi="Arial Unicode MS"/>
          <w:sz w:val="15"/>
          <w:szCs w:val="15"/>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000" w:hanging="44"/>
        <w:spacing w:after="0" w:line="213" w:lineRule="exact"/>
        <w:rPr>
          <w:sz w:val="20"/>
          <w:szCs w:val="20"/>
          <w:color w:val="auto"/>
        </w:rPr>
      </w:pPr>
      <w:r>
        <w:rPr>
          <w:rFonts w:ascii="Arial" w:cs="Arial" w:eastAsia="Arial" w:hAnsi="Arial"/>
          <w:sz w:val="14"/>
          <w:szCs w:val="14"/>
          <w:color w:val="auto"/>
        </w:rPr>
        <w:t xml:space="preserve">International Financial Reporting Standards as issued by the International Accounting Standards Board </w:t>
      </w:r>
      <w:r>
        <w:rPr>
          <w:rFonts w:ascii="Arial Unicode MS" w:cs="Arial Unicode MS" w:eastAsia="Arial Unicode MS" w:hAnsi="Arial Unicode MS"/>
          <w:sz w:val="14"/>
          <w:szCs w:val="14"/>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line="201" w:lineRule="exact"/>
        <w:rPr>
          <w:sz w:val="20"/>
          <w:szCs w:val="20"/>
          <w:color w:val="auto"/>
        </w:rPr>
      </w:pPr>
      <w:r>
        <w:rPr>
          <w:rFonts w:ascii="Arial" w:cs="Arial" w:eastAsia="Arial" w:hAnsi="Arial"/>
          <w:sz w:val="15"/>
          <w:szCs w:val="15"/>
          <w:color w:val="auto"/>
        </w:rPr>
        <w:t xml:space="preserve">Other </w:t>
      </w:r>
      <w:r>
        <w:rPr>
          <w:rFonts w:ascii="Arial Unicode MS" w:cs="Arial Unicode MS" w:eastAsia="Arial Unicode MS" w:hAnsi="Arial Unicode MS"/>
          <w:sz w:val="15"/>
          <w:szCs w:val="15"/>
          <w:color w:val="auto"/>
        </w:rPr>
        <w:t>☐</w:t>
      </w:r>
    </w:p>
    <w:p>
      <w:pPr>
        <w:spacing w:after="0" w:line="328" w:lineRule="exact"/>
        <w:rPr>
          <w:sz w:val="20"/>
          <w:szCs w:val="20"/>
          <w:color w:val="auto"/>
        </w:rPr>
      </w:pPr>
    </w:p>
    <w:p>
      <w:pPr>
        <w:sectPr>
          <w:pgSz w:w="11900" w:h="16838" w:orient="portrait"/>
          <w:cols w:equalWidth="0" w:num="3">
            <w:col w:w="2690" w:space="720"/>
            <w:col w:w="4420" w:space="720"/>
            <w:col w:w="1680"/>
          </w:cols>
          <w:pgMar w:left="830" w:top="517" w:right="839" w:bottom="1440" w:gutter="0" w:footer="0" w:header="0"/>
          <w:type w:val="continuous"/>
        </w:sectPr>
      </w:pPr>
    </w:p>
    <w:p>
      <w:pPr>
        <w:jc w:val="right"/>
        <w:ind w:right="80"/>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 has elected to follow:</w:t>
      </w:r>
    </w:p>
    <w:p>
      <w:pPr>
        <w:spacing w:after="0" w:line="106" w:lineRule="exact"/>
        <w:rPr>
          <w:sz w:val="20"/>
          <w:szCs w:val="20"/>
          <w:color w:val="auto"/>
        </w:rPr>
      </w:pPr>
    </w:p>
    <w:p>
      <w:pPr>
        <w:ind w:left="873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Item 17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Item 18</w:t>
      </w:r>
    </w:p>
    <w:p>
      <w:pPr>
        <w:spacing w:after="0" w:line="167" w:lineRule="exact"/>
        <w:rPr>
          <w:sz w:val="20"/>
          <w:szCs w:val="20"/>
          <w:color w:val="auto"/>
        </w:rPr>
      </w:pPr>
    </w:p>
    <w:p>
      <w:pPr>
        <w:ind w:left="10"/>
        <w:spacing w:after="0"/>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p>
    <w:p>
      <w:pPr>
        <w:spacing w:after="0" w:line="83" w:lineRule="exact"/>
        <w:rPr>
          <w:sz w:val="20"/>
          <w:szCs w:val="20"/>
          <w:color w:val="auto"/>
        </w:rPr>
      </w:pPr>
    </w:p>
    <w:p>
      <w:pPr>
        <w:ind w:left="925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158" w:lineRule="exact"/>
        <w:rPr>
          <w:sz w:val="20"/>
          <w:szCs w:val="20"/>
          <w:color w:val="auto"/>
        </w:rPr>
      </w:pPr>
    </w:p>
    <w:p>
      <w:pPr>
        <w:ind w:left="10"/>
        <w:spacing w:after="0"/>
        <w:rPr>
          <w:sz w:val="20"/>
          <w:szCs w:val="20"/>
          <w:color w:val="auto"/>
        </w:rPr>
      </w:pPr>
      <w:r>
        <w:rPr>
          <w:rFonts w:ascii="Arial" w:cs="Arial" w:eastAsia="Arial" w:hAnsi="Arial"/>
          <w:sz w:val="14"/>
          <w:szCs w:val="14"/>
          <w:color w:val="auto"/>
        </w:rPr>
        <w:t>(APPLICABLE ONLY TO ISSUERS INVOLVED IN BANKRUPTCY PROCEEDINGS DURING THE PAST FIVE YEARS)</w:t>
      </w:r>
    </w:p>
    <w:p>
      <w:pPr>
        <w:spacing w:after="0" w:line="91" w:lineRule="exact"/>
        <w:rPr>
          <w:sz w:val="20"/>
          <w:szCs w:val="20"/>
          <w:color w:val="auto"/>
        </w:rPr>
      </w:pPr>
    </w:p>
    <w:p>
      <w:pPr>
        <w:ind w:left="10" w:right="100"/>
        <w:spacing w:after="0" w:line="293"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20" w:lineRule="exact"/>
        <w:rPr>
          <w:sz w:val="20"/>
          <w:szCs w:val="20"/>
          <w:color w:val="auto"/>
        </w:rPr>
      </w:pPr>
    </w:p>
    <w:p>
      <w:pPr>
        <w:ind w:left="9290"/>
        <w:spacing w:after="0" w:line="215" w:lineRule="exact"/>
        <w:rPr>
          <w:sz w:val="20"/>
          <w:szCs w:val="20"/>
          <w:color w:val="auto"/>
        </w:rPr>
      </w:pP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566420</wp:posOffset>
            </wp:positionV>
            <wp:extent cx="6497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517" w:right="8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vMerge w:val="restart"/>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INTRODUCTION</w:t>
              </w:r>
            </w:hyperlink>
          </w:p>
        </w:tc>
        <w:tc>
          <w:tcPr>
            <w:tcW w:w="7420" w:type="dxa"/>
            <w:vAlign w:val="bottom"/>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500" w:type="dxa"/>
            <w:vAlign w:val="bottom"/>
            <w:vMerge w:val="continue"/>
          </w:tcPr>
          <w:p>
            <w:pPr>
              <w:spacing w:after="0"/>
              <w:rPr>
                <w:sz w:val="19"/>
                <w:szCs w:val="19"/>
                <w:color w:val="auto"/>
              </w:rPr>
            </w:pPr>
          </w:p>
        </w:tc>
        <w:tc>
          <w:tcPr>
            <w:tcW w:w="7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50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PART</w:t>
              </w:r>
              <w:r>
                <w:rPr>
                  <w:rFonts w:ascii="Arial" w:cs="Arial" w:eastAsia="Arial" w:hAnsi="Arial"/>
                  <w:sz w:val="18"/>
                  <w:szCs w:val="18"/>
                  <w:color w:val="0000EE"/>
                </w:rPr>
                <w:t xml:space="preserve"> I</w:t>
              </w:r>
            </w:hyperlink>
          </w:p>
        </w:tc>
        <w:tc>
          <w:tcPr>
            <w:tcW w:w="7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1500" w:type="dxa"/>
            <w:vAlign w:val="bottom"/>
          </w:tcPr>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w:t>
              </w:r>
            </w:hyperlink>
          </w:p>
        </w:tc>
        <w:tc>
          <w:tcPr>
            <w:tcW w:w="742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Identity of Directors, Senior Management and Advisors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2</w:t>
              </w:r>
            </w:hyperlink>
          </w:p>
        </w:tc>
        <w:tc>
          <w:tcPr>
            <w:tcW w:w="742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Offer Statistics and Expected Timetable</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3</w:t>
              </w:r>
            </w:hyperlink>
          </w:p>
        </w:tc>
        <w:tc>
          <w:tcPr>
            <w:tcW w:w="742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Key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4</w:t>
              </w:r>
            </w:hyperlink>
          </w:p>
        </w:tc>
        <w:tc>
          <w:tcPr>
            <w:tcW w:w="742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Information on the Company</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5</w:t>
              </w:r>
            </w:hyperlink>
          </w:p>
        </w:tc>
        <w:tc>
          <w:tcPr>
            <w:tcW w:w="7420" w:type="dxa"/>
            <w:vAlign w:val="bottom"/>
          </w:tcPr>
          <w:p>
            <w:pPr>
              <w:ind w:left="1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Operating and Financial Review and Prospects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Item 6</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Directors, Senior Management and Employees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7</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Major Shareholders and Related Party Transactions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Item 8</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Financial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9</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The Offer and Listing</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Item 10</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Additional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Item 11</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1500" w:type="dxa"/>
            <w:vAlign w:val="bottom"/>
          </w:tcPr>
          <w:p>
            <w:pPr>
              <w:ind w:left="54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Item 12</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Description of Securities Other than Equity Securities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432"/>
        </w:trPr>
        <w:tc>
          <w:tcPr>
            <w:tcW w:w="150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PART II</w:t>
              </w:r>
            </w:hyperlink>
          </w:p>
        </w:tc>
        <w:tc>
          <w:tcPr>
            <w:tcW w:w="7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418"/>
        </w:trPr>
        <w:tc>
          <w:tcPr>
            <w:tcW w:w="150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13</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Defaults, Dividend Arrearages and Delinquencies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14</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Material Modifications to the Rights of Security Holders and Use of Proceeds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15</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16A.</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Audit Committee Financial Expert</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Item 16B.</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Code of Ethics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16C.</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Principal Accountant Fees and Services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Item 16D.</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Exemptions from the Listing Standards for Audit Committees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color w:val="0000EE"/>
              </w:rPr>
            </w:pPr>
            <w:hyperlink w:anchor="page135">
              <w:r>
                <w:rPr>
                  <w:rFonts w:ascii="Arial" w:cs="Arial" w:eastAsia="Arial" w:hAnsi="Arial"/>
                  <w:sz w:val="18"/>
                  <w:szCs w:val="18"/>
                  <w:u w:val="single" w:color="auto"/>
                  <w:color w:val="0000EE"/>
                </w:rPr>
                <w:t>Item 16E</w:t>
              </w:r>
              <w:r>
                <w:rPr>
                  <w:rFonts w:ascii="Arial" w:cs="Arial" w:eastAsia="Arial" w:hAnsi="Arial"/>
                  <w:sz w:val="18"/>
                  <w:szCs w:val="18"/>
                  <w:color w:val="0000EE"/>
                </w:rPr>
                <w:t>.</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Purchases of Equity Securities by the Issuer and Affiliated Purchasers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16F.</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Change in Registrant’s Certifying Accountants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16G.</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Corporate Governance</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150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16H.</w:t>
              </w:r>
            </w:hyperlink>
          </w:p>
        </w:tc>
        <w:tc>
          <w:tcPr>
            <w:tcW w:w="7420" w:type="dxa"/>
            <w:vAlign w:val="bottom"/>
          </w:tcPr>
          <w:p>
            <w:pPr>
              <w:ind w:left="38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Mine Safety Disclosure</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32"/>
        </w:trPr>
        <w:tc>
          <w:tcPr>
            <w:tcW w:w="1500" w:type="dxa"/>
            <w:vAlign w:val="bottom"/>
          </w:tcPr>
          <w:p>
            <w:pPr>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PART III</w:t>
              </w:r>
            </w:hyperlink>
          </w:p>
        </w:tc>
        <w:tc>
          <w:tcPr>
            <w:tcW w:w="7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18"/>
        </w:trPr>
        <w:tc>
          <w:tcPr>
            <w:tcW w:w="150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17.</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1500" w:type="dxa"/>
            <w:vAlign w:val="bottom"/>
          </w:tcPr>
          <w:p>
            <w:pPr>
              <w:ind w:left="54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Item 18.</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5">
              <w:r>
                <w:rPr>
                  <w:rFonts w:ascii="Arial" w:cs="Arial" w:eastAsia="Arial" w:hAnsi="Arial"/>
                  <w:sz w:val="18"/>
                  <w:szCs w:val="18"/>
                  <w:u w:val="single" w:color="auto"/>
                  <w:color w:val="0000EE"/>
                </w:rPr>
                <w:t>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1500" w:type="dxa"/>
            <w:vAlign w:val="bottom"/>
          </w:tcPr>
          <w:p>
            <w:pPr>
              <w:ind w:left="54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Item 19.</w:t>
              </w:r>
            </w:hyperlink>
          </w:p>
        </w:tc>
        <w:tc>
          <w:tcPr>
            <w:tcW w:w="7420" w:type="dxa"/>
            <w:vAlign w:val="bottom"/>
          </w:tcPr>
          <w:p>
            <w:pPr>
              <w:ind w:left="120"/>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006"/>
        </w:trPr>
        <w:tc>
          <w:tcPr>
            <w:tcW w:w="15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This annual report on Form 20-F includes our audited consolidated financial statements as of December 31, 2018 and 2019 and for the years ended December 31, 2017, 2018 and 2019. Translations in this annual report of amounts from RMB into U.S. dollars for the convenience of the reader were calculated at the noon buying rate of US$1.00: RMB6.9618 on the last trading day of 2019 (December 31, 2019) as set forth in the H.10 statistical release of the U.S. Federal Reserve Board. References to “China” and “PRC” are to the People’s Republic of China, excluding, for the purposes of this annual report only, Hong Kong, Macau and Taiwan.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right="200" w:firstLine="648"/>
        <w:spacing w:after="0" w:line="275" w:lineRule="auto"/>
        <w:rPr>
          <w:sz w:val="20"/>
          <w:szCs w:val="20"/>
          <w:color w:val="auto"/>
        </w:rPr>
      </w:pPr>
      <w:r>
        <w:rPr>
          <w:rFonts w:ascii="Arial" w:cs="Arial" w:eastAsia="Arial" w:hAnsi="Arial"/>
          <w:sz w:val="17"/>
          <w:szCs w:val="17"/>
          <w:color w:val="auto"/>
        </w:rPr>
        <w:t>This annual report on Form 20-F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The accuracy of these statements may be impacted by a number of business risks and uncertainties that could cause actual results to differ materially from those projected or anticipated, including risks related to:</w:t>
      </w:r>
    </w:p>
    <w:p>
      <w:pPr>
        <w:spacing w:after="0" w:line="176" w:lineRule="exact"/>
        <w:rPr>
          <w:sz w:val="20"/>
          <w:szCs w:val="20"/>
          <w:color w:val="auto"/>
        </w:rPr>
      </w:pPr>
    </w:p>
    <w:p>
      <w:pPr>
        <w:ind w:left="1000" w:right="120" w:hanging="317"/>
        <w:spacing w:after="0" w:line="311"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risk that the online game market, including mobile games and PC games, will not continue to grow or that we will not be able to maintain our leading position in that market, which could occur if, for example, our new online games or expansion packs and other improvements to such existing games do not become as popular as management anticipates;</w:t>
      </w:r>
    </w:p>
    <w:p>
      <w:pPr>
        <w:spacing w:after="0" w:line="148" w:lineRule="exact"/>
        <w:rPr>
          <w:rFonts w:ascii="Arial" w:cs="Arial" w:eastAsia="Arial" w:hAnsi="Arial"/>
          <w:sz w:val="16"/>
          <w:szCs w:val="16"/>
          <w:color w:val="auto"/>
        </w:rPr>
      </w:pPr>
    </w:p>
    <w:p>
      <w:pPr>
        <w:ind w:left="1000" w:right="280" w:hanging="317"/>
        <w:spacing w:after="0" w:line="30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 that we will not be successful in our product diversification efforts, including our focus on mobile games, entry into strategic licensing arrangements, and expansion of our streaming music and video offerings;</w:t>
      </w:r>
    </w:p>
    <w:p>
      <w:pPr>
        <w:spacing w:after="0" w:line="146" w:lineRule="exact"/>
        <w:rPr>
          <w:rFonts w:ascii="Arial" w:cs="Arial" w:eastAsia="Arial" w:hAnsi="Arial"/>
          <w:sz w:val="17"/>
          <w:szCs w:val="17"/>
          <w:color w:val="auto"/>
        </w:rPr>
      </w:pPr>
    </w:p>
    <w:p>
      <w:pPr>
        <w:ind w:left="1000" w:right="2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of changes in Chinese government regulation of the online game, online education, online music or e-commerce markets that limit future growth of our revenues or cause our revenues to decline;</w:t>
      </w:r>
    </w:p>
    <w:p>
      <w:pPr>
        <w:spacing w:after="0" w:line="170"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not be able to continuously develop new and creative online services or that we will not be able to set, or follow in a timely manner, trends in the market;</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will not be able to control our expenses in future periods;</w:t>
      </w:r>
    </w:p>
    <w:p>
      <w:pPr>
        <w:spacing w:after="0" w:line="225" w:lineRule="exact"/>
        <w:rPr>
          <w:rFonts w:ascii="Arial" w:cs="Arial" w:eastAsia="Arial" w:hAnsi="Arial"/>
          <w:sz w:val="18"/>
          <w:szCs w:val="18"/>
          <w:color w:val="auto"/>
        </w:rPr>
      </w:pPr>
    </w:p>
    <w:p>
      <w:pPr>
        <w:ind w:left="100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governmental uncertainties (including possible changes in the effective tax rates applicable to us and our subsidiaries and affiliates and our ability to receive and maintain approvals of the preferential tax treatments), general competition and price pressures in the marketplace;</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 and indirect impact of COVID-19 on our business;</w:t>
      </w:r>
    </w:p>
    <w:p>
      <w:pPr>
        <w:spacing w:after="0" w:line="225" w:lineRule="exact"/>
        <w:rPr>
          <w:rFonts w:ascii="Arial" w:cs="Arial" w:eastAsia="Arial" w:hAnsi="Arial"/>
          <w:sz w:val="18"/>
          <w:szCs w:val="18"/>
          <w:color w:val="auto"/>
        </w:rPr>
      </w:pPr>
    </w:p>
    <w:p>
      <w:pPr>
        <w:ind w:left="1000" w:right="16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fluctuations in the value of the Renminbi with respect to other currencies could adversely affect our business and financial results;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outlined in our filings with the Securities and Exchange Commission, or the SEC.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do not undertake any obligation to update this forward-looking information, except as required under applicable law.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Identity of Directors, Senior Management and Advisors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Key Information</w:t>
      </w:r>
    </w:p>
    <w:p>
      <w:pPr>
        <w:spacing w:after="0" w:line="225"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presents the selected consolidated financial information for our business. You should read the following information in conjunction with Item 5 “Operating and Financial Review and Prospects” below.</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September 2019, we sold our Kaola e-commerce business to Alibaba Group Holding Limited, or Alibaba. As a result, Kaola has been deconsolidated and Kaola’s historical financial results are reflected in our audited consolidated financial statements as discontinued operations accordingly. Our financial information included in this annual report refers to our continuing operations, unless otherwise specifically stated.</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data for the years ended December 31, 2017, 2018 and 2019 and as of December 31, 2018 and 2019 have been derived from our audited consolidated financial statements, which were prepared in accordance with accounting principles generally accepted in the United States, or U.S. GAAP, and should be read in conjunction with those statements, which are included in this annual report beginning on page F-1. The following data for the years ended December 31, 2015 and 2016 and as of December 31, 2015, 2016 and 2017 have been derived from our consolidated financial statements as adjusted to reflect the effects of the discontinued operations as noted above, which were prepared in accordance with U.S. GAAP and are not included in this annual report.</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Starting from January 1, 2018, we adopted Accounting Standards Codification 606, Revenue from Contracts with Customers, or ASC 606, using the modified retrospective method. The consolidated statements of operations and comprehensive income data for the years ended December 31, 2018 and 2019 presented below have been prepared in accordance with ASC 606, while the comparative information for the years ended December 31, 2015, 2016 and 2017 presented below have not been restated and continue to be reported under the accounting standards in effect for those periods. Starting from January 1, 2019, we adopted ASC 842, Leases, using the modified retrospective method. The consolidated balance sheet data as of December 31, 2019 presented below has been prepared in accordance with ASC 842, while the comparative information for those periods prior to January 1, 2019, presented below have not been restated and continue to be reported under the accounting standards in effect for those periods. The impact of adopting the new standards were not material to the consolidated financial statement. Our historical results are not necessarily indicative of results expected for future periods.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1"/>
                <w:szCs w:val="11"/>
                <w:b w:val="1"/>
                <w:bCs w:val="1"/>
                <w:color w:val="auto"/>
                <w:w w:val="87"/>
              </w:rPr>
              <w:t>For the year ended December 31,</w:t>
            </w:r>
          </w:p>
        </w:tc>
        <w:tc>
          <w:tcPr>
            <w:tcW w:w="7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76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2015</w:t>
            </w:r>
          </w:p>
        </w:tc>
        <w:tc>
          <w:tcPr>
            <w:tcW w:w="200" w:type="dxa"/>
            <w:vAlign w:val="bottom"/>
          </w:tcPr>
          <w:p>
            <w:pPr>
              <w:spacing w:after="0"/>
              <w:rPr>
                <w:sz w:val="10"/>
                <w:szCs w:val="10"/>
                <w:color w:val="auto"/>
              </w:rPr>
            </w:pPr>
          </w:p>
        </w:tc>
        <w:tc>
          <w:tcPr>
            <w:tcW w:w="76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2016</w:t>
            </w:r>
          </w:p>
        </w:tc>
        <w:tc>
          <w:tcPr>
            <w:tcW w:w="980" w:type="dxa"/>
            <w:vAlign w:val="bottom"/>
            <w:gridSpan w:val="2"/>
          </w:tcPr>
          <w:p>
            <w:pPr>
              <w:jc w:val="right"/>
              <w:ind w:right="226"/>
              <w:spacing w:after="0" w:line="115" w:lineRule="exact"/>
              <w:rPr>
                <w:sz w:val="20"/>
                <w:szCs w:val="20"/>
                <w:color w:val="auto"/>
              </w:rPr>
            </w:pPr>
            <w:r>
              <w:rPr>
                <w:rFonts w:ascii="Arial" w:cs="Arial" w:eastAsia="Arial" w:hAnsi="Arial"/>
                <w:sz w:val="11"/>
                <w:szCs w:val="11"/>
                <w:b w:val="1"/>
                <w:bCs w:val="1"/>
                <w:color w:val="auto"/>
              </w:rPr>
              <w:t>2017</w:t>
            </w:r>
          </w:p>
        </w:tc>
        <w:tc>
          <w:tcPr>
            <w:tcW w:w="180" w:type="dxa"/>
            <w:vAlign w:val="bottom"/>
          </w:tcPr>
          <w:p>
            <w:pPr>
              <w:spacing w:after="0"/>
              <w:rPr>
                <w:sz w:val="10"/>
                <w:szCs w:val="10"/>
                <w:color w:val="auto"/>
              </w:rPr>
            </w:pPr>
          </w:p>
        </w:tc>
        <w:tc>
          <w:tcPr>
            <w:tcW w:w="78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0"/>
                <w:szCs w:val="10"/>
                <w:color w:val="auto"/>
              </w:rPr>
            </w:pPr>
          </w:p>
        </w:tc>
        <w:tc>
          <w:tcPr>
            <w:tcW w:w="78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auto"/>
              </w:rPr>
              <w:t>2019</w:t>
            </w:r>
          </w:p>
        </w:tc>
        <w:tc>
          <w:tcPr>
            <w:tcW w:w="180" w:type="dxa"/>
            <w:vAlign w:val="bottom"/>
          </w:tcPr>
          <w:p>
            <w:pPr>
              <w:spacing w:after="0"/>
              <w:rPr>
                <w:sz w:val="10"/>
                <w:szCs w:val="10"/>
                <w:color w:val="auto"/>
              </w:rPr>
            </w:pPr>
          </w:p>
        </w:tc>
        <w:tc>
          <w:tcPr>
            <w:tcW w:w="820" w:type="dxa"/>
            <w:vAlign w:val="bottom"/>
          </w:tcPr>
          <w:p>
            <w:pPr>
              <w:jc w:val="right"/>
              <w:ind w:right="246"/>
              <w:spacing w:after="0" w:line="115" w:lineRule="exact"/>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760" w:type="dxa"/>
            <w:vAlign w:val="bottom"/>
            <w:tcBorders>
              <w:top w:val="single" w:sz="8" w:color="auto"/>
            </w:tcBorders>
          </w:tcPr>
          <w:p>
            <w:pPr>
              <w:jc w:val="right"/>
              <w:ind w:right="206"/>
              <w:spacing w:after="0" w:line="10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8"/>
                <w:szCs w:val="8"/>
                <w:color w:val="auto"/>
              </w:rPr>
            </w:pPr>
          </w:p>
        </w:tc>
        <w:tc>
          <w:tcPr>
            <w:tcW w:w="760" w:type="dxa"/>
            <w:vAlign w:val="bottom"/>
            <w:tcBorders>
              <w:top w:val="single" w:sz="8" w:color="auto"/>
            </w:tcBorders>
          </w:tcPr>
          <w:p>
            <w:pPr>
              <w:jc w:val="right"/>
              <w:ind w:right="206"/>
              <w:spacing w:after="0" w:line="10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8"/>
                <w:szCs w:val="8"/>
                <w:color w:val="auto"/>
              </w:rPr>
            </w:pPr>
          </w:p>
        </w:tc>
        <w:tc>
          <w:tcPr>
            <w:tcW w:w="780" w:type="dxa"/>
            <w:vAlign w:val="bottom"/>
            <w:tcBorders>
              <w:top w:val="single" w:sz="8" w:color="auto"/>
            </w:tcBorders>
          </w:tcPr>
          <w:p>
            <w:pPr>
              <w:jc w:val="right"/>
              <w:ind w:right="206"/>
              <w:spacing w:after="0" w:line="10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8"/>
                <w:szCs w:val="8"/>
                <w:color w:val="auto"/>
              </w:rPr>
            </w:pPr>
          </w:p>
        </w:tc>
        <w:tc>
          <w:tcPr>
            <w:tcW w:w="780" w:type="dxa"/>
            <w:vAlign w:val="bottom"/>
            <w:tcBorders>
              <w:top w:val="single" w:sz="8" w:color="auto"/>
            </w:tcBorders>
          </w:tcPr>
          <w:p>
            <w:pPr>
              <w:jc w:val="right"/>
              <w:ind w:right="206"/>
              <w:spacing w:after="0" w:line="10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8"/>
                <w:szCs w:val="8"/>
                <w:color w:val="auto"/>
              </w:rPr>
            </w:pPr>
          </w:p>
        </w:tc>
        <w:tc>
          <w:tcPr>
            <w:tcW w:w="780" w:type="dxa"/>
            <w:vAlign w:val="bottom"/>
            <w:tcBorders>
              <w:top w:val="single" w:sz="8" w:color="auto"/>
            </w:tcBorders>
          </w:tcPr>
          <w:p>
            <w:pPr>
              <w:jc w:val="right"/>
              <w:ind w:right="206"/>
              <w:spacing w:after="0" w:line="102" w:lineRule="exact"/>
              <w:rPr>
                <w:sz w:val="20"/>
                <w:szCs w:val="20"/>
                <w:color w:val="auto"/>
              </w:rPr>
            </w:pPr>
            <w:r>
              <w:rPr>
                <w:rFonts w:ascii="Arial" w:cs="Arial" w:eastAsia="Arial" w:hAnsi="Arial"/>
                <w:sz w:val="11"/>
                <w:szCs w:val="11"/>
                <w:b w:val="1"/>
                <w:bCs w:val="1"/>
                <w:color w:val="auto"/>
              </w:rPr>
              <w:t>RMB</w:t>
            </w:r>
          </w:p>
        </w:tc>
        <w:tc>
          <w:tcPr>
            <w:tcW w:w="180" w:type="dxa"/>
            <w:vAlign w:val="bottom"/>
          </w:tcPr>
          <w:p>
            <w:pPr>
              <w:spacing w:after="0"/>
              <w:rPr>
                <w:sz w:val="8"/>
                <w:szCs w:val="8"/>
                <w:color w:val="auto"/>
              </w:rPr>
            </w:pPr>
          </w:p>
        </w:tc>
        <w:tc>
          <w:tcPr>
            <w:tcW w:w="820" w:type="dxa"/>
            <w:vAlign w:val="bottom"/>
            <w:tcBorders>
              <w:top w:val="single" w:sz="8" w:color="auto"/>
            </w:tcBorders>
          </w:tcPr>
          <w:p>
            <w:pPr>
              <w:jc w:val="right"/>
              <w:ind w:right="266"/>
              <w:spacing w:after="0" w:line="102" w:lineRule="exact"/>
              <w:rPr>
                <w:sz w:val="20"/>
                <w:szCs w:val="20"/>
                <w:color w:val="auto"/>
              </w:rPr>
            </w:pPr>
            <w:r>
              <w:rPr>
                <w:rFonts w:ascii="Arial" w:cs="Arial" w:eastAsia="Arial" w:hAnsi="Arial"/>
                <w:sz w:val="11"/>
                <w:szCs w:val="11"/>
                <w:b w:val="1"/>
                <w:bCs w:val="1"/>
                <w:color w:val="auto"/>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40" w:type="dxa"/>
            <w:vAlign w:val="bottom"/>
            <w:gridSpan w:val="5"/>
          </w:tcPr>
          <w:p>
            <w:pPr>
              <w:jc w:val="center"/>
              <w:spacing w:after="0"/>
              <w:rPr>
                <w:sz w:val="20"/>
                <w:szCs w:val="20"/>
                <w:color w:val="auto"/>
              </w:rPr>
            </w:pPr>
            <w:r>
              <w:rPr>
                <w:rFonts w:ascii="Arial" w:cs="Arial" w:eastAsia="Arial" w:hAnsi="Arial"/>
                <w:sz w:val="11"/>
                <w:szCs w:val="11"/>
                <w:b w:val="1"/>
                <w:bCs w:val="1"/>
                <w:color w:val="auto"/>
                <w:w w:val="87"/>
              </w:rPr>
              <w:t>(in thousands, except per share/ADS data)</w:t>
            </w: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Statement of Operations and Comprehensive Income Data:</w:t>
            </w: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Total net revenues</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21,687,368</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33,994,398</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44,437,355</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51,178,575</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59,241,145</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8,509,458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Cost of revenues</w:t>
            </w:r>
          </w:p>
        </w:tc>
        <w:tc>
          <w:tcPr>
            <w:tcW w:w="9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(8,348,519)</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(12,834,252)</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(19,394,314)</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(23,832,426)</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(27,685,845)</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(3,976,823)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Gross profit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13,338,849</w:t>
            </w:r>
          </w:p>
        </w:tc>
        <w:tc>
          <w:tcPr>
            <w:tcW w:w="2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21,160,146</w:t>
            </w:r>
          </w:p>
        </w:tc>
        <w:tc>
          <w:tcPr>
            <w:tcW w:w="2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25,043,041</w:t>
            </w:r>
          </w:p>
        </w:tc>
        <w:tc>
          <w:tcPr>
            <w:tcW w:w="18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27,346,149</w:t>
            </w:r>
          </w:p>
        </w:tc>
        <w:tc>
          <w:tcPr>
            <w:tcW w:w="2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31,555,300</w:t>
            </w:r>
          </w:p>
        </w:tc>
        <w:tc>
          <w:tcPr>
            <w:tcW w:w="18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4,532,635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Operating expenses:</w:t>
            </w: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Selling and marketing expenses</w:t>
            </w:r>
          </w:p>
        </w:tc>
        <w:tc>
          <w:tcPr>
            <w:tcW w:w="9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(2,741,547)</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(3,773,593)</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(5,504,613)</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(6,911,710)</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(6,221,127)</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(893,609)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General and administrative expenses</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(1,006,265)</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(1,493,736)</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(2,381,842)</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(3,078,635)</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(3,130,298)</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(449,639)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Research and development expenses</w:t>
            </w:r>
          </w:p>
        </w:tc>
        <w:tc>
          <w:tcPr>
            <w:tcW w:w="9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(2,121,904)</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(2,920,182)</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(4,161,673)</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(7,378,460)</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(8,413,224)</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(1,208,484)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Borders>
              <w:bottom w:val="single" w:sz="8" w:color="CCEEFF"/>
            </w:tcBorders>
          </w:tcPr>
          <w:p>
            <w:pPr>
              <w:spacing w:after="0" w:line="115" w:lineRule="exact"/>
              <w:rPr>
                <w:sz w:val="20"/>
                <w:szCs w:val="20"/>
                <w:color w:val="auto"/>
              </w:rPr>
            </w:pPr>
            <w:r>
              <w:rPr>
                <w:rFonts w:ascii="Arial" w:cs="Arial" w:eastAsia="Arial" w:hAnsi="Arial"/>
                <w:sz w:val="11"/>
                <w:szCs w:val="11"/>
                <w:color w:val="auto"/>
              </w:rPr>
              <w:t>Total operating expenses</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(5,869,716)</w:t>
            </w:r>
          </w:p>
        </w:tc>
        <w:tc>
          <w:tcPr>
            <w:tcW w:w="2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(8,187,511)</w:t>
            </w:r>
          </w:p>
        </w:tc>
        <w:tc>
          <w:tcPr>
            <w:tcW w:w="2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(12,048,128)</w:t>
            </w:r>
          </w:p>
        </w:tc>
        <w:tc>
          <w:tcPr>
            <w:tcW w:w="18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(17,368,805)</w:t>
            </w:r>
          </w:p>
        </w:tc>
        <w:tc>
          <w:tcPr>
            <w:tcW w:w="200" w:type="dxa"/>
            <w:vAlign w:val="bottom"/>
            <w:tcBorders>
              <w:bottom w:val="single" w:sz="8" w:color="CCEEFF"/>
            </w:tcBorders>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(17,764,649)</w:t>
            </w:r>
          </w:p>
        </w:tc>
        <w:tc>
          <w:tcPr>
            <w:tcW w:w="180" w:type="dxa"/>
            <w:vAlign w:val="bottom"/>
            <w:tcBorders>
              <w:bottom w:val="single" w:sz="8" w:color="CCEEFF"/>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(2,551,732)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Operating profit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7,469,133</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12,972,635</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12,994,913</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9,977,344</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13,790,651</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1,980,903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income/(expenses)</w:t>
            </w: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Investment income</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62,341</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200,334</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362,113</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(22,383)</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1,306,320</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187,641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Interest income</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596,492</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540,165</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666,616</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586,671</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821,774</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118,040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tcPr>
          <w:p>
            <w:pPr>
              <w:spacing w:after="0" w:line="122" w:lineRule="exact"/>
              <w:rPr>
                <w:sz w:val="20"/>
                <w:szCs w:val="20"/>
                <w:color w:val="auto"/>
              </w:rPr>
            </w:pPr>
            <w:r>
              <w:rPr>
                <w:rFonts w:ascii="Arial" w:cs="Arial" w:eastAsia="Arial" w:hAnsi="Arial"/>
                <w:sz w:val="11"/>
                <w:szCs w:val="11"/>
                <w:color w:val="auto"/>
              </w:rPr>
              <w:t>Exchange (losses)/gains</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132,769</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157,589</w:t>
            </w:r>
          </w:p>
        </w:tc>
        <w:tc>
          <w:tcPr>
            <w:tcW w:w="9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(455,948)</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(51,799)</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25,166</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3,615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 net</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45,565</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366,927</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271,885</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586,916</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439,422</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63,119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260" w:type="dxa"/>
            <w:vAlign w:val="bottom"/>
          </w:tcPr>
          <w:p>
            <w:pPr>
              <w:spacing w:after="0" w:line="115" w:lineRule="exact"/>
              <w:rPr>
                <w:sz w:val="20"/>
                <w:szCs w:val="20"/>
                <w:color w:val="auto"/>
              </w:rPr>
            </w:pPr>
            <w:r>
              <w:rPr>
                <w:rFonts w:ascii="Arial" w:cs="Arial" w:eastAsia="Arial" w:hAnsi="Arial"/>
                <w:sz w:val="11"/>
                <w:szCs w:val="11"/>
                <w:color w:val="auto"/>
              </w:rPr>
              <w:t>Income before tax</w:t>
            </w:r>
          </w:p>
        </w:tc>
        <w:tc>
          <w:tcPr>
            <w:tcW w:w="7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8,306,300</w:t>
            </w:r>
          </w:p>
        </w:tc>
        <w:tc>
          <w:tcPr>
            <w:tcW w:w="200" w:type="dxa"/>
            <w:vAlign w:val="bottom"/>
          </w:tcPr>
          <w:p>
            <w:pPr>
              <w:spacing w:after="0"/>
              <w:rPr>
                <w:sz w:val="10"/>
                <w:szCs w:val="10"/>
                <w:color w:val="auto"/>
              </w:rPr>
            </w:pPr>
          </w:p>
        </w:tc>
        <w:tc>
          <w:tcPr>
            <w:tcW w:w="7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14,237,650</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13,839,579</w:t>
            </w:r>
          </w:p>
        </w:tc>
        <w:tc>
          <w:tcPr>
            <w:tcW w:w="180" w:type="dxa"/>
            <w:vAlign w:val="bottom"/>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11,076,749</w:t>
            </w:r>
          </w:p>
        </w:tc>
        <w:tc>
          <w:tcPr>
            <w:tcW w:w="200" w:type="dxa"/>
            <w:vAlign w:val="bottom"/>
          </w:tcPr>
          <w:p>
            <w:pPr>
              <w:spacing w:after="0"/>
              <w:rPr>
                <w:sz w:val="10"/>
                <w:szCs w:val="10"/>
                <w:color w:val="auto"/>
              </w:rPr>
            </w:pPr>
          </w:p>
        </w:tc>
        <w:tc>
          <w:tcPr>
            <w:tcW w:w="7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16,383,333</w:t>
            </w:r>
          </w:p>
        </w:tc>
        <w:tc>
          <w:tcPr>
            <w:tcW w:w="180" w:type="dxa"/>
            <w:vAlign w:val="bottom"/>
          </w:tcPr>
          <w:p>
            <w:pPr>
              <w:spacing w:after="0"/>
              <w:rPr>
                <w:sz w:val="10"/>
                <w:szCs w:val="10"/>
                <w:color w:val="auto"/>
              </w:rPr>
            </w:pPr>
          </w:p>
        </w:tc>
        <w:tc>
          <w:tcPr>
            <w:tcW w:w="8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color w:val="auto"/>
              </w:rPr>
              <w:t>2,353,318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Income tax</w:t>
            </w:r>
          </w:p>
        </w:tc>
        <w:tc>
          <w:tcPr>
            <w:tcW w:w="96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(1,260,903)</w:t>
            </w:r>
          </w:p>
        </w:tc>
        <w:tc>
          <w:tcPr>
            <w:tcW w:w="7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(2,102,278)</w:t>
            </w:r>
          </w:p>
        </w:tc>
        <w:tc>
          <w:tcPr>
            <w:tcW w:w="9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(2,155,988)</w:t>
            </w: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(2,460,650)</w:t>
            </w: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(2,914,726)</w:t>
            </w: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(418,674)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Net income from continuing operations</w:t>
      </w:r>
    </w:p>
    <w:p>
      <w:pPr>
        <w:spacing w:after="0" w:line="236" w:lineRule="auto"/>
        <w:rPr>
          <w:sz w:val="20"/>
          <w:szCs w:val="20"/>
          <w:color w:val="auto"/>
        </w:rPr>
      </w:pPr>
      <w:r>
        <w:rPr>
          <w:rFonts w:ascii="Arial" w:cs="Arial" w:eastAsia="Arial" w:hAnsi="Arial"/>
          <w:sz w:val="11"/>
          <w:szCs w:val="11"/>
          <w:color w:val="auto"/>
        </w:rPr>
        <w:t>Net (loss)/income from discontinued operations</w:t>
      </w:r>
    </w:p>
    <w:p>
      <w:pPr>
        <w:spacing w:after="0"/>
        <w:rPr>
          <w:sz w:val="20"/>
          <w:szCs w:val="20"/>
          <w:color w:val="auto"/>
        </w:rPr>
      </w:pPr>
      <w:r>
        <w:rPr>
          <w:rFonts w:ascii="Arial" w:cs="Arial" w:eastAsia="Arial" w:hAnsi="Arial"/>
          <w:sz w:val="11"/>
          <w:szCs w:val="11"/>
          <w:color w:val="auto"/>
        </w:rPr>
        <w:t>Net income</w:t>
      </w:r>
    </w:p>
    <w:p>
      <w:pPr>
        <w:spacing w:after="0" w:line="109" w:lineRule="exact"/>
        <w:rPr>
          <w:sz w:val="20"/>
          <w:szCs w:val="20"/>
          <w:color w:val="auto"/>
        </w:rPr>
      </w:pPr>
    </w:p>
    <w:p>
      <w:pPr>
        <w:ind w:right="300"/>
        <w:spacing w:after="0" w:line="238" w:lineRule="auto"/>
        <w:rPr>
          <w:sz w:val="20"/>
          <w:szCs w:val="20"/>
          <w:color w:val="auto"/>
        </w:rPr>
      </w:pPr>
      <w:r>
        <w:rPr>
          <w:rFonts w:ascii="Arial" w:cs="Arial" w:eastAsia="Arial" w:hAnsi="Arial"/>
          <w:sz w:val="11"/>
          <w:szCs w:val="11"/>
          <w:color w:val="auto"/>
        </w:rPr>
        <w:t>Add: Accretion and deemed dividends in connection with repurchase of redeemable noncontrolling interests</w:t>
      </w:r>
    </w:p>
    <w:p>
      <w:pPr>
        <w:spacing w:after="0" w:line="236" w:lineRule="auto"/>
        <w:rPr>
          <w:sz w:val="20"/>
          <w:szCs w:val="20"/>
          <w:color w:val="auto"/>
        </w:rPr>
      </w:pPr>
      <w:r>
        <w:rPr>
          <w:rFonts w:ascii="Arial" w:cs="Arial" w:eastAsia="Arial" w:hAnsi="Arial"/>
          <w:sz w:val="11"/>
          <w:szCs w:val="11"/>
          <w:color w:val="auto"/>
        </w:rPr>
        <w:t>Net income attributable to noncontrolling interests and redeemable noncontrolling interests Net income attributable to NetEase, Inc.’s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Including:</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Net income from continuing operations attributable to NetEase, Inc.'s shareholders</w:t>
      </w:r>
    </w:p>
    <w:p>
      <w:pPr>
        <w:spacing w:after="0" w:line="7" w:lineRule="exact"/>
        <w:rPr>
          <w:sz w:val="20"/>
          <w:szCs w:val="20"/>
          <w:color w:val="auto"/>
        </w:rPr>
      </w:pPr>
    </w:p>
    <w:p>
      <w:pPr>
        <w:spacing w:after="0"/>
        <w:rPr>
          <w:sz w:val="20"/>
          <w:szCs w:val="20"/>
          <w:color w:val="auto"/>
        </w:rPr>
      </w:pPr>
      <w:r>
        <w:rPr>
          <w:rFonts w:ascii="Arial" w:cs="Arial" w:eastAsia="Arial" w:hAnsi="Arial"/>
          <w:sz w:val="9"/>
          <w:szCs w:val="9"/>
          <w:color w:val="auto"/>
        </w:rPr>
        <w:t>Net (loss)/income from discontinued operations attributable to NetEase, Inc.'s shareholders</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per share, basic</w:t>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-Continuing operations</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-Discontinued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per ADS, basic</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-Discontinued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per share, diluted</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-Discontinued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Net income/ (loss) per ADS, diluted</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-Continuing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-Discontinued operations</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number of ordinary shares outstanding, basic</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number of ADS outstanding, basic</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number of ordinary shares outstanding, diluted</w:t>
      </w:r>
    </w:p>
    <w:p>
      <w:pPr>
        <w:spacing w:after="0" w:line="36" w:lineRule="exact"/>
        <w:rPr>
          <w:sz w:val="20"/>
          <w:szCs w:val="20"/>
          <w:color w:val="auto"/>
        </w:rPr>
      </w:pPr>
    </w:p>
    <w:p>
      <w:pPr>
        <w:spacing w:after="0"/>
        <w:rPr>
          <w:sz w:val="20"/>
          <w:szCs w:val="20"/>
          <w:color w:val="auto"/>
        </w:rPr>
      </w:pPr>
      <w:r>
        <w:rPr>
          <w:rFonts w:ascii="Arial" w:cs="Arial" w:eastAsia="Arial" w:hAnsi="Arial"/>
          <w:sz w:val="11"/>
          <w:szCs w:val="11"/>
          <w:color w:val="auto"/>
        </w:rPr>
        <w:t>Weighted average number of ADS outstanding, diluted</w:t>
      </w:r>
    </w:p>
    <w:p>
      <w:pPr>
        <w:spacing w:after="0" w:line="184" w:lineRule="exact"/>
        <w:rPr>
          <w:sz w:val="20"/>
          <w:szCs w:val="20"/>
          <w:color w:val="auto"/>
        </w:rPr>
      </w:pPr>
    </w:p>
    <w:p>
      <w:pPr>
        <w:spacing w:after="0"/>
        <w:rPr>
          <w:sz w:val="20"/>
          <w:szCs w:val="20"/>
          <w:color w:val="auto"/>
        </w:rPr>
      </w:pPr>
      <w:r>
        <w:rPr>
          <w:rFonts w:ascii="Arial" w:cs="Arial" w:eastAsia="Arial" w:hAnsi="Arial"/>
          <w:sz w:val="11"/>
          <w:szCs w:val="11"/>
          <w:color w:val="auto"/>
        </w:rPr>
        <w:t>Share-based compensation cost included in:</w:t>
      </w:r>
    </w:p>
    <w:p>
      <w:pPr>
        <w:spacing w:after="0" w:line="236" w:lineRule="auto"/>
        <w:rPr>
          <w:sz w:val="20"/>
          <w:szCs w:val="20"/>
          <w:color w:val="auto"/>
        </w:rPr>
      </w:pPr>
      <w:r>
        <w:rPr>
          <w:rFonts w:ascii="Arial" w:cs="Arial" w:eastAsia="Arial" w:hAnsi="Arial"/>
          <w:sz w:val="11"/>
          <w:szCs w:val="11"/>
          <w:color w:val="auto"/>
        </w:rPr>
        <w:t>Cost of revenues</w:t>
      </w:r>
    </w:p>
    <w:p>
      <w:pPr>
        <w:spacing w:after="0" w:line="230" w:lineRule="auto"/>
        <w:rPr>
          <w:sz w:val="20"/>
          <w:szCs w:val="20"/>
          <w:color w:val="auto"/>
        </w:rPr>
      </w:pPr>
      <w:r>
        <w:rPr>
          <w:rFonts w:ascii="Arial" w:cs="Arial" w:eastAsia="Arial" w:hAnsi="Arial"/>
          <w:sz w:val="11"/>
          <w:szCs w:val="11"/>
          <w:color w:val="auto"/>
        </w:rPr>
        <w:t>Selling and marketing expenses</w:t>
      </w:r>
    </w:p>
    <w:p>
      <w:pPr>
        <w:spacing w:after="0" w:line="231" w:lineRule="auto"/>
        <w:rPr>
          <w:sz w:val="20"/>
          <w:szCs w:val="20"/>
          <w:color w:val="auto"/>
        </w:rPr>
      </w:pPr>
      <w:r>
        <w:rPr>
          <w:rFonts w:ascii="Arial" w:cs="Arial" w:eastAsia="Arial" w:hAnsi="Arial"/>
          <w:sz w:val="11"/>
          <w:szCs w:val="11"/>
          <w:color w:val="auto"/>
        </w:rPr>
        <w:t>General and administrative expenses</w:t>
      </w:r>
    </w:p>
    <w:p>
      <w:pPr>
        <w:spacing w:after="0"/>
        <w:rPr>
          <w:sz w:val="20"/>
          <w:szCs w:val="20"/>
          <w:color w:val="auto"/>
        </w:rPr>
      </w:pPr>
      <w:r>
        <w:rPr>
          <w:rFonts w:ascii="Arial" w:cs="Arial" w:eastAsia="Arial" w:hAnsi="Arial"/>
          <w:sz w:val="11"/>
          <w:szCs w:val="11"/>
          <w:color w:val="auto"/>
        </w:rPr>
        <w:t>Research and development expenses</w:t>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Other Financial Data:</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Capital expenditures</w:t>
      </w:r>
    </w:p>
    <w:p>
      <w:pPr>
        <w:spacing w:after="0" w:line="236" w:lineRule="auto"/>
        <w:rPr>
          <w:sz w:val="20"/>
          <w:szCs w:val="20"/>
          <w:color w:val="auto"/>
        </w:rPr>
      </w:pPr>
      <w:r>
        <w:rPr>
          <w:rFonts w:ascii="Arial" w:cs="Arial" w:eastAsia="Arial" w:hAnsi="Arial"/>
          <w:sz w:val="11"/>
          <w:szCs w:val="11"/>
          <w:color w:val="auto"/>
        </w:rPr>
        <w:t>Net cash provided by/(used in):</w:t>
      </w:r>
    </w:p>
    <w:p>
      <w:pPr>
        <w:spacing w:after="0" w:line="230" w:lineRule="auto"/>
        <w:rPr>
          <w:sz w:val="20"/>
          <w:szCs w:val="20"/>
          <w:color w:val="auto"/>
        </w:rPr>
      </w:pPr>
      <w:r>
        <w:rPr>
          <w:rFonts w:ascii="Arial" w:cs="Arial" w:eastAsia="Arial" w:hAnsi="Arial"/>
          <w:sz w:val="11"/>
          <w:szCs w:val="11"/>
          <w:color w:val="auto"/>
        </w:rPr>
        <w:t>Operating activities</w:t>
      </w:r>
    </w:p>
    <w:p>
      <w:pPr>
        <w:spacing w:after="0" w:line="231" w:lineRule="auto"/>
        <w:rPr>
          <w:sz w:val="20"/>
          <w:szCs w:val="20"/>
          <w:color w:val="auto"/>
        </w:rPr>
      </w:pPr>
      <w:r>
        <w:rPr>
          <w:rFonts w:ascii="Arial" w:cs="Arial" w:eastAsia="Arial" w:hAnsi="Arial"/>
          <w:sz w:val="11"/>
          <w:szCs w:val="11"/>
          <w:color w:val="auto"/>
        </w:rPr>
        <w:t>-Continuing operating activities</w:t>
      </w:r>
    </w:p>
    <w:p>
      <w:pPr>
        <w:spacing w:after="0" w:line="230" w:lineRule="auto"/>
        <w:rPr>
          <w:sz w:val="20"/>
          <w:szCs w:val="20"/>
          <w:color w:val="auto"/>
        </w:rPr>
      </w:pPr>
      <w:r>
        <w:rPr>
          <w:rFonts w:ascii="Arial" w:cs="Arial" w:eastAsia="Arial" w:hAnsi="Arial"/>
          <w:sz w:val="11"/>
          <w:szCs w:val="11"/>
          <w:color w:val="auto"/>
        </w:rPr>
        <w:t>-Discontinued operating activities</w:t>
      </w:r>
    </w:p>
    <w:p>
      <w:pPr>
        <w:spacing w:after="0" w:line="231" w:lineRule="auto"/>
        <w:rPr>
          <w:sz w:val="20"/>
          <w:szCs w:val="20"/>
          <w:color w:val="auto"/>
        </w:rPr>
      </w:pPr>
      <w:r>
        <w:rPr>
          <w:rFonts w:ascii="Arial" w:cs="Arial" w:eastAsia="Arial" w:hAnsi="Arial"/>
          <w:sz w:val="11"/>
          <w:szCs w:val="11"/>
          <w:color w:val="auto"/>
        </w:rPr>
        <w:t>Investing activities</w:t>
      </w:r>
    </w:p>
    <w:p>
      <w:pPr>
        <w:spacing w:after="0" w:line="230" w:lineRule="auto"/>
        <w:rPr>
          <w:sz w:val="20"/>
          <w:szCs w:val="20"/>
          <w:color w:val="auto"/>
        </w:rPr>
      </w:pPr>
      <w:r>
        <w:rPr>
          <w:rFonts w:ascii="Arial" w:cs="Arial" w:eastAsia="Arial" w:hAnsi="Arial"/>
          <w:sz w:val="11"/>
          <w:szCs w:val="11"/>
          <w:color w:val="auto"/>
        </w:rPr>
        <w:t>-Continuing investing activities</w:t>
      </w:r>
    </w:p>
    <w:p>
      <w:pPr>
        <w:spacing w:after="0" w:line="231" w:lineRule="auto"/>
        <w:rPr>
          <w:sz w:val="20"/>
          <w:szCs w:val="20"/>
          <w:color w:val="auto"/>
        </w:rPr>
      </w:pPr>
      <w:r>
        <w:rPr>
          <w:rFonts w:ascii="Arial" w:cs="Arial" w:eastAsia="Arial" w:hAnsi="Arial"/>
          <w:sz w:val="11"/>
          <w:szCs w:val="11"/>
          <w:color w:val="auto"/>
        </w:rPr>
        <w:t>-Discontinued investing activities</w:t>
      </w:r>
    </w:p>
    <w:p>
      <w:pPr>
        <w:spacing w:after="0"/>
        <w:rPr>
          <w:sz w:val="20"/>
          <w:szCs w:val="20"/>
          <w:color w:val="auto"/>
        </w:rPr>
      </w:pPr>
      <w:r>
        <w:rPr>
          <w:rFonts w:ascii="Arial" w:cs="Arial" w:eastAsia="Arial" w:hAnsi="Arial"/>
          <w:sz w:val="11"/>
          <w:szCs w:val="11"/>
          <w:color w:val="auto"/>
        </w:rPr>
        <w:t>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jc w:val="right"/>
              <w:spacing w:after="0"/>
              <w:rPr>
                <w:sz w:val="20"/>
                <w:szCs w:val="20"/>
                <w:color w:val="auto"/>
              </w:rPr>
            </w:pPr>
            <w:r>
              <w:rPr>
                <w:rFonts w:ascii="Arial" w:cs="Arial" w:eastAsia="Arial" w:hAnsi="Arial"/>
                <w:sz w:val="11"/>
                <w:szCs w:val="11"/>
                <w:color w:val="auto"/>
              </w:rPr>
              <w:t>7,045,397</w:t>
            </w:r>
          </w:p>
        </w:tc>
        <w:tc>
          <w:tcPr>
            <w:tcW w:w="2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12,135,372</w:t>
            </w: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11,683,591</w:t>
            </w:r>
          </w:p>
        </w:tc>
        <w:tc>
          <w:tcPr>
            <w:tcW w:w="18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8,616,099</w:t>
            </w:r>
          </w:p>
        </w:tc>
        <w:tc>
          <w:tcPr>
            <w:tcW w:w="2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13,468,607</w:t>
            </w:r>
          </w:p>
        </w:tc>
        <w:tc>
          <w:tcPr>
            <w:tcW w:w="18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1,934,644</w:t>
            </w:r>
          </w:p>
        </w:tc>
      </w:tr>
      <w:tr>
        <w:trPr>
          <w:trHeight w:val="122"/>
        </w:trPr>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(208,497)</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(342,509)</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(834,454)</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(2,138,682)</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7,962,519</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1,143,744</w:t>
            </w:r>
          </w:p>
        </w:tc>
      </w:tr>
      <w:tr>
        <w:trPr>
          <w:trHeight w:val="136"/>
        </w:trPr>
        <w:tc>
          <w:tcPr>
            <w:tcW w:w="760" w:type="dxa"/>
            <w:vAlign w:val="bottom"/>
          </w:tcPr>
          <w:p>
            <w:pPr>
              <w:jc w:val="right"/>
              <w:spacing w:after="0"/>
              <w:rPr>
                <w:sz w:val="20"/>
                <w:szCs w:val="20"/>
                <w:color w:val="auto"/>
              </w:rPr>
            </w:pPr>
            <w:r>
              <w:rPr>
                <w:rFonts w:ascii="Arial" w:cs="Arial" w:eastAsia="Arial" w:hAnsi="Arial"/>
                <w:sz w:val="11"/>
                <w:szCs w:val="11"/>
                <w:color w:val="auto"/>
              </w:rPr>
              <w:t>6,836,900</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11,792,863</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10,849,137</w:t>
            </w: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6,477,417</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21,431,126</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3,078,388</w:t>
            </w:r>
          </w:p>
        </w:tc>
      </w:tr>
      <w:tr>
        <w:trPr>
          <w:trHeight w:val="350"/>
        </w:trPr>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(248,098)</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(271,543)</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(39,005)</w:t>
            </w:r>
          </w:p>
        </w:tc>
      </w:tr>
      <w:tr>
        <w:trPr>
          <w:trHeight w:val="131"/>
        </w:trPr>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(101,792)</w:t>
            </w:r>
          </w:p>
        </w:tc>
        <w:tc>
          <w:tcPr>
            <w:tcW w:w="760" w:type="dxa"/>
            <w:vAlign w:val="bottom"/>
          </w:tcPr>
          <w:p>
            <w:pPr>
              <w:jc w:val="right"/>
              <w:spacing w:after="0"/>
              <w:rPr>
                <w:sz w:val="20"/>
                <w:szCs w:val="20"/>
                <w:color w:val="auto"/>
              </w:rPr>
            </w:pPr>
            <w:r>
              <w:rPr>
                <w:rFonts w:ascii="Arial" w:cs="Arial" w:eastAsia="Arial" w:hAnsi="Arial"/>
                <w:sz w:val="11"/>
                <w:szCs w:val="11"/>
                <w:color w:val="auto"/>
              </w:rPr>
              <w:t>(188,343)</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(141,198)</w:t>
            </w: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(76,912)</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77,933</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11,194</w:t>
            </w:r>
          </w:p>
        </w:tc>
      </w:tr>
      <w:tr>
        <w:trPr>
          <w:trHeight w:val="115"/>
        </w:trPr>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6,735,108</w:t>
            </w:r>
          </w:p>
        </w:tc>
        <w:tc>
          <w:tcPr>
            <w:tcW w:w="20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11,604,520</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10,707,939</w:t>
            </w:r>
          </w:p>
        </w:tc>
        <w:tc>
          <w:tcPr>
            <w:tcW w:w="18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6,152,407</w:t>
            </w:r>
          </w:p>
        </w:tc>
        <w:tc>
          <w:tcPr>
            <w:tcW w:w="200" w:type="dxa"/>
            <w:vAlign w:val="bottom"/>
          </w:tcPr>
          <w:p>
            <w:pPr>
              <w:spacing w:after="0"/>
              <w:rPr>
                <w:sz w:val="10"/>
                <w:szCs w:val="10"/>
                <w:color w:val="auto"/>
              </w:rPr>
            </w:pP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21,237,516</w:t>
            </w:r>
          </w:p>
        </w:tc>
        <w:tc>
          <w:tcPr>
            <w:tcW w:w="180" w:type="dxa"/>
            <w:vAlign w:val="bottom"/>
          </w:tcPr>
          <w:p>
            <w:pPr>
              <w:spacing w:after="0"/>
              <w:rPr>
                <w:sz w:val="10"/>
                <w:szCs w:val="10"/>
                <w:color w:val="auto"/>
              </w:rPr>
            </w:pP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3,050,577</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45"/>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6,943,605</w:t>
            </w:r>
          </w:p>
        </w:tc>
        <w:tc>
          <w:tcPr>
            <w:tcW w:w="20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11,947,029</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11,542,393</w:t>
            </w:r>
          </w:p>
        </w:tc>
        <w:tc>
          <w:tcPr>
            <w:tcW w:w="1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8,291,089</w:t>
            </w:r>
          </w:p>
        </w:tc>
        <w:tc>
          <w:tcPr>
            <w:tcW w:w="2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13,274,997</w:t>
            </w:r>
          </w:p>
        </w:tc>
        <w:tc>
          <w:tcPr>
            <w:tcW w:w="18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1,906,833</w:t>
            </w:r>
          </w:p>
        </w:tc>
      </w:tr>
      <w:tr>
        <w:trPr>
          <w:trHeight w:val="130"/>
        </w:trPr>
        <w:tc>
          <w:tcPr>
            <w:tcW w:w="760" w:type="dxa"/>
            <w:vAlign w:val="bottom"/>
          </w:tcPr>
          <w:p>
            <w:pPr>
              <w:jc w:val="right"/>
              <w:spacing w:after="0"/>
              <w:rPr>
                <w:sz w:val="20"/>
                <w:szCs w:val="20"/>
                <w:color w:val="auto"/>
              </w:rPr>
            </w:pPr>
            <w:r>
              <w:rPr>
                <w:rFonts w:ascii="Arial" w:cs="Arial" w:eastAsia="Arial" w:hAnsi="Arial"/>
                <w:sz w:val="11"/>
                <w:szCs w:val="11"/>
                <w:color w:val="auto"/>
              </w:rPr>
              <w:t>(208,497)</w:t>
            </w:r>
          </w:p>
        </w:tc>
        <w:tc>
          <w:tcPr>
            <w:tcW w:w="20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(342,509)</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(834,454)</w:t>
            </w: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(2,138,682)</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7,962,519</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1,143,744</w:t>
            </w:r>
          </w:p>
        </w:tc>
      </w:tr>
      <w:tr>
        <w:trPr>
          <w:trHeight w:val="228"/>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3.25</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6.59</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0.95</w:t>
            </w:r>
          </w:p>
        </w:tc>
      </w:tr>
      <w:tr>
        <w:trPr>
          <w:trHeight w:val="155"/>
        </w:trPr>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2.11</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3.64</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3.51</w:t>
            </w:r>
          </w:p>
        </w:tc>
        <w:tc>
          <w:tcPr>
            <w:tcW w:w="18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2.56</w:t>
            </w:r>
          </w:p>
        </w:tc>
        <w:tc>
          <w:tcPr>
            <w:tcW w:w="20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4.12</w:t>
            </w:r>
          </w:p>
        </w:tc>
        <w:tc>
          <w:tcPr>
            <w:tcW w:w="18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0.59</w:t>
            </w: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(0.06)</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(0.10)</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(0.26)</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(0.66)</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2.47</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0.36</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51.27</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88.40</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81.36</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47.54</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164.86</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23.68</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52.85</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91.01</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87.70</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64.07</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103.05</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14.80</w:t>
            </w:r>
          </w:p>
        </w:tc>
      </w:tr>
      <w:tr>
        <w:trPr>
          <w:trHeight w:val="20"/>
        </w:trPr>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02"/>
        </w:trPr>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(1.58)</w:t>
            </w:r>
          </w:p>
        </w:tc>
        <w:tc>
          <w:tcPr>
            <w:tcW w:w="20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(2.61)</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(6.34)</w:t>
            </w:r>
          </w:p>
        </w:tc>
        <w:tc>
          <w:tcPr>
            <w:tcW w:w="18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(16.53)</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61.81</w:t>
            </w:r>
          </w:p>
        </w:tc>
        <w:tc>
          <w:tcPr>
            <w:tcW w:w="18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8.88</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2.04</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3.51</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3.23</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1.89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6.53</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0.94</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2.10</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3.61</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3.48</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2.55</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4.08</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0.59</w:t>
            </w:r>
          </w:p>
        </w:tc>
      </w:tr>
      <w:tr>
        <w:trPr>
          <w:trHeight w:val="20"/>
        </w:trPr>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02"/>
        </w:trPr>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(0.06)</w:t>
            </w:r>
          </w:p>
        </w:tc>
        <w:tc>
          <w:tcPr>
            <w:tcW w:w="20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(0.10)</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(0.25)</w:t>
            </w:r>
          </w:p>
        </w:tc>
        <w:tc>
          <w:tcPr>
            <w:tcW w:w="18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(0.66)</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2.45</w:t>
            </w:r>
          </w:p>
        </w:tc>
        <w:tc>
          <w:tcPr>
            <w:tcW w:w="18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0.35</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50.94</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87.72</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80.74</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47.26</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163.37</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23.47</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52.52</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90.31</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87.03</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63.69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102.12</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14.67</w:t>
            </w:r>
          </w:p>
        </w:tc>
      </w:tr>
      <w:tr>
        <w:trPr>
          <w:trHeight w:val="20"/>
        </w:trPr>
        <w:tc>
          <w:tcPr>
            <w:tcW w:w="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02"/>
        </w:trPr>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(1.58)</w:t>
            </w:r>
          </w:p>
        </w:tc>
        <w:tc>
          <w:tcPr>
            <w:tcW w:w="200" w:type="dxa"/>
            <w:vAlign w:val="bottom"/>
          </w:tcPr>
          <w:p>
            <w:pPr>
              <w:spacing w:after="0"/>
              <w:rPr>
                <w:sz w:val="8"/>
                <w:szCs w:val="8"/>
                <w:color w:val="auto"/>
              </w:rPr>
            </w:pPr>
          </w:p>
        </w:tc>
        <w:tc>
          <w:tcPr>
            <w:tcW w:w="76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(2.59)</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(6.29)</w:t>
            </w:r>
          </w:p>
        </w:tc>
        <w:tc>
          <w:tcPr>
            <w:tcW w:w="18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(16.43)</w:t>
            </w:r>
          </w:p>
        </w:tc>
        <w:tc>
          <w:tcPr>
            <w:tcW w:w="20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61.25</w:t>
            </w:r>
          </w:p>
        </w:tc>
        <w:tc>
          <w:tcPr>
            <w:tcW w:w="18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8.80</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3,284,382</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3,281,729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3,290,312</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3,235,324</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3,220,473</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3,220,473</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131,375</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131,269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131,612</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129,413</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128,819</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128,819</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3,305,213</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3,307,109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3,315,478</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3,254,689</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3,249,972</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3,249,972</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02"/>
        </w:trPr>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132,209</w:t>
            </w:r>
          </w:p>
        </w:tc>
        <w:tc>
          <w:tcPr>
            <w:tcW w:w="200" w:type="dxa"/>
            <w:vAlign w:val="bottom"/>
          </w:tcPr>
          <w:p>
            <w:pPr>
              <w:spacing w:after="0"/>
              <w:rPr>
                <w:sz w:val="8"/>
                <w:szCs w:val="8"/>
                <w:color w:val="auto"/>
              </w:rPr>
            </w:pPr>
          </w:p>
        </w:tc>
        <w:tc>
          <w:tcPr>
            <w:tcW w:w="76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132,284</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132,619</w:t>
            </w:r>
          </w:p>
        </w:tc>
        <w:tc>
          <w:tcPr>
            <w:tcW w:w="18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130,188</w:t>
            </w:r>
          </w:p>
        </w:tc>
        <w:tc>
          <w:tcPr>
            <w:tcW w:w="200" w:type="dxa"/>
            <w:vAlign w:val="bottom"/>
          </w:tcPr>
          <w:p>
            <w:pPr>
              <w:spacing w:after="0"/>
              <w:rPr>
                <w:sz w:val="8"/>
                <w:szCs w:val="8"/>
                <w:color w:val="auto"/>
              </w:rPr>
            </w:pPr>
          </w:p>
        </w:tc>
        <w:tc>
          <w:tcPr>
            <w:tcW w:w="78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129,999</w:t>
            </w:r>
          </w:p>
        </w:tc>
        <w:tc>
          <w:tcPr>
            <w:tcW w:w="180" w:type="dxa"/>
            <w:vAlign w:val="bottom"/>
          </w:tcPr>
          <w:p>
            <w:pPr>
              <w:spacing w:after="0"/>
              <w:rPr>
                <w:sz w:val="8"/>
                <w:szCs w:val="8"/>
                <w:color w:val="auto"/>
              </w:rPr>
            </w:pPr>
          </w:p>
        </w:tc>
        <w:tc>
          <w:tcPr>
            <w:tcW w:w="820" w:type="dxa"/>
            <w:vAlign w:val="bottom"/>
            <w:tcBorders>
              <w:bottom w:val="single" w:sz="8" w:color="auto"/>
            </w:tcBorders>
          </w:tcPr>
          <w:p>
            <w:pPr>
              <w:jc w:val="right"/>
              <w:spacing w:after="0" w:line="102" w:lineRule="exact"/>
              <w:rPr>
                <w:sz w:val="20"/>
                <w:szCs w:val="20"/>
                <w:color w:val="auto"/>
              </w:rPr>
            </w:pPr>
            <w:r>
              <w:rPr>
                <w:rFonts w:ascii="Arial" w:cs="Arial" w:eastAsia="Arial" w:hAnsi="Arial"/>
                <w:sz w:val="11"/>
                <w:szCs w:val="11"/>
                <w:color w:val="auto"/>
              </w:rPr>
              <w:t>129,999</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35"/>
        </w:trPr>
        <w:tc>
          <w:tcPr>
            <w:tcW w:w="760" w:type="dxa"/>
            <w:vAlign w:val="bottom"/>
          </w:tcPr>
          <w:p>
            <w:pPr>
              <w:jc w:val="right"/>
              <w:spacing w:after="0"/>
              <w:rPr>
                <w:sz w:val="20"/>
                <w:szCs w:val="20"/>
                <w:color w:val="auto"/>
              </w:rPr>
            </w:pPr>
            <w:r>
              <w:rPr>
                <w:rFonts w:ascii="Arial" w:cs="Arial" w:eastAsia="Arial" w:hAnsi="Arial"/>
                <w:sz w:val="11"/>
                <w:szCs w:val="11"/>
                <w:color w:val="auto"/>
              </w:rPr>
              <w:t>327,778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443,530</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818,101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757,341</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758,810</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108,996</w:t>
            </w:r>
          </w:p>
        </w:tc>
      </w:tr>
      <w:tr>
        <w:trPr>
          <w:trHeight w:val="122"/>
        </w:trPr>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35,392</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51,220</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90,271</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102,638</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84,920</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12,198</w:t>
            </w:r>
          </w:p>
        </w:tc>
      </w:tr>
      <w:tr>
        <w:trPr>
          <w:trHeight w:val="121"/>
        </w:trPr>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119,015</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236,361</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576,629</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787,200</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797,120</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114,499</w:t>
            </w:r>
          </w:p>
        </w:tc>
      </w:tr>
      <w:tr>
        <w:trPr>
          <w:trHeight w:val="131"/>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195,578</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251,608</w:t>
            </w:r>
          </w:p>
        </w:tc>
        <w:tc>
          <w:tcPr>
            <w:tcW w:w="20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499,850</w:t>
            </w:r>
          </w:p>
        </w:tc>
        <w:tc>
          <w:tcPr>
            <w:tcW w:w="1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824,552</w:t>
            </w:r>
          </w:p>
        </w:tc>
        <w:tc>
          <w:tcPr>
            <w:tcW w:w="20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763,239</w:t>
            </w:r>
          </w:p>
        </w:tc>
        <w:tc>
          <w:tcPr>
            <w:tcW w:w="180" w:type="dxa"/>
            <w:vAlign w:val="bottom"/>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109,633</w:t>
            </w:r>
          </w:p>
        </w:tc>
      </w:tr>
      <w:tr>
        <w:trPr>
          <w:trHeight w:val="115"/>
        </w:trPr>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677,763</w:t>
            </w:r>
          </w:p>
        </w:tc>
        <w:tc>
          <w:tcPr>
            <w:tcW w:w="20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982,719</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1,984,851</w:t>
            </w:r>
          </w:p>
        </w:tc>
        <w:tc>
          <w:tcPr>
            <w:tcW w:w="18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2,471,731</w:t>
            </w:r>
          </w:p>
        </w:tc>
        <w:tc>
          <w:tcPr>
            <w:tcW w:w="20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2,404,089</w:t>
            </w:r>
          </w:p>
        </w:tc>
        <w:tc>
          <w:tcPr>
            <w:tcW w:w="180" w:type="dxa"/>
            <w:vAlign w:val="bottom"/>
          </w:tcPr>
          <w:p>
            <w:pPr>
              <w:spacing w:after="0"/>
              <w:rPr>
                <w:sz w:val="10"/>
                <w:szCs w:val="10"/>
                <w:color w:val="auto"/>
              </w:rPr>
            </w:pPr>
          </w:p>
        </w:tc>
        <w:tc>
          <w:tcPr>
            <w:tcW w:w="8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345,326</w:t>
            </w: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8"/>
        </w:trPr>
        <w:tc>
          <w:tcPr>
            <w:tcW w:w="760" w:type="dxa"/>
            <w:vAlign w:val="bottom"/>
          </w:tcPr>
          <w:p>
            <w:pPr>
              <w:jc w:val="right"/>
              <w:spacing w:after="0"/>
              <w:rPr>
                <w:sz w:val="20"/>
                <w:szCs w:val="20"/>
                <w:color w:val="auto"/>
              </w:rPr>
            </w:pPr>
            <w:r>
              <w:rPr>
                <w:rFonts w:ascii="Arial" w:cs="Arial" w:eastAsia="Arial" w:hAnsi="Arial"/>
                <w:sz w:val="11"/>
                <w:szCs w:val="11"/>
                <w:color w:val="auto"/>
              </w:rPr>
              <w:t>775,187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1,102,502</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1,654,486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2,169,404</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1,209,477</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173,731</w:t>
            </w:r>
          </w:p>
        </w:tc>
      </w:tr>
      <w:tr>
        <w:trPr>
          <w:trHeight w:val="228"/>
        </w:trPr>
        <w:tc>
          <w:tcPr>
            <w:tcW w:w="760" w:type="dxa"/>
            <w:vAlign w:val="bottom"/>
          </w:tcPr>
          <w:p>
            <w:pPr>
              <w:jc w:val="right"/>
              <w:spacing w:after="0"/>
              <w:rPr>
                <w:sz w:val="20"/>
                <w:szCs w:val="20"/>
                <w:color w:val="auto"/>
              </w:rPr>
            </w:pPr>
            <w:r>
              <w:rPr>
                <w:rFonts w:ascii="Arial" w:cs="Arial" w:eastAsia="Arial" w:hAnsi="Arial"/>
                <w:sz w:val="11"/>
                <w:szCs w:val="11"/>
                <w:color w:val="auto"/>
              </w:rPr>
              <w:t>8,076,920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15,488,266</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11,889,238</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13,415,877</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17,216,458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2,472,990</w:t>
            </w:r>
          </w:p>
        </w:tc>
      </w:tr>
      <w:tr>
        <w:trPr>
          <w:trHeight w:val="122"/>
        </w:trPr>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9,015,539</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15,933,083</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14,864,452</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14,659,843</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16,910,971</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2,429,110</w:t>
            </w:r>
          </w:p>
        </w:tc>
      </w:tr>
      <w:tr>
        <w:trPr>
          <w:trHeight w:val="121"/>
        </w:trPr>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(938,619)</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(444,817)</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(2,975,214)</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(1,243,966)</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305,487</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43,880</w:t>
            </w:r>
          </w:p>
        </w:tc>
      </w:tr>
      <w:tr>
        <w:trPr>
          <w:trHeight w:val="122"/>
        </w:trPr>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(2,536,524)</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(11,861,393)</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(12,855,270)</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(13,569,515)</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(22,136,741)</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(3,179,743)</w:t>
            </w:r>
          </w:p>
        </w:tc>
      </w:tr>
      <w:tr>
        <w:trPr>
          <w:trHeight w:val="122"/>
        </w:trPr>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(3,761,517)</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(12,193,440)</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(15,956,509)</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(14,999,696)</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(21,304,489)</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(3,060,197)</w:t>
            </w:r>
          </w:p>
        </w:tc>
      </w:tr>
      <w:tr>
        <w:trPr>
          <w:trHeight w:val="121"/>
        </w:trPr>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1,224,993</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332,047</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3,101,239</w:t>
            </w:r>
          </w:p>
        </w:tc>
        <w:tc>
          <w:tcPr>
            <w:tcW w:w="18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1,430,181</w:t>
            </w:r>
          </w:p>
        </w:tc>
        <w:tc>
          <w:tcPr>
            <w:tcW w:w="20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Arial" w:cs="Arial" w:eastAsia="Arial" w:hAnsi="Arial"/>
                <w:sz w:val="11"/>
                <w:szCs w:val="11"/>
                <w:color w:val="auto"/>
              </w:rPr>
              <w:t>(832,252)</w:t>
            </w:r>
          </w:p>
        </w:tc>
        <w:tc>
          <w:tcPr>
            <w:tcW w:w="18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(119,546)</w:t>
            </w:r>
          </w:p>
        </w:tc>
      </w:tr>
      <w:tr>
        <w:trPr>
          <w:trHeight w:val="136"/>
        </w:trPr>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(1,632,736)</w:t>
            </w:r>
          </w:p>
        </w:tc>
        <w:tc>
          <w:tcPr>
            <w:tcW w:w="760" w:type="dxa"/>
            <w:vAlign w:val="bottom"/>
          </w:tcPr>
          <w:p>
            <w:pPr>
              <w:jc w:val="right"/>
              <w:spacing w:after="0"/>
              <w:rPr>
                <w:sz w:val="20"/>
                <w:szCs w:val="20"/>
                <w:color w:val="auto"/>
              </w:rPr>
            </w:pPr>
            <w:r>
              <w:rPr>
                <w:rFonts w:ascii="Arial" w:cs="Arial" w:eastAsia="Arial" w:hAnsi="Arial"/>
                <w:sz w:val="11"/>
                <w:szCs w:val="11"/>
                <w:color w:val="auto"/>
              </w:rPr>
              <w:t>(2,250,507)</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(1,302,728)</w:t>
            </w:r>
          </w:p>
        </w:tc>
        <w:tc>
          <w:tcPr>
            <w:tcW w:w="1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1,587,419</w:t>
            </w:r>
          </w:p>
        </w:tc>
        <w:tc>
          <w:tcPr>
            <w:tcW w:w="2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1,082,525</w:t>
            </w:r>
          </w:p>
        </w:tc>
        <w:tc>
          <w:tcPr>
            <w:tcW w:w="18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155,494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-4022725</wp:posOffset>
            </wp:positionV>
            <wp:extent cx="629221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-3868420</wp:posOffset>
            </wp:positionV>
            <wp:extent cx="6292215"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774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-3714115</wp:posOffset>
            </wp:positionV>
            <wp:extent cx="629221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-3482975</wp:posOffset>
            </wp:positionV>
            <wp:extent cx="6292215" cy="93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-3294380</wp:posOffset>
            </wp:positionV>
            <wp:extent cx="629221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-3140075</wp:posOffset>
            </wp:positionV>
            <wp:extent cx="629221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8572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-2976880</wp:posOffset>
            </wp:positionV>
            <wp:extent cx="6292215" cy="774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774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-2805430</wp:posOffset>
            </wp:positionV>
            <wp:extent cx="629221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-2599690</wp:posOffset>
            </wp:positionV>
            <wp:extent cx="629221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-2393950</wp:posOffset>
            </wp:positionV>
            <wp:extent cx="6292215" cy="1028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-2188845</wp:posOffset>
            </wp:positionV>
            <wp:extent cx="6292215"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-1982470</wp:posOffset>
            </wp:positionV>
            <wp:extent cx="6292215"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-1776730</wp:posOffset>
            </wp:positionV>
            <wp:extent cx="6292215" cy="102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-1570990</wp:posOffset>
            </wp:positionV>
            <wp:extent cx="6292215" cy="102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028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-1365250</wp:posOffset>
            </wp:positionV>
            <wp:extent cx="6292215" cy="939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-1193800</wp:posOffset>
            </wp:positionV>
            <wp:extent cx="6292215" cy="76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-1039495</wp:posOffset>
            </wp:positionV>
            <wp:extent cx="6292215" cy="76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-885190</wp:posOffset>
            </wp:positionV>
            <wp:extent cx="6292215" cy="93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9398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-696595</wp:posOffset>
            </wp:positionV>
            <wp:extent cx="6292215" cy="76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-542290</wp:posOffset>
            </wp:positionV>
            <wp:extent cx="6292215" cy="76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7683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-388620</wp:posOffset>
            </wp:positionV>
            <wp:extent cx="6292215" cy="774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774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-234315</wp:posOffset>
            </wp:positionV>
            <wp:extent cx="6292215" cy="774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7747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-80010</wp:posOffset>
            </wp:positionV>
            <wp:extent cx="6292215"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774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340"/>
            <w:col w:w="5640"/>
          </w:cols>
          <w:pgMar w:left="980" w:top="517" w:right="99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2"/>
              </w:rPr>
              <w:t>As of December 31,</w:t>
            </w: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r>
      <w:tr>
        <w:trPr>
          <w:trHeight w:val="119"/>
        </w:trPr>
        <w:tc>
          <w:tcPr>
            <w:tcW w:w="3560" w:type="dxa"/>
            <w:vAlign w:val="bottom"/>
          </w:tcPr>
          <w:p>
            <w:pPr>
              <w:spacing w:after="0"/>
              <w:rPr>
                <w:sz w:val="10"/>
                <w:szCs w:val="10"/>
                <w:color w:val="auto"/>
              </w:rPr>
            </w:pPr>
          </w:p>
        </w:tc>
        <w:tc>
          <w:tcPr>
            <w:tcW w:w="92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20" w:type="dxa"/>
            <w:vAlign w:val="bottom"/>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2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2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02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40" w:type="dxa"/>
            <w:vAlign w:val="bottom"/>
          </w:tcPr>
          <w:p>
            <w:pPr>
              <w:jc w:val="right"/>
              <w:ind w:right="254"/>
              <w:spacing w:after="0" w:line="119" w:lineRule="exact"/>
              <w:rPr>
                <w:sz w:val="20"/>
                <w:szCs w:val="20"/>
                <w:color w:val="auto"/>
              </w:rPr>
            </w:pPr>
            <w:r>
              <w:rPr>
                <w:rFonts w:ascii="Arial" w:cs="Arial" w:eastAsia="Arial" w:hAnsi="Arial"/>
                <w:sz w:val="13"/>
                <w:szCs w:val="13"/>
                <w:b w:val="1"/>
                <w:bCs w:val="1"/>
                <w:color w:val="auto"/>
              </w:rPr>
              <w:t>US$</w:t>
            </w:r>
          </w:p>
        </w:tc>
      </w:tr>
      <w:tr>
        <w:trPr>
          <w:trHeight w:val="171"/>
        </w:trPr>
        <w:tc>
          <w:tcPr>
            <w:tcW w:w="3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spacing w:after="0"/>
              <w:rPr>
                <w:sz w:val="20"/>
                <w:szCs w:val="20"/>
                <w:color w:val="auto"/>
              </w:rPr>
            </w:pPr>
            <w:r>
              <w:rPr>
                <w:rFonts w:ascii="Arial" w:cs="Arial" w:eastAsia="Arial" w:hAnsi="Arial"/>
                <w:sz w:val="18"/>
                <w:szCs w:val="18"/>
                <w:color w:val="auto"/>
              </w:rPr>
              <w:t>5,742,880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5,222,871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2,467,467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4,977,432</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3,246,373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466,312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Time deposits-current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14,553,291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19,361,098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30,603,369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32,900,287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53,487,075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7,682,937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920" w:type="dxa"/>
            <w:vAlign w:val="bottom"/>
          </w:tcPr>
          <w:p>
            <w:pPr>
              <w:jc w:val="right"/>
              <w:spacing w:after="0"/>
              <w:rPr>
                <w:sz w:val="20"/>
                <w:szCs w:val="20"/>
                <w:color w:val="auto"/>
              </w:rPr>
            </w:pPr>
            <w:r>
              <w:rPr>
                <w:rFonts w:ascii="Arial" w:cs="Arial" w:eastAsia="Arial" w:hAnsi="Arial"/>
                <w:sz w:val="18"/>
                <w:szCs w:val="18"/>
                <w:color w:val="auto"/>
              </w:rPr>
              <w:t>2,001,027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2,299,553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3,490,130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4,672,079</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4,621,712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663,867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41,157,430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58,031,860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71,031,415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86,967,928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112,124,371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16,105,658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Short-term loan</w:t>
            </w:r>
          </w:p>
        </w:tc>
        <w:tc>
          <w:tcPr>
            <w:tcW w:w="920" w:type="dxa"/>
            <w:vAlign w:val="bottom"/>
          </w:tcPr>
          <w:p>
            <w:pPr>
              <w:jc w:val="right"/>
              <w:spacing w:after="0"/>
              <w:rPr>
                <w:sz w:val="20"/>
                <w:szCs w:val="20"/>
                <w:color w:val="auto"/>
              </w:rPr>
            </w:pPr>
            <w:r>
              <w:rPr>
                <w:rFonts w:ascii="Arial" w:cs="Arial" w:eastAsia="Arial" w:hAnsi="Arial"/>
                <w:sz w:val="18"/>
                <w:szCs w:val="18"/>
                <w:color w:val="auto"/>
              </w:rPr>
              <w:t>2,272,760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3,815,691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6,623,502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13,658,554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16,828,226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2,417,223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11,833,831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19,568,919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23,981,579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35,556,347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39,082,916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5,613,909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614,696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5,385,736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10,448,600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1,500,847</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29,323,599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38,462,941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46,435,140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46,025,845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62,592,855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8,990,902</w:t>
            </w:r>
          </w:p>
        </w:tc>
      </w:tr>
    </w:tbl>
    <w:p>
      <w:pPr>
        <w:spacing w:after="0" w:line="19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 AND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Online Games Business</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we fail to develop and introduce popular, high-quality online games in a timely and successful manner, we will not be able to compete effectively and our ability to generate revenues will suffer.</w:t>
      </w:r>
    </w:p>
    <w:p>
      <w:pPr>
        <w:spacing w:after="0" w:line="16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operate in a highly competitive, quickly changing environment, and player preferences for online games are difficult to predict. Our future success depends not only on the popularity of our existing online games but also on our ability to develop new high-quality online games and expand our game portfolio with games in a variety of genres that are in line with market trends and to successfully monetize such games. The development of successful new online games can be challenging and requires high levels of innovation, a deep understanding of the online game industry in China and the other markets where our games are published (including with respect to evolving business models), and an ability to anticipate and effectively respond to changing interests and preferences of game players in a timely manner. Moreover, each of our new games requires long periods of time for research and development and testing and also typically experiences a long ramp-up period as players become familiar with the game. If we are unsuccessful at developing and introducing new online games that are appealing to players with acceptable pricing and terms, our business, financial condition and results of operations will be negatively impacted because we would not be able to compete effectively and our ability to generate revenues would suffer.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In addition, new technologies in online game programming or operations could render our current online titles or games in development obsolete or unattractive to our players, thereby limiting our ability to recover development costs and potentially adversely affecting our future revenues and profitability. For example, the online game industry in China has been transitioning to mobile games, which have become increasingly popular as internet users in China rely more and more on mobile devices, such as smart phones and tablets, to access the internet. In response to this trend, we devote significant resources to developing games that can be operated on mobile devices. We have commercially launched over 100 in-house developed and licensed mobile games as of December 31, 2019 including the </w:t>
      </w:r>
      <w:r>
        <w:rPr>
          <w:rFonts w:ascii="Arial" w:cs="Arial" w:eastAsia="Arial" w:hAnsi="Arial"/>
          <w:sz w:val="17"/>
          <w:szCs w:val="17"/>
          <w:i w:val="1"/>
          <w:iCs w:val="1"/>
          <w:color w:val="auto"/>
        </w:rPr>
        <w:t>Fantasy Westward Journey</w:t>
      </w:r>
      <w:r>
        <w:rPr>
          <w:rFonts w:ascii="Arial" w:cs="Arial" w:eastAsia="Arial" w:hAnsi="Arial"/>
          <w:sz w:val="17"/>
          <w:szCs w:val="17"/>
          <w:color w:val="auto"/>
        </w:rPr>
        <w:t xml:space="preserve"> mobile game, </w:t>
      </w:r>
      <w:r>
        <w:rPr>
          <w:rFonts w:ascii="Arial" w:cs="Arial" w:eastAsia="Arial" w:hAnsi="Arial"/>
          <w:sz w:val="17"/>
          <w:szCs w:val="17"/>
          <w:i w:val="1"/>
          <w:iCs w:val="1"/>
          <w:color w:val="auto"/>
        </w:rPr>
        <w:t>Westward Journey Online</w:t>
      </w:r>
      <w:r>
        <w:rPr>
          <w:rFonts w:ascii="Arial" w:cs="Arial" w:eastAsia="Arial" w:hAnsi="Arial"/>
          <w:sz w:val="17"/>
          <w:szCs w:val="17"/>
          <w:color w:val="auto"/>
        </w:rPr>
        <w:t xml:space="preserve"> mobile game, </w:t>
      </w:r>
      <w:r>
        <w:rPr>
          <w:rFonts w:ascii="Arial" w:cs="Arial" w:eastAsia="Arial" w:hAnsi="Arial"/>
          <w:sz w:val="17"/>
          <w:szCs w:val="17"/>
          <w:i w:val="1"/>
          <w:iCs w:val="1"/>
          <w:color w:val="auto"/>
        </w:rPr>
        <w:t>Onmyoji</w:t>
      </w:r>
      <w:r>
        <w:rPr>
          <w:rFonts w:ascii="Arial" w:cs="Arial" w:eastAsia="Arial" w:hAnsi="Arial"/>
          <w:sz w:val="17"/>
          <w:szCs w:val="17"/>
          <w:color w:val="auto"/>
        </w:rPr>
        <w:t xml:space="preserve">, the mobile version of </w:t>
      </w:r>
      <w:r>
        <w:rPr>
          <w:rFonts w:ascii="Arial" w:cs="Arial" w:eastAsia="Arial" w:hAnsi="Arial"/>
          <w:sz w:val="17"/>
          <w:szCs w:val="17"/>
          <w:i w:val="1"/>
          <w:iCs w:val="1"/>
          <w:color w:val="auto"/>
        </w:rPr>
        <w:t>New</w:t>
      </w:r>
      <w:r>
        <w:rPr>
          <w:rFonts w:ascii="Arial" w:cs="Arial" w:eastAsia="Arial" w:hAnsi="Arial"/>
          <w:sz w:val="17"/>
          <w:szCs w:val="17"/>
          <w:color w:val="auto"/>
        </w:rPr>
        <w:t xml:space="preserve"> </w:t>
      </w:r>
      <w:r>
        <w:rPr>
          <w:rFonts w:ascii="Arial" w:cs="Arial" w:eastAsia="Arial" w:hAnsi="Arial"/>
          <w:sz w:val="17"/>
          <w:szCs w:val="17"/>
          <w:i w:val="1"/>
          <w:iCs w:val="1"/>
          <w:color w:val="auto"/>
        </w:rPr>
        <w:t>Ghost</w:t>
      </w:r>
      <w:r>
        <w:rPr>
          <w:rFonts w:ascii="Arial" w:cs="Arial" w:eastAsia="Arial" w:hAnsi="Arial"/>
          <w:sz w:val="17"/>
          <w:szCs w:val="17"/>
          <w:color w:val="auto"/>
        </w:rPr>
        <w:t>,</w:t>
      </w:r>
      <w:r>
        <w:rPr>
          <w:rFonts w:ascii="Arial" w:cs="Arial" w:eastAsia="Arial" w:hAnsi="Arial"/>
          <w:sz w:val="17"/>
          <w:szCs w:val="17"/>
          <w:i w:val="1"/>
          <w:iCs w:val="1"/>
          <w:color w:val="auto"/>
        </w:rPr>
        <w:t xml:space="preserve"> Invincible</w:t>
      </w:r>
      <w:r>
        <w:rPr>
          <w:rFonts w:ascii="Arial" w:cs="Arial" w:eastAsia="Arial" w:hAnsi="Arial"/>
          <w:sz w:val="17"/>
          <w:szCs w:val="17"/>
          <w:color w:val="auto"/>
        </w:rPr>
        <w:t>,</w:t>
      </w:r>
      <w:r>
        <w:rPr>
          <w:rFonts w:ascii="Arial" w:cs="Arial" w:eastAsia="Arial" w:hAnsi="Arial"/>
          <w:sz w:val="17"/>
          <w:szCs w:val="17"/>
          <w:i w:val="1"/>
          <w:iCs w:val="1"/>
          <w:color w:val="auto"/>
        </w:rPr>
        <w:t xml:space="preserve"> Knives Out, All About Jianghu, Identity V, Ancient Nocturne, Xuan Yuan Sword: Dragon Upon the Cloud </w:t>
      </w:r>
      <w:r>
        <w:rPr>
          <w:rFonts w:ascii="Arial" w:cs="Arial" w:eastAsia="Arial" w:hAnsi="Arial"/>
          <w:sz w:val="17"/>
          <w:szCs w:val="17"/>
          <w:color w:val="auto"/>
        </w:rPr>
        <w:t>and</w:t>
      </w:r>
      <w:r>
        <w:rPr>
          <w:rFonts w:ascii="Arial" w:cs="Arial" w:eastAsia="Arial" w:hAnsi="Arial"/>
          <w:sz w:val="17"/>
          <w:szCs w:val="17"/>
          <w:i w:val="1"/>
          <w:iCs w:val="1"/>
          <w:color w:val="auto"/>
        </w:rPr>
        <w:t xml:space="preserve"> Fantasy Westward Journey 3D</w:t>
      </w:r>
      <w:r>
        <w:rPr>
          <w:rFonts w:ascii="Arial" w:cs="Arial" w:eastAsia="Arial" w:hAnsi="Arial"/>
          <w:sz w:val="17"/>
          <w:szCs w:val="17"/>
          <w:color w:val="auto"/>
        </w:rPr>
        <w:t>. As the market for mobile games is rapidly evolving, with games in an expanding range of genres being</w:t>
      </w:r>
      <w:r>
        <w:rPr>
          <w:rFonts w:ascii="Arial" w:cs="Arial" w:eastAsia="Arial" w:hAnsi="Arial"/>
          <w:sz w:val="17"/>
          <w:szCs w:val="17"/>
          <w:i w:val="1"/>
          <w:iCs w:val="1"/>
          <w:color w:val="auto"/>
        </w:rPr>
        <w:t xml:space="preserve"> </w:t>
      </w:r>
      <w:r>
        <w:rPr>
          <w:rFonts w:ascii="Arial" w:cs="Arial" w:eastAsia="Arial" w:hAnsi="Arial"/>
          <w:sz w:val="17"/>
          <w:szCs w:val="17"/>
          <w:color w:val="auto"/>
        </w:rPr>
        <w:t>introduced by us and our competitors, we cannot guarantee that we will be able to effectively compete in the mobile game market. We will also need to continue investing in the development of new technologies and bring new features and functionalities to our games, as well as enhance the user experience on our various platforms.</w:t>
      </w:r>
    </w:p>
    <w:p>
      <w:pPr>
        <w:spacing w:after="0" w:line="17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not able to predict if or when we will commercially launch additional new games and the pace at which our new games will penetrate the online game market in China or elsewhere, if at all. A number of factors, including technical difficulties, lack of sufficient game development capabilities, personnel and other resources and failure to obtain or delays in obtaining relevant governmental authorities’ approvals could result in delayed launching of our new games or the cancellation of the development of our pipeline games. Any delays in product releases or problems arising following the commercial release of one or more new online games such as programming errors, or “bugs”, could negatively impact our business and reputation and could cause our results of operations to be materially different from expectations. We believe that expectations of players regarding the quality, performance and integrity of our online games and services are high, and if any of these issues occurs, players may stop playing our online games and may be less likely to return to such games as often in the future, which may negatively impact our business.</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we are unable to continue to extend the life of existing online games that will encourage continued engagement with the games through the addition of new features or functionalities, our business may be negatively impacted.</w:t>
      </w:r>
    </w:p>
    <w:p>
      <w:pPr>
        <w:spacing w:after="0" w:line="166"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To prolong the lifespan of our online games, we need to continually improve and update them on a timely basis with new features and functionalities that appeal to existing game players, attract new game players and improve overall player loyalty to such games. As a result, we have devoted, and expect to continue to devote, significant resources to maintain and raise the popularity of our online games through the release of new versions and/or expansion packs on a periodic basis. Developing successful updates and expansion packs for our existing games depends on our ability to anticipate market trends in the online game industry. We must also collect and analyze player behavior data and feedback from our online community in a timely manner and utilize this information to effectively incorporate features into our updates and expansion packs to improve the variety and attractiveness of our gameplay and any virtual items sold within the games.</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 the course of operating online games, including the release of updates and expansion packs to existing games, certain game features may periodically be introduced, changed or removed. We cannot assure you that the introduction, change or removal of any game feature will be well received by our game players, who may decide to reduce or eliminate their playing time in response to any such introduction, change or removal. As a result, any introduction, change or removal of game features may adversely impact our business, financial condition and results of operations.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unable to predict whether these activities will be successful or adversely affect our profitability given the significant resources required. Moreover, because of the rapidly evolving nature of the online games market in China and elsewhere, we cannot estimate the total life cycle of any of our games, particularly our more recently launched mobile or PC games, and changes in players’ tastes or in the overall market for online games in China and elsewhere could alter the life cycle of each version or upgrade or even cause our players to stop playing our games altogether.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Any difficulties or delays in receiving approval from the relevant government authorities for the games operated by us or any expansion packs for, or material changes to, such games could adversely affect such games’ popularity and profitability.</w:t>
      </w:r>
    </w:p>
    <w:p>
      <w:pPr>
        <w:spacing w:after="0" w:line="12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All games we release in China require government approvals. Moreover, even after certain games have received government approvals, any expansion packs for or material changes to the content of those games may require further government approvals. We cannot be certain of the duration of any necessary approval processes, and any delay in receiving such government approvals may adversely affect the profitability and popularity of such games. In particular, game approvals in 2018 experienced certain delays, although the approvals resumed starting from the end of 2018. Since then, China’s game regulatory authority has officially published several lists of newly approved game titles, including a number of our online games, and the approval processes for game titles appears to have returned to normal in 2019. There was, however, a decline in the number of games which received approvals in 2019 compared to previous years. We are not certain of the cause of the delays in 2018 or reduced number of approvals in 2019. In addition, no laws, regulations or official clarifications had been promulgated or published in relation to such delay and resumption of the assessment and pre-approval procedures, and it is unclear whether there will be any similar delays in the future. Although our operations were not materially affected by such delays, we cannot predict the effect any future delay in approvals may have on our results of operations.</w:t>
      </w:r>
    </w:p>
    <w:p>
      <w:pPr>
        <w:spacing w:after="0" w:line="17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According to several news reports in December 2018, PRC regulators established the Online Games Ethics Committee for the purpose of reviewing online games, and based on the assessment conducted by the Online Games Ethics Committee, PRC regulators reviewed and rejected nine of an initial batch of 20 games. As of the date of the filing of this annual report, no official laws and regulations had been promulgated or published in relation to the assessment criteria and procedures of the Online Games Ethics Committee. However, the formation of the Online Games Ethics Committee and its assessment criteria and procedures could impact our ability to launch and publish new games going forward, and require us to spend more time and costs in preparing and receiving the approvals necessary to launch our games. In addition, our games that have already received the relevant pre-approval may also be subject to further review by the Online Games Ethics Committee, and we may be required to modify the content of our games, which will further add to our regulatory compliance costs and expenses.</w:t>
      </w:r>
    </w:p>
    <w:p>
      <w:pPr>
        <w:spacing w:after="0" w:line="17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Reports of violence and crimes related to online games or any claims of our gaming contents to be, among others, obscene, superstitious, fraudulent, defamatory or impairing public interest, may result in negative publicity or a governmental response that could have a material and adverse impact on our business.</w:t>
      </w:r>
    </w:p>
    <w:p>
      <w:pPr>
        <w:spacing w:after="0" w:line="180"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media in China has reported incidents of violent crimes allegedly inspired by online games and theft of virtual items between users in online games. While we believe that such events were not related to our online games, it is possible that our reputation, as one of the leading online game providers in China, could be adversely affected by such behavior. In response to the media reports, in August 2005 the Chinese government enacted regulations to prohibit all minors under the age of 18 from playing online games in which players are allowed to kill other players, an activity that has been termed Player Kills, or PK. The Chinese government has also taken steps to limit online game playing time for all minors under the age of 18. See below “—Risks Related to Doing Business in China— 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 If the Chinese government determines that online games have a negative impact on society, it may impose certain additional restrictions on the online game industry, which could in turn have a material and adverse effect on our business and results of operations.</w:t>
      </w:r>
    </w:p>
    <w:p>
      <w:pPr>
        <w:spacing w:after="0" w:line="18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addition, the Chinese government and regulatory authorities prohibit any internet content that, among other things, violates PRC laws and regulations, endangers the national security of China, or is obscene, superstitious, fraudulent, violent or defamatory. When internet content providers and internet publishers, including online game operators, find that information falling within the above-mentioned scope is transmitted on their websites or is stored in their electronic bulletin service systems, they are required to terminate the transmission of such information or delete such information immediately, keep records, and report to relevant authorities. Failure to comply with these requirements could result in the revocation of our internet content provider, or ICP, license and other required licenses to operate our business. Internet content providers like us may also be held liable for prohibited information displayed on, retrieved from or linked to their websites. In addition, any claim of us failing to comply with these prohibitions may result in negative publicity and government actions, which in turn could have a material and adverse impact on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Because our long-term growth strategy involves further expansion of our online game services to players outside of China, our business will be susceptible to risks associated with international operations.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An important component of our growth strategy involves the further expansion of our online game services and game player base internationally. In particular, we have launched our popular games </w:t>
      </w:r>
      <w:r>
        <w:rPr>
          <w:rFonts w:ascii="Arial" w:cs="Arial" w:eastAsia="Arial" w:hAnsi="Arial"/>
          <w:sz w:val="18"/>
          <w:szCs w:val="18"/>
          <w:i w:val="1"/>
          <w:iCs w:val="1"/>
          <w:color w:val="auto"/>
        </w:rPr>
        <w:t>Knives Out</w:t>
      </w:r>
      <w:r>
        <w:rPr>
          <w:rFonts w:ascii="Arial" w:cs="Arial" w:eastAsia="Arial" w:hAnsi="Arial"/>
          <w:sz w:val="18"/>
          <w:szCs w:val="18"/>
          <w:color w:val="auto"/>
        </w:rPr>
        <w:t xml:space="preserve"> and </w:t>
      </w:r>
      <w:r>
        <w:rPr>
          <w:rFonts w:ascii="Arial" w:cs="Arial" w:eastAsia="Arial" w:hAnsi="Arial"/>
          <w:sz w:val="18"/>
          <w:szCs w:val="18"/>
          <w:i w:val="1"/>
          <w:iCs w:val="1"/>
          <w:color w:val="auto"/>
        </w:rPr>
        <w:t>Identity V</w:t>
      </w:r>
      <w:r>
        <w:rPr>
          <w:rFonts w:ascii="Arial" w:cs="Arial" w:eastAsia="Arial" w:hAnsi="Arial"/>
          <w:sz w:val="18"/>
          <w:szCs w:val="18"/>
          <w:color w:val="auto"/>
        </w:rPr>
        <w:t xml:space="preserve"> in Japan, North America and other markets across the globe, and </w:t>
      </w:r>
      <w:r>
        <w:rPr>
          <w:rFonts w:ascii="Arial" w:cs="Arial" w:eastAsia="Arial" w:hAnsi="Arial"/>
          <w:sz w:val="18"/>
          <w:szCs w:val="18"/>
          <w:i w:val="1"/>
          <w:iCs w:val="1"/>
          <w:color w:val="auto"/>
        </w:rPr>
        <w:t>MARVEL Super War</w:t>
      </w:r>
      <w:r>
        <w:rPr>
          <w:rFonts w:ascii="Arial" w:cs="Arial" w:eastAsia="Arial" w:hAnsi="Arial"/>
          <w:sz w:val="18"/>
          <w:szCs w:val="18"/>
          <w:color w:val="auto"/>
        </w:rPr>
        <w:t xml:space="preserve"> in several Southeast Asia markets. In the future, we may launch our online games in other international markets. The expansion of our online game services to markets outside of China will involve a variety of risks, including:</w:t>
      </w:r>
    </w:p>
    <w:p>
      <w:pPr>
        <w:spacing w:after="0" w:line="18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anticipating the preferences of game players in markets outside of China;</w:t>
      </w:r>
    </w:p>
    <w:p>
      <w:pPr>
        <w:spacing w:after="0" w:line="225"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formulating effective local sales and marketing strategies targeting users from various jurisdictions and cultures;</w:t>
      </w:r>
    </w:p>
    <w:p>
      <w:pPr>
        <w:spacing w:after="0" w:line="170" w:lineRule="exact"/>
        <w:rPr>
          <w:rFonts w:ascii="Arial" w:cs="Arial" w:eastAsia="Arial" w:hAnsi="Arial"/>
          <w:sz w:val="18"/>
          <w:szCs w:val="18"/>
          <w:color w:val="auto"/>
        </w:rPr>
      </w:pPr>
    </w:p>
    <w:p>
      <w:pPr>
        <w:ind w:left="980" w:right="7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in identifying appropriate local business partners, including local game operators, and establishing and maintaining good working relationships with them;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regulatory requirements, taxes or trade laws;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70"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stringent regulations relating to data security and the unauthorized use of, or access to, commercial and personal information;</w:t>
      </w:r>
    </w:p>
    <w:p>
      <w:pPr>
        <w:spacing w:after="0" w:line="17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choose to do so in the future;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Our limited experience in operating our business outside of China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61"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We rely on third-party platforms to distribute our mobile games and collect payments. If we fail to maintain our relationships with these platforms, or if our revenue-sharing arrangements with these platforms change to our detriment, our mobile games business may be adversely affected.</w:t>
      </w:r>
    </w:p>
    <w:p>
      <w:pPr>
        <w:spacing w:after="0" w:line="18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our proprietary distribution channels, we publish our mobile games through the Apple iOS app store and other mobile application stores or platforms owned and operated by third parties. We rely on these third parties to promote and distribute our mobile games, record gross billings, maintain the security of their platforms to prevent fraudulent activities, provide certain user services and, in some instances, process payments from users. Further, we believe that our games benefit from the strong brand recognition, large user base and the stickiness of these mobile platforms.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subject to these third parties’ standard terms and conditions for application developers, which govern the promotion, distribution and operation of games and other applications on their platforms. If we violate, or if a platform provider believes that we have violated, its terms and conditions, the particular platform provider may discontinue or limit our access to that platform, which could harm our business. Our business could also be harmed if these platforms decline in popularity with users or modify their discovery mechanisms for games, the communication channels available to developers, their terms of service or other policies such as distribution fees, how they label free-to-play games or payment methods for in-app purchases. These platforms’ operators could also develop their own competitive offerings that could compete with our mobile games.</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Furthermore, a few of these third-party platforms dominate the mobile application distribution channels. Any changes in the revenue-sharing arrangements that we have with any of the major third-party application distribution platforms may materially impact our revenue and profitability. In addition, changes in the credit period or the settlement cycle terms of these third-party platforms may materially and adversely affect our cash flow. Disputes with third-party platforms, such as disputes relating to intellectual property rights, distribution fee arrangements and billing issues, may also arise from time to time and we cannot assure you that we will be able to resolve such disputes in a timely manner or at all. If our collaboration with a major third-party platform terminates for any reason, we may not be able to find a replacement in a timely manner or at all and the distribution of our games may be adversely affected. Any failure on our part to maintain good relationships with a sufficient number of popular platforms for the distribution of our games could cause the number of our game downloads and activations to decrease, which will have a material adverse effect on our business, financial condition and results of operations.</w:t>
      </w:r>
    </w:p>
    <w:p>
      <w:pPr>
        <w:spacing w:after="0" w:line="18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Our business, financial condition and results of operations depend in part on the overall growth of the online game industry in China and the other markets where our games are operated, the growth of which is subject to a number of factors that are beyond our control.</w:t>
      </w:r>
    </w:p>
    <w:p>
      <w:pPr>
        <w:spacing w:after="0" w:line="180"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Our business, financial condition and results of operations depend in part on continued growth of the online game industry in China and other markets where our games are published, particularly the Asia-Pacific region and North America. The online game industry is affected by a number of factors that are beyond our control, including:</w:t>
      </w:r>
    </w:p>
    <w:p>
      <w:pPr>
        <w:spacing w:after="0" w:line="184"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the level of discretionary spending devoted by players to non-essentials such as acquiring in-game virtual items;</w:t>
      </w:r>
    </w:p>
    <w:p>
      <w:pPr>
        <w:spacing w:after="0" w:line="170" w:lineRule="exact"/>
        <w:rPr>
          <w:rFonts w:ascii="Arial" w:cs="Arial" w:eastAsia="Arial" w:hAnsi="Arial"/>
          <w:sz w:val="18"/>
          <w:szCs w:val="18"/>
          <w:color w:val="auto"/>
        </w:rPr>
      </w:pPr>
    </w:p>
    <w:p>
      <w:pPr>
        <w:ind w:left="1000" w:right="40" w:hanging="317"/>
        <w:spacing w:after="0" w:line="277" w:lineRule="auto"/>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availability and popularity of other forms of interactive entertainment, particularly games on console systems which are more popular in North America, Europe and Japan, and other leisure activities;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availability of reliable telecommunication and internet infrastructure and sufficient server bandwidth in the markets where we operate;</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evolving PC, smartphone and tablet technologies;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changes in game player demographics and public tastes and preferences;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government restrictions on the playing of online games;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availability and popularity of alternative gameplay models such as cloud-gaming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is no assurance that the online game industry will continue to grow in future periods at any particular rate or at all.</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not be successful in making our mobile games profitable, and our profits from mobile games may be relatively lower than the profits we have enjoyed historically for PC games.</w:t>
      </w:r>
    </w:p>
    <w:p>
      <w:pPr>
        <w:spacing w:after="0" w:line="166"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We generate a large portion of revenue in our online games segment from our mobile games. 70.8%, 71.0% and 71.4% of our total net game revenues were generated from mobile games for the years ended December 31, 2017, 2018 and 2019, respectively. Our profits from our mobile games, even if the games are successful, are generally lower than our profits generated from PC games, because, in order to gain access to our games on mobile application stores, which are the primary distribution channel for our mobile games, we must enter into revenue-sharing arrangements that result in lower profit margins compared with those of our PC games. In addition, our mobile games tend to cover a wider variety of genres, some of which have historically had relatively lower profitability than that of our PC games. Furthermore, we are releasing more of our mobile games overseas, which may involve additional marketing and distribution costs and further impact the profitability of our mobile games.</w:t>
      </w:r>
    </w:p>
    <w:p>
      <w:pPr>
        <w:spacing w:after="0" w:line="17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have devoted and expect to continue to devote a significant amount of resources to the development of our mobile games, but the relatively lower profit margins and other uncertainties make it difficult to predict whether we will continue to succeed in making our mobile game operations profitable. If we do not succeed in doing so, our business, financial condition and results of operations will be adversely affected.</w:t>
      </w:r>
    </w:p>
    <w:p>
      <w:pPr>
        <w:spacing w:after="0" w:line="183"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A significant portion of our revenue from online game services is generated from the sale of virtual items within the games, and if we do not develop desirable virtual items and properly price them or if this revenue model ceases to be successful, our business, financial condition and results of operations may be materially and adversely affected.</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All of our mobile games and many of our PC games currently utilize the item-based revenue model. Under this revenue model, our game players are able to play the games for free, but are charged for the purchase of virtual items in the games. We believe that this attracts a wider audience of players and increases the number of potential paying users. However, the success of this business model largely depends on whether we can attract game players to play our games and whether we can successfully encourage more players to purchase virtual items. Game players will only pay for virtual items if they are perceived to provide value and enhance their playing experience, and we must closely monitor and analyze in-game consumption patterns and player preferences to understand what items will be appealing and the appropriate price for them. Moreover, we must offer sufficient in-game purchasing opportunities to make our games profitable, while ensuring that the games are fun to play including for players who purchase no virtual items. We might fail to accurately identify and introduce new and popular virtual items or price them properly or may not be able to market our virtual items effectively. In addition, the item-based revenue model may not continue to be commercially successful and in the future we may need to change our revenue model to a time-based or other revenue model. Any change in revenue model could result in disruption of our game operations and a decrease in the number of our game players and thereby materially and adversely affect our business, financial condition and results of operations.</w:t>
      </w:r>
    </w:p>
    <w:p>
      <w:pPr>
        <w:spacing w:after="0" w:line="18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Providing a high level of customer service for our players is crucial to maintaining and growing the popularity of our online games, and any failure to do so could harm our reputation and our business.</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devote significant resources to provide high quality customer services to our game players 24 hours a day, seven days a week, through telephone and online support. We also maintain a team of highly trained “Game Masters” which supervise the activities within our games to provide assistance to players as needed and stop any cheating or unfair behavior to ensure the game has an atmosphere of fun and fair play. These activities are crucial to retaining our existing game players and attracting new players who expect a high quality playing experience from our online games. In addition, our license agreements with third party developers may also require us to provide specified minimum levels of customer support, and any breach of such obligations could result in the developer terminating our license agreement with them and other damages.</w:t>
      </w:r>
    </w:p>
    <w:p>
      <w:pPr>
        <w:spacing w:after="0" w:line="177"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We have recently experienced increased complaints with regards to server capacity due to the larger than average number of game players during the COVID-19 outbreak in China. If we fail to maintain effective player support which meets the expectations of players, it could harm our reputation and the popularity of our online games, which may materially and adversely affect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may not be able to maintain stable relationships with our existing game licensors, and we may experience difficulties in the operation of the online games licensed from them.</w:t>
      </w:r>
    </w:p>
    <w:p>
      <w:pPr>
        <w:spacing w:after="0" w:line="166" w:lineRule="exact"/>
        <w:rPr>
          <w:sz w:val="20"/>
          <w:szCs w:val="20"/>
          <w:color w:val="auto"/>
        </w:rPr>
      </w:pPr>
    </w:p>
    <w:p>
      <w:pPr>
        <w:ind w:right="20" w:firstLine="648"/>
        <w:spacing w:after="0" w:line="270" w:lineRule="auto"/>
        <w:rPr>
          <w:sz w:val="20"/>
          <w:szCs w:val="20"/>
          <w:color w:val="auto"/>
        </w:rPr>
      </w:pPr>
      <w:r>
        <w:rPr>
          <w:rFonts w:ascii="Arial" w:cs="Arial" w:eastAsia="Arial" w:hAnsi="Arial"/>
          <w:sz w:val="16"/>
          <w:szCs w:val="16"/>
          <w:color w:val="auto"/>
        </w:rPr>
        <w:t xml:space="preserve">In addition to our internally-developed games, we also offer several mobile and PC games licensed from third-party developers, which accounted for 8.8%, 7.5% and 7.5% of our total net revenues in 2017, 2018 and 2019, respectively. For example, starting in August 2008, Blizzard Entertainment, Inc. (together with its affiliated companies, referred to as Blizzard in this annual report) agreed to license certain online games developed by it to Shanghai EaseNet Network Technology Co., Ltd., or Shanghai EaseNet, for operation in the PRC. Shanghai EaseNet is a PRC company owned by William Lei Ding, our Chief Executive Officer, director and major shareholder, and has contractual arrangements with us and with the joint venture established between Blizzard and us. In January 2019, Shanghai EaseNet and Blizzard extended the term of the existing game licenses by Blizzard to Shanghai EaseNet to January 2023. These games include </w:t>
      </w:r>
      <w:r>
        <w:rPr>
          <w:rFonts w:ascii="Arial" w:cs="Arial" w:eastAsia="Arial" w:hAnsi="Arial"/>
          <w:sz w:val="16"/>
          <w:szCs w:val="16"/>
          <w:i w:val="1"/>
          <w:iCs w:val="1"/>
          <w:color w:val="auto"/>
        </w:rPr>
        <w:t>World of Warcraft</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StarCraft</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II, Diablo</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III, Hearthstone</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Heroes of the Storm</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and Overwatch</w:t>
      </w:r>
      <w:r>
        <w:rPr>
          <w:rFonts w:ascii="Arial" w:cs="Arial" w:eastAsia="Arial" w:hAnsi="Arial"/>
          <w:sz w:val="23"/>
          <w:szCs w:val="23"/>
          <w:i w:val="1"/>
          <w:iCs w:val="1"/>
          <w:color w:val="auto"/>
          <w:vertAlign w:val="superscript"/>
        </w:rPr>
        <w:t>®</w:t>
      </w:r>
      <w:r>
        <w:rPr>
          <w:rFonts w:ascii="Arial" w:cs="Arial" w:eastAsia="Arial" w:hAnsi="Arial"/>
          <w:sz w:val="16"/>
          <w:szCs w:val="16"/>
          <w:color w:val="auto"/>
        </w:rPr>
        <w:t xml:space="preserve">, all of which have been commercially launched. We are also currently co-developing </w:t>
      </w:r>
      <w:r>
        <w:rPr>
          <w:rFonts w:ascii="Arial" w:cs="Arial" w:eastAsia="Arial" w:hAnsi="Arial"/>
          <w:sz w:val="16"/>
          <w:szCs w:val="16"/>
          <w:i w:val="1"/>
          <w:iCs w:val="1"/>
          <w:color w:val="auto"/>
        </w:rPr>
        <w:t>Diablo Immortal</w:t>
      </w:r>
      <w:r>
        <w:rPr>
          <w:rFonts w:ascii="Arial" w:cs="Arial" w:eastAsia="Arial" w:hAnsi="Arial"/>
          <w:sz w:val="23"/>
          <w:szCs w:val="23"/>
          <w:i w:val="1"/>
          <w:iCs w:val="1"/>
          <w:color w:val="auto"/>
          <w:vertAlign w:val="superscript"/>
        </w:rPr>
        <w:t>TM</w:t>
      </w:r>
      <w:r>
        <w:rPr>
          <w:rFonts w:ascii="Arial" w:cs="Arial" w:eastAsia="Arial" w:hAnsi="Arial"/>
          <w:sz w:val="16"/>
          <w:szCs w:val="16"/>
          <w:color w:val="auto"/>
        </w:rPr>
        <w:t xml:space="preserve">, a mobile massively multiplayer online action role-playing games, or MMO action-RPG, with Blizzard. In addition to our relationship with Blizzard, in May 2016, we entered into a five-year exclusive agreement with Mojang AB, a subsidiary of Microsoft, pursuant to which Microsoft and Mojang agreed to license the operation of </w:t>
      </w:r>
      <w:r>
        <w:rPr>
          <w:rFonts w:ascii="Arial" w:cs="Arial" w:eastAsia="Arial" w:hAnsi="Arial"/>
          <w:sz w:val="16"/>
          <w:szCs w:val="16"/>
          <w:i w:val="1"/>
          <w:iCs w:val="1"/>
          <w:color w:val="auto"/>
        </w:rPr>
        <w:t>Minecraft</w:t>
      </w:r>
      <w:r>
        <w:rPr>
          <w:rFonts w:ascii="Arial" w:cs="Arial" w:eastAsia="Arial" w:hAnsi="Arial"/>
          <w:sz w:val="16"/>
          <w:szCs w:val="16"/>
          <w:color w:val="auto"/>
        </w:rPr>
        <w:t xml:space="preserve"> in the PRC to us until 2022. In May 2019, we extended the term of the </w:t>
      </w:r>
      <w:r>
        <w:rPr>
          <w:rFonts w:ascii="Arial" w:cs="Arial" w:eastAsia="Arial" w:hAnsi="Arial"/>
          <w:sz w:val="16"/>
          <w:szCs w:val="16"/>
          <w:i w:val="1"/>
          <w:iCs w:val="1"/>
          <w:color w:val="auto"/>
        </w:rPr>
        <w:t>Minecraft</w:t>
      </w:r>
      <w:r>
        <w:rPr>
          <w:rFonts w:ascii="Arial" w:cs="Arial" w:eastAsia="Arial" w:hAnsi="Arial"/>
          <w:sz w:val="16"/>
          <w:szCs w:val="16"/>
          <w:color w:val="auto"/>
        </w:rPr>
        <w:t xml:space="preserve"> license for an additional year to August 2023. If we are unable to maintain stable relationships with our existing game licensors, or if any of our licensors establishes similar or more favorable relationships with our competitors in violation of its contractual arrangements with us or otherwise, we may not be able to ensure the smooth operation of these licensed online games, and our licensors could terminate or fail to renew the license agreements with us, which could harm our operating results and business.</w:t>
      </w:r>
    </w:p>
    <w:p>
      <w:pPr>
        <w:spacing w:after="0" w:line="17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Moreover, the success of our arrangements with our game licensors depends on the popularity of the games licensed to us by them in the Chinese market, which is affected by, among other things, the frequency and success of updates and expansion packs to those games developed by them over which we have no control. Any failure of such licensors to provide game updates, enhancements and new versions in a timely manner and that are appealing to game players, provide assistance that enables us to effectively promote the games, or otherwise fulfill their obligations under our license agreements could adversely affect the game-playing experience of our game players, damage our reputation, or shorten the life-spans of those games, any of which could result in the loss of game players, acceleration of our amortization of the license fees we have paid for those games, or a decrease in or elimination of our revenues from those games.</w:t>
      </w:r>
    </w:p>
    <w:p>
      <w:pPr>
        <w:spacing w:after="0" w:line="192"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In addition, certain events may limit our licensors’ ability to develop or license online games, such as claims by third parties that their online games infringe such third parties’ intellectual property rights or their inability to acquire or maintain licenses to use another party’s intellectual property in their online games. In the case of such events, our licensors may be unable to continue licensing online games to us or to continue participating in any joint venture with us, regardless of the stability of our relationship with them.</w:t>
      </w:r>
    </w:p>
    <w:p>
      <w:pPr>
        <w:spacing w:after="0" w:line="15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also cannot be certain that these licensed online games will be viewed by the regulatory authorities as complying with content restrictions, will be attractive to users or will be able to compete with games operated by our competitors. We may not be able to fully recover the costs associated with licensing these online games if the games are not popular among users in the PRC, and any difficulties in the operation of these licensed games could harm our business, financial condition and results of operations.</w:t>
      </w:r>
    </w:p>
    <w:p>
      <w:pPr>
        <w:spacing w:after="0" w:line="16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receive relatively lower profits from the operation of online games that we license from third-party developers, and we are subject to certain financial obligations in connection with such licenses.</w:t>
      </w:r>
    </w:p>
    <w:p>
      <w:pPr>
        <w:spacing w:after="0" w:line="16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revenue sharing arrangements for games that we license from third-party developers provide us with relatively less profit than games that we develop in-house. Moreover, to secure the rights to games from such developers, we are required, as licensee of the games, to pay them royalties for the games over the terms of the licenses, to make minimum marketing expenditure commitments, or to provide funds for hardware to operate the games. See Item 4.B. “Business Overview—Our Services—Online Game Services—Our Games—Our Game Library—Licensed Games.” for details about these arrangements. In some cases, we may not be able to recoup our investments in such games. We often must make such commitments and investments without knowing whether the games we are licensing will be successful and generate sufficient revenues to enable us to recoup our costs or for the games to be profitable.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In addition, while we believe that our current cash and cash equivalents and cash flow from operations will be sufficient to meet such financial obligations, it is possible that we may seek to sell equity or debt securities or to obtain a credit facility if our obligations exceed our cash resources. The sale of equity or convertible debt securities could result in dilution to shareholders. The incurrence of indebtedness would result in increased debt service obligations and could result in operating and financial covenants that would restrict operations. Financing may not be available in amounts or on terms acceptable to us, if at all.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alliances may expose us to potential risks.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Strategic alliances with key players in the online game industry and other related industry sectors form part of our strategy to expand our portfolio of online games. In some cases, such alliances may involve our investment into strategic partners, as we have done with a number of game development studios in various countries. However, our ability to grow through future alliances, including through joint ventures and direct investments, will depend on the availability of suitable partners at reasonable terms, our ability to compete effectively to attract these partners, the availability of financing to complete larger joint ventures and investments, and our ability to obtain any required governmental approvals. Further, the benefits of an alliance may take considerable time to develop, and we cannot be certain that any particular alliance will produce its intended benefits.</w:t>
      </w:r>
    </w:p>
    <w:p>
      <w:pPr>
        <w:spacing w:after="0" w:line="17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Future alliances could also expose us to potential risks, including risks associated with the assimilation of new operation technologies and personnel, unforeseen or hidden liabilities, the inability to generate sufficient revenue to offset the costs and expenses of alliances and potential loss of, or harm to, our relationships with employees, customers, licensors and other suppliers as a result of integration of new businesses. Further, we may not be able to maintain a satisfactory relationship with our partners, which could adversely affect our business and results of operations. We have relatively limited experience in identifying, financing or completing strategic alliances compared with some of our competitors. Such transactions and the subsequent integration process would require significant attention from our management. The diversion of our management’s attention and any difficulties encountered with respect to the alliances or in the process of integration could have an adverse effect on our ability to manage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our material intellectual property licenses could have a material adverse effect on our business.</w:t>
      </w:r>
    </w:p>
    <w:p>
      <w:pPr>
        <w:spacing w:after="0" w:line="229"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Certain of our online games rely on intellectual property license agreements which give us the right to use certain names, characters, logos or storylines in connection with online games developed by us. For example, we have a partnership with Marvel Entertainment to create mobile games based on Marvel characters and storylines. If we were to breach any material term of these license agreements, the licensor could terminate the agreement. If the licensor were to terminate our rights to use any such intellectual property for this reason or any other reason, or if a licensor decided not to renew a license agreement upon the expiration of the license term, the loss of such rights could have a material adverse effect on our business. In addition, it can be difficult to identify a suitable intellectual property that can be adapted for use in online games and is recognizable to players in China and elsewhere, and we face significant competition for the rights to such intellectual property from other online game companies. Obtaining license rights, and particularly exclusive license rights, to use third-party intellectual property for use in online games can involve significant expense. In addition, we have previously obtained, and intend to continue to seek to obtain, license rights for works from certain intellectual property owners based outside of China, and our ability to utilize their intellectual property in China may be adversely affected by the scrutiny of such arrangements by the relevant Chinese authorities.</w:t>
      </w:r>
    </w:p>
    <w:p>
      <w:pPr>
        <w:spacing w:after="0" w:line="179"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Even if we obtain license rights for such intellectual property, we cannot assure you that games that we develop utilizing it will be popular and commercial successes and that we will be able to recoup the amounts we pay for the license rights. Moreover, after the expiration of the terms of our license agreements with the relevant copyright holders, we may not be able to renew the agreements with commercial terms that are favorable to us, if at all. Our inability to renew such agreements could force us to discontinue the related online games and have a significant adverse impact on our online game operations and revenues.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Our new games may attract game players away from our existing games, which may have a material adverse effect on our business, financial condition and results of operations.</w:t>
      </w:r>
    </w:p>
    <w:p>
      <w:pPr>
        <w:spacing w:after="0" w:line="166"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Our new online games, including mobile games and PC games, may attract game players away from our existing games and shrink the player base of our existing online games, which could in turn make those existing games less attractive to other game players, resulting in decreased revenues from our existing games. Players of our existing games may also spend less money to purchase time or virtual items in our new games than they would have spent if they had continued playing our existing games. In addition, our game players may migrate from our existing games with a higher profit margin to new games with a lower profit margin. The occurrence of any of the foregoing could have a material and adverse effect on our business, financial condition and results of operations.</w:t>
      </w:r>
    </w:p>
    <w:p>
      <w:pPr>
        <w:spacing w:after="0" w:line="16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Illegal game servers and acts of cheating by players of online games could harm our business and reputation and materially and adversely affect our results of operations.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Several of our competitors have reported in past years that certain third parties have misappropriated the source codes of their games and set up illegal game servers and let their customers play such games on illegal servers without paying for the game playing time. While we already have in place numerous internal control measures to protect the source codes of our games from being stolen and to address illegal server usage and, to date, our games have not to our knowledge experienced such usage, our preventive measures may not be effective. The misappropriation of our game server installation software and installation of illegal game servers could harm our business and reputation and materially and adversely affect our results of operations.</w:t>
      </w:r>
    </w:p>
    <w:p>
      <w:pPr>
        <w:spacing w:after="0" w:line="17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acts of cheating by players of online games could lessen the popularity of our online games and adversely affect our reputation and our results of operations. There have been a number of incidents in previous years where users, through a variety of methods, were able to modify the rules of our online games. Although these users did not gain unauthorized access to our systems, they were able to modify the rules of our online games during gameplay in a manner that allowed them to cheat and disadvantage our other online game users, which often has the effect of causing players to stop using the game and shortening the game’s lifecycle. While we have taken a number of steps to deter our users from engaging in cheating when playing our online games, we cannot assure you that we or the third parties from whom we license some of our online games will be successful or timely in taking corrective steps necessary to prevent users from modifying the rules of our online games.</w:t>
      </w:r>
    </w:p>
    <w:p>
      <w:pPr>
        <w:spacing w:after="0" w:line="178"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If we suspect a player of installing cheating programs on our online games, or of engaging in other types of unauthorized activities, we may freeze that player’s game account or even ban the player from logging on to our games and other media. Such activities to regulate the behavior of our users are essential to maintain a fair playing environment for our users. However, if any of our regulatory activities are found to be wrongly implemented, our users may institute legal proceedings against us for damages or claims. Our business, financial condition and results of operations may be materially and adversely affected as a result.</w:t>
      </w:r>
    </w:p>
    <w:p>
      <w:pPr>
        <w:spacing w:after="0" w:line="172" w:lineRule="exact"/>
        <w:rPr>
          <w:sz w:val="20"/>
          <w:szCs w:val="20"/>
          <w:color w:val="auto"/>
        </w:rPr>
      </w:pPr>
    </w:p>
    <w:p>
      <w:pPr>
        <w:ind w:right="640"/>
        <w:spacing w:after="0" w:line="312" w:lineRule="auto"/>
        <w:rPr>
          <w:sz w:val="20"/>
          <w:szCs w:val="20"/>
          <w:color w:val="auto"/>
        </w:rPr>
      </w:pPr>
      <w:r>
        <w:rPr>
          <w:rFonts w:ascii="Arial" w:cs="Arial" w:eastAsia="Arial" w:hAnsi="Arial"/>
          <w:sz w:val="17"/>
          <w:szCs w:val="17"/>
          <w:b w:val="1"/>
          <w:bCs w:val="1"/>
          <w:color w:val="auto"/>
        </w:rPr>
        <w:t>Our online games will be less likely to be successful if we cannot adopt and implement innovative and effective marketing strategies to attract attention to our games from game players in our targeted demographic groups.</w:t>
      </w:r>
    </w:p>
    <w:p>
      <w:pPr>
        <w:spacing w:after="0" w:line="14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 relatively large number of mobile and PC games are typically available at any given time in the markets in which we launch and operate our online games, and such games compete for attention from the same game player population that we target. Our ability to successfully promote and monetize our online games will depend on our ability to adopt and effectively implement innovative marketing strategies, and particularly marketing through online media such as our 163.com website, social media sites, game live streaming sites and other online game forums, and our ability to cross-market new games to players of our current online games. We also engage in a wide range of other promotional activities such as hosting game tournaments and a forum that provides an online community for elite game players, key opinion leaders and masters of the online game industry to interact. If we fail to adopt and implement such marketing and cross-marketing strategies, or if the marketing strategies of our competitors are more innovative and effective than ours, our online games will be less likely to be successful and as a result we may not be able to achieve an acceptable level of revenue from those games.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Some of our players make sales and purchases of our game accounts and virtual items through third-party auction websites, which may have a negative effect on our net revenues.</w:t>
      </w:r>
    </w:p>
    <w:p>
      <w:pPr>
        <w:spacing w:after="0" w:line="16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Some of our players make sales and purchases of our game accounts and virtual items through unauthorized third-party auction websites in exchange for real money, which we do not and are unable to track or monitor. We do not generate any net revenues from these transactions. Accordingly, purchases and sales of our game accounts or virtual items on third-party websites could lead to decreased sales by us and also put downward pressure on the prices that we charge players for our virtual items and services, all of which could result in lower revenues generated for us by our games. New players may decide not to play our games as a result of any rule changes we might implement to restrict the players’ ability to trade in game accounts or virtual items, which could materially adversely affect our business, financial condition and results of operations.</w:t>
      </w:r>
    </w:p>
    <w:p>
      <w:pPr>
        <w:spacing w:after="0" w:line="17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In addition, such trading activities could run afoul of PRC regulations on virtual currency and subject traders and us to potential liability. See “—Risks Related to Doing Business in China—Restrictions on virtual currency may adversely affect our online game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Other Businesses</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success and future growth of our Youdao business will be affected by the user acceptance and market trend of integration of technology and learning</w:t>
      </w:r>
      <w:r>
        <w:rPr>
          <w:rFonts w:ascii="Arial" w:cs="Arial" w:eastAsia="Arial" w:hAnsi="Arial"/>
          <w:sz w:val="18"/>
          <w:szCs w:val="18"/>
          <w:b w:val="1"/>
          <w:bCs w:val="1"/>
          <w:i w:val="1"/>
          <w:iCs w:val="1"/>
          <w:color w:val="auto"/>
        </w:rPr>
        <w:t>.</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offer online courses and a number of other learning products and services via our majority-controlled subsidiary, Youdao, Inc., or Youdao. Youdao operates in the intelligent learning industry, and its business model features integrating technology closely with learning to provide a more efficient and engaging learning experience. Intelligent learning remains a relatively new concept in China, and there are limited proven methods to project user demand or preference or available industry standards. For example, even with the proliferation of internet and mobile devices in China, we believe that some of Youdao’s target students may still be inclined to choose traditional face-to-face courses over online courses as they find the former more intimate and reliable. We cannot assure you that Youdao’s products and services will continue to be attractive to its users in the future. If Youdao’s offering of learning products and services become less appealing to its users, the financial condition and results of operations of our Youdao business could be materially and adversely affected.</w:t>
      </w:r>
    </w:p>
    <w:p>
      <w:pPr>
        <w:spacing w:after="0" w:line="192"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If we fail to develop and apply our technologies to support and expand Youdao’s product and service offerings or if we fail to timely respond to the rapid changes in industry trends and user preferences, our Youdao business may be materially and adversely affected.</w:t>
      </w:r>
    </w:p>
    <w:p>
      <w:pPr>
        <w:spacing w:after="0" w:line="180"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Over the years, we have developed a number of core technologies to support Youdao’s comprehensive suite of products and services. We also rely on technologies to build and maintain Youdao’s information technology infrastructure. The intelligent learning industry is subject to rapid technological changes and innovations and is affected by unpredictable product lifecycles and user preferences. Our technologies may become obsolete or insufficient, and we may have difficulties in following and adapting to technological changes in the intelligent learning industry in a timely and cost-effective manner. New technologies and solutions developed and introduced by Youdao’s competitors could render its offerings less attractive or obsolete thus materially affecting Youdao’s business and prospects. In addition, our substantial investments in Youdao’s technology may not produce expected results. If we fail to continue to develop, innovate and utilize our technologies to support and expand Youdao’s product and service offerings or if our competitors develop or apply more advanced technologies, the financial condition and results of operations of our Youdao business could be materially and adversely affected.</w:t>
      </w:r>
    </w:p>
    <w:p>
      <w:pPr>
        <w:spacing w:after="0" w:line="1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Our intelligent learning, music streaming, e-commerce and other innovative businesses are subject to a broad range of laws and regulations. Any lack of requisite approvals, licenses or permits applicable to these businesses or any failure to comply with applicable laws or regulations may have a material and adverse impact on our business, financial condition and results of operations.</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intelligent learning, music streaming, e-commerce and other innovative businesses are subject to a broad range of laws and regulations, and future laws and regulations may impose additional requirements and other obligations.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For example, the private education industry in the PRC is subject to various regulations, and certain aspects of Youdao’s business operations may be deemed not to be in full compliance with them. Among other things, a “private school” is required to obtain approval or a permit from the relevant government authorities in China. Although we are of the view that Youdao, as an online education service provider, is different from traditional offline education service providers, it remains unclear in practice as to whether and how an online education service provider needs to comply with the operating permit requirement under applicable PRC law. It is also unclear whether PRC legal restrictions which prohibit after-school training institutions from providing training services to primary and secondary students in the form of consulting would be applicable to NetEase Youdao Computer System Co., Ltd., or Youdao Computer, the variable interest entity, or VIE, through which Youdao provides online education services, as its permitted scope of business includes educational consulting but does not explicitly cover training services to primary and secondary students. In addition, various PRC regulations require that Youdao make certain filings with the relevant provincial regulatory authorities for education and to comply with certain regulatory requirements for its intelligent learning busines. Certain aspects of our Youdao’s business may be deemed to not be in full compliance with such applicable regulatory requirements, with which we have been and are taking measures to comply. As of the date of filing this annual report, we have not received any written notice of warning from, or been subject to penalties imposed by the relevant authorities for alleged failure by Youdao to comply with any applicable regulations and have completed or submitted applications for the filings required by such applicable regulations for most of the mobile apps Youdao operates. We are also preparing the required filings for Youdao’s newly launched and other learning apps. We cannot assure you, however, that we will complete all such filings and comply with other regulatory requirements in a timely manner, or at all.</w:t>
      </w:r>
    </w:p>
    <w:p>
      <w:pPr>
        <w:spacing w:after="0" w:line="174"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Our e-commerce business is also subject to numerous PRC laws and regulations that regulate retailers generally or govern online retailers specifically. See below “—Risks Related to Doing Business in China—We are subject to consumer protection laws that could require us to modify our current business practices and incur increased costs.” We may also be required to obtain licenses and permits from different regulatory authorities in order to sell certain categories of products on our e-commerce platform. In addition, the online activities of all of these businesses are subject to PRC regulations governing foreign ownership of companies in the internet industry and the licensing requirements pertaining to them, as well as internet access and the distribution of online content including music, music videos, online educational content and other forms of content over the internet. See below “—Risks Related to Our Corporate Structure” and “—Risks Related to Doing Business in China.”</w:t>
      </w:r>
    </w:p>
    <w:p>
      <w:pPr>
        <w:spacing w:after="0" w:line="178"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If the PRC governmental authorities determine that we are not in compliance with all the requirements under applicable laws and regulations, we may be subject to fines and/or other sanctions, and our operations could be disrupted. As these industries are evolving rapidly in China, it is also uncertain whether and how the PRC government would promulgate additional laws and regulations regarding our intelligent learning, music streaming, e-commerce and other innovative businesses. If the PRC government requires additional licenses or permits or provides more strict supervision requirements in the future in order for us to conduct these businesses, there is no guarantee that we would be able to obtain such licenses or permits or meet all the supervision requirements in a timely manner, or at all. Failure to maintain or regain compliance may materially and adversely affect our business, financial condition and results of operations.</w:t>
      </w:r>
    </w:p>
    <w:p>
      <w:pPr>
        <w:spacing w:after="0" w:line="188"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Our controlling interest in Youdao may be diluted if Youdao raises additional capital with the issuance and sale of additional equity in the future.</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Youdao, our majority-controlled subsidiary listed on the New York Stock Exchange, may need additional capital in the future to fund its continued operations and support its business growth. As Youdao will continue to invest heavily in sales, marketing and branding efforts and in improving technologies, hiring qualified faculty and research and development, or R&amp;D, personnel and offering additional products, services and content, Youdao may not generate sufficient revenue to offset such expenses. In the future, should Youdao require additional liquidity and capital resources to fund its business and operations, Youdao may need to obtain additional financing, including issuing and selling additional equity or equity-linked securities, or issuing additional equity awards to incentivize its employees, which would dilute our interest in Youdao.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We may be unable to obtain licenses to the music content necessary to provide our music streaming services or to obtain such licenses at an economically viable cost.</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ability to offer online music streaming services through our music streaming platform, NetEase Cloud Music, depends upon maintaining commercially viable licenses or arrangements with copyright owners for music content which is popular in China. The majority of our agreements with copyright owners are usually non-exclusive, while some of our competitors have been entering into exclusive arrangements for music distribution rights in China. Therefore, our competitors offer certain music content that we do not have and we may lose users if those music content caters to their preferences. The competition in China for exclusive or non-exclusive licenses to distribute music content is fierce. As a result, certain owners of music content or exclusive rights to distribute music content have increased the fees they charge us for their content or distribution rights. This trend could increase our costs and operating expenses and could adversely affect our ability to obtain music content at an economically viable cost.</w:t>
      </w:r>
    </w:p>
    <w:p>
      <w:pPr>
        <w:spacing w:after="0" w:line="178"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Furthermore, there is no guarantee that the licenses or arrangements we have now will be renewed in the future. If we are unable to secure and maintain the licenses or similar arrangements that we desire, the size and quality of our music catalog offered by our music streaming platform and the financial condition and results of operations of this business may be materially and adversely affected, which in turn could negatively impact the attractiveness of our brand name and online services in general to our users.</w:t>
      </w:r>
    </w:p>
    <w:p>
      <w:pPr>
        <w:spacing w:after="0" w:line="153"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If we fail to anticipate user preferences to provide online music streaming content catering to user demands, or maintain the activeness of our user community, our ability to attract and retain users may be materially and adversely affected</w:t>
      </w:r>
      <w:r>
        <w:rPr>
          <w:rFonts w:ascii="Arial" w:cs="Arial" w:eastAsia="Arial" w:hAnsi="Arial"/>
          <w:sz w:val="16"/>
          <w:szCs w:val="16"/>
          <w:b w:val="1"/>
          <w:bCs w:val="1"/>
          <w:i w:val="1"/>
          <w:iCs w:val="1"/>
          <w:color w:val="auto"/>
        </w:rPr>
        <w:t>.</w:t>
      </w:r>
    </w:p>
    <w:p>
      <w:pPr>
        <w:spacing w:after="0" w:line="12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The success of our music streaming business relies on our ability to anticipate changes in user preferences and industry dynamics, and respond to such changes in a timely, appropriate and cost-effective manner. Music that was once popular with our users may become less attractive if user preferences evolve. If we fail to cater to the tastes and preferences of our users, or fail to deliver superior user experiences, we may suffer from reduced user traffic and engagement, and the financial condition and results of operations of this business may be materially and adversely affected.</w:t>
      </w:r>
    </w:p>
    <w:p>
      <w:pPr>
        <w:spacing w:after="0" w:line="172"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We expect that a portion of our future revenues will continue to come from our advertising services, but we may not be able to compete effectively in this market because it is evolving and intensely competitive, in which case our ability to generate and maintain advertising revenue in the future could be adversely affected.</w:t>
      </w:r>
    </w:p>
    <w:p>
      <w:pPr>
        <w:spacing w:after="0" w:line="180"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Although we anticipate that the revenues generated by our online games will continue to constitute the major portion of our future revenues, we believe that we will continue to rely on advertising as an important source of revenue for the foreseeable future. The popularity of online advertising in China has been growing quickly in recent years, and many of our current and potential advertisers have gained experience with using the internet as an advertising medium. Our ability to generate and maintain significant advertising revenue will depend on a number of factors, many of which are beyond our control, including:</w:t>
      </w:r>
    </w:p>
    <w:p>
      <w:pPr>
        <w:spacing w:after="0" w:line="176" w:lineRule="exact"/>
        <w:rPr>
          <w:sz w:val="20"/>
          <w:szCs w:val="20"/>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conditions and the general level of advertiser spending;</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a large base of users possessing demographic characteristics attractive to advertisers;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other major and emerging online advertising platforms;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software that blocks internet advertisements before they appear on a user’s screen;</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downward pressure on online advertising prices;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advertising delivery and tracking system.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government policy could also restrict or curtail our online advertising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e-commerce business is subject to challenges and risks, which may lower our profit margin.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established our e-commerce platform, Yanxuan, in April 2016. Yanxuan primarily sells our private label products, including electronic products, food, apparel, homeware, kitchenware and other general merchandise which we primarily source directly from original design manufacturers in China. This business exposes us to challenges and risks that could lower our profit margin. We have incurred significant expenses on a variety of different marketing and brand promotion efforts designed to enhance the recognition of our Yanxuan platform and increase sales of our products on such platform. However, our brand promotion and marketing activities may not be well received by our customers and may not result in the levels of product sales that we anticipate.</w:t>
      </w:r>
    </w:p>
    <w:p>
      <w:pPr>
        <w:spacing w:after="0" w:line="178" w:lineRule="exact"/>
        <w:rPr>
          <w:sz w:val="20"/>
          <w:szCs w:val="20"/>
          <w:color w:val="auto"/>
        </w:rPr>
      </w:pPr>
    </w:p>
    <w:p>
      <w:pPr>
        <w:ind w:firstLine="693"/>
        <w:spacing w:after="0" w:line="269" w:lineRule="auto"/>
        <w:rPr>
          <w:sz w:val="20"/>
          <w:szCs w:val="20"/>
          <w:color w:val="auto"/>
        </w:rPr>
      </w:pPr>
      <w:r>
        <w:rPr>
          <w:rFonts w:ascii="Arial" w:cs="Arial" w:eastAsia="Arial" w:hAnsi="Arial"/>
          <w:sz w:val="17"/>
          <w:szCs w:val="17"/>
          <w:color w:val="auto"/>
        </w:rPr>
        <w:t>We face intense competition from other e-commerce players, private label manufacturers and retailers. The e-commerce industry in China is subject to rapid market change, the introduction of new business models, and the entry of new and well-funded competitors. If we are unable to compete effectively, our e-commerce business’s financial condition and results of operations would be materially and adversely affected. To effectively compete with our competitors in the e-commerce industry, we are also required to adjust and refine our marketing approaches or to introduce new marketing approaches because the marketing approaches and tools in the consumer products market in China are constantly evolving. If we are unable to design marketing activities that will appeal to the Chinese consumers or market in a cost-effective manner, revenues from our e-commerce business will be adversely affected. In addition, our e-commerce business requires us to manage a large volume of inventory effectively and requires a large amount of working capital. If we fail to manage our inventory effectively, we may be subject to a heightened risk of inventory obsolescence, a decline in inventory values, and significant inventory write-downs or write-offs, which may materially and adversely affect our e-commerce business and financial position.</w:t>
      </w:r>
    </w:p>
    <w:p>
      <w:pPr>
        <w:spacing w:after="0" w:line="182"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Moreover, the future growth of our e-commerce business depends on our ability to continue to attract new customers as well as new purchases from existing customers. Constantly changing consumer preferences have affected and will continue to affect the online retail industry. We must stay abreast of emerging consumer preferences and anticipate product trends that will appeal to existing and potential customers. If we are unable to offer products that attract new customers and new purchases from existing customers, our e-commerce business may be materially and adversely affected.</w:t>
      </w:r>
    </w:p>
    <w:p>
      <w:pPr>
        <w:spacing w:after="0" w:line="17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Furthermore, our profit margin from the e-commerce business, even if the business is successful, is likely to be relatively lower than our profit margin from certain of our other businesses, such as our online game business and advertising business. If we cannot successfully address challenges specific to the e-commerce business and compete effectively, we may not be able to recover the costs of our investments, and our future results of operations and growth prospects may be materially and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Operations Overall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compete successfully against new entrants and established industry competitors.</w:t>
      </w:r>
    </w:p>
    <w:p>
      <w:pPr>
        <w:spacing w:after="0" w:line="229"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Chinese market for internet content and services is intensely competitive and rapidly changing. Our competition primarily comes from global online game developers and operators, such as Tencent, established online and offline education service providers in China, as well as leading digital media and entertainment providers. Some of our current and potential competitors are much larger than we are, and currently offer, and could further develop or acquire, content and services that compete with us. We mainly compete to:</w:t>
      </w:r>
    </w:p>
    <w:p>
      <w:pPr>
        <w:spacing w:after="0" w:line="157" w:lineRule="exact"/>
        <w:rPr>
          <w:sz w:val="20"/>
          <w:szCs w:val="20"/>
          <w:color w:val="auto"/>
        </w:rPr>
      </w:pPr>
    </w:p>
    <w:p>
      <w:pPr>
        <w:ind w:left="1000" w:right="280" w:hanging="317"/>
        <w:spacing w:after="0" w:line="308"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attract, engage and retain users based on the design, quality, popularity and efficacy of our content offerings, the overall user experience of our products and services, as well as the effectiveness of our marketing activities;</w:t>
      </w:r>
    </w:p>
    <w:p>
      <w:pPr>
        <w:spacing w:after="0" w:line="146" w:lineRule="exact"/>
        <w:rPr>
          <w:rFonts w:ascii="Arial" w:cs="Arial" w:eastAsia="Arial" w:hAnsi="Arial"/>
          <w:sz w:val="17"/>
          <w:szCs w:val="17"/>
          <w:color w:val="auto"/>
        </w:rPr>
      </w:pPr>
    </w:p>
    <w:p>
      <w:pPr>
        <w:ind w:left="1000" w:right="480" w:hanging="317"/>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motivated and capable talent, including engineers, game designers, product developers and creative professionals to build compelling content, tools and functions; and</w:t>
      </w:r>
    </w:p>
    <w:p>
      <w:pPr>
        <w:spacing w:after="0" w:line="170" w:lineRule="exact"/>
        <w:rPr>
          <w:rFonts w:ascii="Arial" w:cs="Arial" w:eastAsia="Arial" w:hAnsi="Arial"/>
          <w:sz w:val="18"/>
          <w:szCs w:val="18"/>
          <w:color w:val="auto"/>
        </w:rPr>
      </w:pPr>
    </w:p>
    <w:p>
      <w:pPr>
        <w:ind w:left="1000" w:right="360" w:hanging="31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win collaboration relationships with game studios and content owners based on our level of expertise in systematically developing original games, delivering a compelling user experience through operational know-how and customizing established game titles for rapid expansion into overseas markets.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ability to compete depends on a number of other factors as well, some of which may be beyond our control, including alliances, acquisitions or consolidations within our industries that may result in stronger competitors, and changes in the regulatory environment in the markets we operate. Existing and new competitors may leverage their established platforms or market positions, or introduce innovative business models, to launch highly-engaging content, products or services that may attract a large user base and achieve rapid growth, which may materially and adversely affect our business expansion and results of operations. We increasingly face competition from domestic and international players operating in our markets. Because many of our existing competitors as well as a number of potential competitors have longer operating histories in the internet market, greater name and brand recognition, better connections with the Chinese government, larger customer bases and databases and significantly greater financial, technical and marketing resources than we have, we cannot assure you that we will be able to compete successfully against our current or future competitors or that competition will not have a material and adverse effect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keep up with rapid changes in technologies and user behavior, our future success may be adversely affected.</w:t>
      </w:r>
    </w:p>
    <w:p>
      <w:pPr>
        <w:spacing w:after="0" w:line="24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future success will depend on our ability to respond to rapidly changing technologies, adapt our products and services to evolving industry standards and improve the performance and reliability of our products and services. Our failure to adapt to such changes could harm our business. In addition, changes in user behavior resulting from technological developments may also adversely affect us. For example, the number of people accessing the internet through mobile devices, including mobile phones, tablets and other hand-held devices, has increased in recent years, and we expect this trend to continue while 4G, 5G and more advanced mobile communications technologies are broadly implemented. If we fail to develop products and technologies that are compatible with all mobile devices, or if the products and services we develop are not widely accepted and used by users of various mobile devices, we may not be able to penetrate the mobile markets. In addition, the widespread adoption of new internet, networking or telecommunications technologies or other technological changes could require substantial expenditures to modify or integrate our products, services or infrastructure. If we fail to keep up with rapid technological changes to remain competitive, our future success may be adversely affected.</w:t>
      </w:r>
    </w:p>
    <w:p>
      <w:pPr>
        <w:spacing w:after="0" w:line="17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cannot guarantee that our efforts to innovate and explore new areas of operations would be successful or bring positive financial impact to us.</w:t>
      </w:r>
    </w:p>
    <w:p>
      <w:pPr>
        <w:spacing w:after="0" w:line="16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addition to our existing businesses, we continue to invest significant resources in innovation and exploring new products, services and technologies to cater to the rapidly changing customer demands and trends in the internet industry. However, the success of new products and services depends on a number of factors including the quality of our products or services, the acceptance by the targeted customers and our assessment of market demands and trends.</w:t>
      </w:r>
    </w:p>
    <w:p>
      <w:pPr>
        <w:spacing w:after="0" w:line="18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Furthermore, our competitors are constantly developing innovations, on both mobile devices and personal computers, to enhance users’ online experience in areas that we currently operate or areas that we wish to expand our operations into. As a result, our efforts to continuously innovate and explore new growth strategies and introduce new products and services to attract more customers of our services, may not be successful, and we cannot guarantee that our innovation efforts could bring positive financial impact to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gross profit margin and profitability may be affected by changes in our mix of revenues.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gross profit may fluctuate from period to period due to a shifting mix of services and products we sell due to changes in the relative demand for them in the marketplace. Shifts in the mix of our revenue contributed by our different business lines (or by shifts in the sales of individual services or products within such businesses) can impact our gross profit because they generally produces a different level of gross margin. For example, in general our Youdao and innovative businesses and others segments have had lower gross profit margins compared to our online game services segment. These individual gross margins in turn can be impacted in any given period by factors such as competition, the implementation of new regulatory requirements and other factors. If the mix of services and products sold shifts from higher margin business lines to lower margin lines as a result of differing growth rates among such lines (or to lower margin services and products within business lines), our overall gross profit margin and profitability may be adversely affected.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A prolonged slowdown in the PRC or global economy may materially and adversely affect our results of operations, financial condition, prospects and future expansion plans.</w:t>
      </w:r>
    </w:p>
    <w:p>
      <w:pPr>
        <w:spacing w:after="0" w:line="166"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We derive a substantial portion of our revenue from China. As a result, our revenue and net income are impacted to a significant extent by economic conditions in China and globally, as well as economic conditions specific to online and mobile internet usage and advertising. The global economy, markets and levels of consumer spending are influenced by many factors beyond our control, including consumer perception of current and future economic conditions, political uncertainty, levels of employment, inflation or deflation, real disposable income, interest rates, taxation and currency exchange rates.</w:t>
      </w:r>
    </w:p>
    <w:p>
      <w:pPr>
        <w:spacing w:after="0" w:line="17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rate of economic growth in the PRC has been experiencing a slowdown, and China’s gross domestic product decreased by 6.8% in the first quarter of 2020 compared to the same period in 2019, primarily as a result of the COVID-19 pandemic. In addition, any future escalation of the ongoing trade war between the United States and China or ongoing impact of the coronavirus may negatively impact the growth in both the Chinese economy and the global economy as a whole. Although the PRC government has implemented a number of measures to address the slowdown, we cannot be certain that these measures will be successful. Any continuing or worsening slowdown could significantly reduce domestic commerce in China, including through the internet generally and within our ecosystem. An economic downturn, whether actual or perceived, a further decrease in economic growth rates or an otherwise uncertain economic outlook in China or any other market in which we may operate could have a material adverse effect on our business, financial condition and results of operations.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7"/>
          <w:szCs w:val="17"/>
          <w:b w:val="1"/>
          <w:bCs w:val="1"/>
          <w:color w:val="auto"/>
        </w:rPr>
        <w:t>We are subject to a variety of laws and other obligations regarding data protection, and our failure to comply with any of them could result in proceedings against us by governmental entities or others and harm our public image and reputation, which could have a material adverse effect on our business, results of operations and financial condition.</w:t>
      </w:r>
    </w:p>
    <w:p>
      <w:pPr>
        <w:spacing w:after="0" w:line="1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are subject to laws in China relating to the collection, use, sharing, retention, security and transfer of confidential and private information, such as personal information and other data. These laws apply not only to third-party transactions, but also to transfers of information between our company and our subsidiaries and VIEs and among our company, our subsidiaries, VIEs and other parties with which we have commercial relations. These laws are continuing to develop, and the PRC government may adopt other rules and restrictions in the future. According to the Cyber Security Law of the People’s Republic of China, or Cyber Security Law, which was promulgated by the National People’s Congress Standing Committee on November 7, 2016, and took effect on June 1, 2017, we, as a network operator, are obligated to provide technical assistance and support to public security and national security authorities in order to protect national security or assist with criminal investigations. In addition, the Cyber Security Law provides that personal information and important data collected and generated by an operator of critical information infrastructure in the course of its operations in the PRC must be stored in the PRC. We have undertaken significant measures in an effort to ensure compliance with the Cyber Security Law.</w:t>
      </w:r>
    </w:p>
    <w:p>
      <w:pPr>
        <w:spacing w:after="0" w:line="168"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In addition, the General Administration of Quality Supervision, Inspection and Quarantine and Standardization Administration issued the Standard of Information Security Technology—Personal Information Security Specification (2017 edition), which took effect in May 2018. and the Standard of Information Security Technology—Personal Information Security Specification (2020 edition), which will take effect on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 Furthermore, the Cyberspace Administration of China, or CAC, issued the Provisions on the Cyber Protection of Children’s Personal Information, or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such information. We generally comply with industry standards and have established privacy policies to ensure such compliance. However, compliance with any additional laws could be expensive, and may place restrictions on the conduct of our business and the manner in which we interact with our customers. Any failure to comply with applicable regulations could also result in regulatory enforcement actions against 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Recently, there has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the Ministry of Industry and Information Technology, or MIIT (formerly known as the PRC Ministry of Information Industry, or the MII), the Ministry of Public Security and the State Administration for Market Regulation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 If any of our mobile apps are not in compliance with these regulations, we could be subject to potentially serious penalties, including revocation of our business licenses and permits.</w:t>
      </w:r>
    </w:p>
    <w:p>
      <w:pPr>
        <w:spacing w:after="0" w:line="166"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Furthermore, we may be subject to similar data protection laws and other obligations in jurisdictions outside of China where we operate, including the European Union General Data Protection Regulation, or GDPR. Complying with emerging and changing requirements may cause us to incur substantial costs or require us to change our business practices. Non-compliance could result in penalties or significant legal liability, including for example, penalties calculated as a percentage of global revenue under the GDPR.</w:t>
      </w:r>
    </w:p>
    <w:p>
      <w:pPr>
        <w:spacing w:after="0" w:line="15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privacy policies and practices concerning the use and disclosure of data are posted on the NetEase websites and other online and mobile platforms. Any failure by us, our business partners or other parties with whom we do business to comply with its posted privacy policies or with other applicable privacy-related or data protection laws and regulations could result in proceedings against us by governmental entities or others, which could have a material adverse effect on our business, financial condition and results of operations. In addition, any negative publicity on our website or platform’s safety or privacy protection mechanism and policy could harm our public image and reputation and have a material and adverse effect on our business, results of operations and financial condition.</w:t>
      </w:r>
    </w:p>
    <w:p>
      <w:pPr>
        <w:spacing w:after="0" w:line="160" w:lineRule="exact"/>
        <w:rPr>
          <w:sz w:val="20"/>
          <w:szCs w:val="20"/>
          <w:color w:val="auto"/>
        </w:rPr>
      </w:pPr>
    </w:p>
    <w:p>
      <w:pPr>
        <w:jc w:val="both"/>
        <w:ind w:right="360"/>
        <w:spacing w:after="0" w:line="266" w:lineRule="auto"/>
        <w:rPr>
          <w:sz w:val="20"/>
          <w:szCs w:val="20"/>
          <w:color w:val="auto"/>
        </w:rPr>
      </w:pPr>
      <w:r>
        <w:rPr>
          <w:rFonts w:ascii="Arial" w:cs="Arial" w:eastAsia="Arial" w:hAnsi="Arial"/>
          <w:sz w:val="18"/>
          <w:szCs w:val="18"/>
          <w:b w:val="1"/>
          <w:bCs w:val="1"/>
          <w:color w:val="auto"/>
        </w:rPr>
        <w:t>We may be subject to breaches of our information technology systems, including security breaches and improper access to or disclosure of our data or user data, which could materially adversely affect our reputation and our results of operations and financial position and expose us to liability claims.</w:t>
      </w:r>
    </w:p>
    <w:p>
      <w:pPr>
        <w:spacing w:after="0" w:line="18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Any compromise of the security of our information technology systems could materially adversely affect the operations of NetEase’s websites and other online and mobile platforms, and result in improper disclosure of personal information and other data. We transmit and store over our systems confidential and private information of our users, such as personal information, including names, user IDs and passwords, and payment or transaction related information. For example, we rely on our information technology systems to record and monitor the purchase and consumption of virtual items by our game players, which constitute a significant portion of the revenue generated from our online games. In addition, in relation to our e-commerce business, almost all of the orders and some of the payments for products we offer are made through our websites and our mobile applications, and some online payments for our products are settled through third-party online payment services. We also share certain personal information about our customers with contracted third-party couriers, such as their names, addresses, phone numbers and transaction records. Moreover, we have accumulated a large volume of data, which covers customer’s browsing and consumption behavior information, product manufacturing and sales information, warehousing and distribution information and customer service information, among others.</w:t>
      </w:r>
    </w:p>
    <w:p>
      <w:pPr>
        <w:spacing w:after="0" w:line="172"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Hackers develop and deploy viruses, worms, and other malicious software programs to attack websites or other online and mobile platforms and gain access to networks and data centers, and there have been a number of well-publicized malicious attacks against a variety of companies worldwide to gain access to non-public information. Hackers may also act in a coordinated manner to launch distributed denial of service attacks, or other coordinated attacks, that may cause service outages or other interruptions. In addition, we distribute our contents to users based on user interest levels indicated by their past viewing behavior. As a result, our content distribution platforms and the results of our user behavior analysis are subject to attempts of improper access or creating false or undesirable user accounts for purposes of spreading misinformation.</w:t>
      </w:r>
    </w:p>
    <w:p>
      <w:pPr>
        <w:spacing w:after="0" w:line="177"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Although we believe that we have not experienced any hacking activity or security breach that allowed unauthorized access to any information stored on our information technology systems or caused any loss or corruption of personal information and other data, software or other computer equipment, we have been subject to denial of service attacks that have caused portions of our network to be inaccessible for limited periods of time. Although these are industry wide problems that affect many companies worldwide, we anticipate that we may be subject to additional attacks in the future because of the high profile of our company in the Chinese internet industry.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take a number of measures to ensure that our information technology systems are secure, including ensuring that our servers are hosted at physically secure sites and limiting access to server ports. We also use encryption and authentication technologies to secure the transmission and storage of data. These security measures may be compromised as a result of third-party security breaches, employee error, malfeasance, faulty password management, or other irregularities. Third parties may also attempt to fraudulently induce employees or customers into disclosing user names, passwords or other sensitive information, which may in turn be used to access our information technology systems. We expect that we will be required to continue to expend significant resources to system security, data encryption, and other security measures to protect our systems and data, but these security measures cannot provide absolute security.</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the case of a breach of our systems, our data on the purchase and consumption of virtual items by our game players and other personal information of our users such as users of our intelligent education and e-commerce products may be compromised. As a result, our ability to accurately recognize revenues from certain of our online games and the playing experience of our game players could be materially and adversely affected. Moreover, if a computer security breach allows unauthorized access to or release of personal information and other data of our users, our reputation and brand could be materially damaged and use of the NetEase websites and other online and mobile platforms could decrease. We could also be exposed to a risk of loss or litigation and possible liability, which could result in a material adverse effect on our business, results of operations and financial condition.</w:t>
      </w:r>
    </w:p>
    <w:p>
      <w:pPr>
        <w:spacing w:after="0" w:line="16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The success of our business is dependent on our ability to retain our existing key employees and to add and retain senior officers to our management.</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depend on the services of our existing key employees. Our success will largely depend on our ability to retain these key employees and to attract and retain qualified senior and middle level managers to our management team. Future changes in management could cause material disruptions to our business. We also depend on our ability to attract and retain in the future highly skilled technical, editorial, marketing and customer service personnel, especially experienced online game software developers. We cannot assure you that we will be able to attract or retain such personnel or that any personnel we hire in the future will successfully integrate into our organization or ultimately contribute positively to our business. In particular, the market for experienced online game software programmers is intensely competitive in China. While we believe we offer compensation packages that are consistent with market practice, we cannot be certain that we will be able to hire and retain sufficient experienced programmers to support our online games business. We may also be unsuccessful in training and retaining less-experienced programmers on a cost-effective basis. The loss of any of our key employees would significantly harm our business. We do not maintain key person life insurance on any of our employees.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Unexpected network interruption caused by system failures may reduce visitor traffic and harm our reputation.</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Both the continual accessibility of the NetEase websites and other online and mobile platforms and the performance and reliability of our technical infrastructure are critical to our reputation and the ability of the NetEase websites and other online and mobile platforms to attract and retain users and advertisers. Any system failure or performance inadequacy that causes interruptions in the availability of our services or increases the response time of our services could reduce user satisfaction and traffic, which would reduce the NetEase websites and other online and mobile platforms’ appeal to users and advertisers. As the number of NetEase websites, mobile applications and traffic increase, we cannot assure you that we will be able to scale our systems proportionately. Any system failures and electrical outages could materially and adversely impact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are vulnerable to natural disasters, widespread public health problems and other events.</w:t>
      </w:r>
    </w:p>
    <w:p>
      <w:pPr>
        <w:spacing w:after="0" w:line="229"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We have limited backup systems and have experienced system failures and electrical outages from time to time in the past, which have disrupted our operations. Most of our servers and routers are currently located at several different locations in China. Our disaster recovery plan may not fully ensure safety in the event of damage from fire, floods, typhoons, earthquakes, power loss, telecommunications failures, break-ins and similar events. If any of the foregoing occurs, we may experience a system shutdown. We do not carry any business interruption insurance. To improve performance and to prevent disruption of our services, we may have to make substantial investments to deploy additional servers. We carry property insurance with low coverage limits that may not be adequate to compensate us for all losses, particularly with respect to loss of business and reputation that may occur.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adversely affected by widespread public health or other outbreaks and epidemics.</w:t>
      </w:r>
    </w:p>
    <w:p>
      <w:pPr>
        <w:spacing w:after="0" w:line="22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COVID-19, a novel strain of coronavirus, has spread worldwide. This outbreak has caused, and may continue to cause us and certain of our business partners, including game licensors, suppliers, customers, advertisers and manufacturers, to implement temporary adjustments of work schemes allowing employees to work from home. We have taken measures to reduce the impact of this outbreak, including monitoring our employees’ health and optimizing our technology system to support potential growth in game player traffic. However, we and certain of our business partners might still experience lower work efficiency and productivity, which may adversely affect our service quality. This outbreak has also caused restrictions on our employees’ and our business partners’ ability to travel. In addition, the deterioration in economic conditions in connection with the outbreak globally has caused, and may continue to cause, decreases or delays in advertising and marketing service spending and budgets of customers across our platforms. As a result of any of the above developments, our business, financial condition and results of operations could be materially and adversely affected.</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extent to which COVID-19 impacts our results will depend on future developments, which are highly uncertain and cannot be predicted, including new information which may emerge concerning the severity of COVID-19 and the actions to contain the coronavirus or treat its impact, among others. There have also been other outbreaks of epidemics in China and globally in recent years. Our operations could be disrupted if any future outbreak occurs in China, where substantially all of our revenue is derived, or in Beijing, Shanghai, Guangzhou and Hangzhou, where most of our employees are located. Our operations may be impacted due to closures of our offices or the sickness or death of our key officers and employees. Our operations could also be severely disrupted if such health problems or outbreak lead to a general slowdown in the Chinese economy or if our suppliers, customers or business partners were affected by such natural disasters, outbreaks or health epidemics.</w:t>
      </w:r>
    </w:p>
    <w:p>
      <w:pPr>
        <w:spacing w:after="0" w:line="174"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From time to time we may evaluate and consummate strategic investments or acquisitions, which could require significant management attention, disrupt our business and adversely affect our financial results.</w:t>
      </w:r>
    </w:p>
    <w:p>
      <w:pPr>
        <w:spacing w:after="0" w:line="166" w:lineRule="exact"/>
        <w:rPr>
          <w:sz w:val="20"/>
          <w:szCs w:val="20"/>
          <w:color w:val="auto"/>
        </w:rPr>
      </w:pPr>
    </w:p>
    <w:p>
      <w:pPr>
        <w:jc w:val="both"/>
        <w:ind w:right="100" w:firstLine="648"/>
        <w:spacing w:after="0" w:line="279" w:lineRule="auto"/>
        <w:rPr>
          <w:sz w:val="20"/>
          <w:szCs w:val="20"/>
          <w:color w:val="auto"/>
        </w:rPr>
      </w:pPr>
      <w:r>
        <w:rPr>
          <w:rFonts w:ascii="Arial" w:cs="Arial" w:eastAsia="Arial" w:hAnsi="Arial"/>
          <w:sz w:val="17"/>
          <w:szCs w:val="17"/>
          <w:color w:val="auto"/>
        </w:rPr>
        <w:t>We from time to time evaluate and enter into discussions regarding a wide array of potential long-term investments, merger or acquisition transactions. Any transactions that we enter into could be material to our financial condition and results of operations. The process of integrating with another company or integrating an acquired company, business, asset or technology may create unforeseen operating difficulties and expenditures. The areas where we face risks include:</w:t>
      </w:r>
    </w:p>
    <w:p>
      <w:pPr>
        <w:spacing w:after="0" w:line="171"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costs of identifying and consummating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management, technologies and employees of the acquired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or remediation of controls, procedures and policies at the acquired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coordination of products and services, engineering and sales and marketing 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retention of employees from the businesses we acquire;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significant impairment losses related to goodwill and other intangible assets acquired or investments in other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w:t>
      </w:r>
    </w:p>
    <w:p>
      <w:pPr>
        <w:spacing w:after="0" w:line="225"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expenses in obtaining approvals for the transaction from shareholders and relevant government authorities in China;</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980" w:right="160" w:hanging="324"/>
        <w:spacing w:after="0" w:line="308"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case of overseas acquisitions, the need to integrate operations across different cultures and languages and to address the particular economic, currency, political and regulatory risks associated with specific countries; and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achieve the intended objectives, benefits or revenue-enhancing opportunities.</w:t>
      </w:r>
    </w:p>
    <w:p>
      <w:pPr>
        <w:spacing w:after="0" w:line="225"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failure to address these risks or other problems encountered in connection with our future acquisitions and investments could cause us to fail to realize the anticipated benefits of such acquisitions or investments, incur unanticipated liabilities and expenses and harm our business generally. If we use our equity securities to pay for acquisitions, we may dilute the value of your American depositary shares, or ADSs, and the underlying ordinary shares. If we borrow funds to finance acquisitions, such debt instruments may contain restrictive covenants that could, among other things, restrict us from distributing dividends. Such acquisitions and investments may also lead to significant amortization expenses related to intangible assets, impairment charges or write-offs.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server and bandwidth service providers fail to provide these services, our business could be materially curtailed.</w:t>
      </w:r>
    </w:p>
    <w:p>
      <w:pPr>
        <w:spacing w:after="0" w:line="24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rely on affiliates of China Telecom, China Unicom, and China Mobile to provide us with server and bandwidth service for internet users to access the NetEase websites and other online and mobile platforms. If China Telecom, China Unicom, and China Mobile or their affiliates fail to provide such services or raise prices for their services, we may not be able to find a reliable and cost-effective substitute provider on a timely basis or at all. If this happens, our business could be materially curtailed.</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also rely on cloud servers maintained by third-party cloud service providers particularly for our overseas games. We do not control the operation of these providers or their facilities, and the facilities are vulnerable to damage, interruption or misconduct. Unanticipated problems at these facilities could result in lengthy interruptions in our services. Problems with our cloud service providers or the telecommunications network providers with whom they contract could adversely affect the experience of our users. Any change in service levels at our cloud servers or any errors, defects, disruptions, or other performance problems with our platform could harm our business or reputation or we could be required to retain the services of replacement providers, which could increase our operating costs.</w:t>
      </w:r>
    </w:p>
    <w:p>
      <w:pPr>
        <w:spacing w:after="0" w:line="160"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may be held liable for information or content displayed on, retrieved from or linked to the NetEase websites and other NetEase’s online and mobile platforms.</w:t>
      </w:r>
    </w:p>
    <w:p>
      <w:pPr>
        <w:spacing w:after="0" w:line="16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may face liability for defamation, negligence, copyright, patent or trademark infringement and other claims based on the nature and content of the materials that are published on the NetEase websites and other online and mobile platforms. We are involved in intellectual property infringement claims or actions from time to time and are occasionally subject to defamation claims or infringement claims related to individual’s publicity rights. We believe that the amounts claimed in these actions, in the aggregate, are not material to our business. However, these amounts may be increased for a variety of reasons as the claims progress, and we and our affiliates could be subject to additional defamation or infringement claims which, singly or in the aggregate, could have a material adverse effect on our business and results of operations, if successful. We also could be subject to copyright, defamation and other claims based upon user-generated content that is accessible on the NetEase websites or other online and mobile platforms such as content and materials posted or uploaded by users on message boards, online communities, social media platforms, voting systems, e-mail, chat rooms or our other online and mobile platforms including NetEase Cloud Music, NetEase CC live streaming platform and the NetEase News App. By providing technology for hypertext links to third-party websites, we may be held liable for copyright or trademark violations by those third-party sites. Third parties could assert claims against us for losses incurred in reliance on any erroneous information distributed by us. Moreover, users of the NetEase web-based e-mail services could seek damages from us for:</w:t>
      </w:r>
    </w:p>
    <w:p>
      <w:pPr>
        <w:spacing w:after="0" w:line="17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unsolicited e-mails;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lost or misplaced messages;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illegal or fraudulent use of e-mail;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or delays in e-mail service.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incur significant costs in investigating and defending these claims, even if they do not result in liability.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Divestitures of businesses and assets may have a material and adverse effect on our business and financial condition.</w:t>
      </w:r>
    </w:p>
    <w:p>
      <w:pPr>
        <w:spacing w:after="0" w:line="241" w:lineRule="exact"/>
        <w:rPr>
          <w:sz w:val="20"/>
          <w:szCs w:val="20"/>
          <w:color w:val="auto"/>
        </w:rPr>
      </w:pPr>
    </w:p>
    <w:p>
      <w:pPr>
        <w:jc w:val="both"/>
        <w:ind w:right="240" w:firstLine="648"/>
        <w:spacing w:after="0" w:line="287" w:lineRule="auto"/>
        <w:rPr>
          <w:sz w:val="20"/>
          <w:szCs w:val="20"/>
          <w:color w:val="auto"/>
        </w:rPr>
      </w:pPr>
      <w:r>
        <w:rPr>
          <w:rFonts w:ascii="Arial" w:cs="Arial" w:eastAsia="Arial" w:hAnsi="Arial"/>
          <w:sz w:val="16"/>
          <w:szCs w:val="16"/>
          <w:color w:val="auto"/>
        </w:rPr>
        <w:t>We have undertaken, and may undertake in the future, divestitures or other disposal transactions in connection with certain of our businesses and assets, particularly ones that are not closely related to our core focus areas or might require excessive resources or financial capital, to help our company meet its objectives. For example, in September 2019, we sold our e-commerce platform Kaola.</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 These factors may make it difficult for investors and analysts to predict our future earnings potential based on our historical financial performance.</w:t>
      </w:r>
    </w:p>
    <w:p>
      <w:pPr>
        <w:spacing w:after="0" w:line="19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spacing w:after="0" w:line="17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finding buyers for them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CORPORATE STRUCTURE</w:t>
      </w:r>
    </w:p>
    <w:p>
      <w:pPr>
        <w:spacing w:after="0" w:line="225"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If the PRC government finds that the contractual arrangements with our VIEs do not comply with applicable PRC laws and regulations, or if these regulations or their interpretations change in the future, we may be subject to penalties or be forced to relinquish our interests in those operations.</w:t>
      </w:r>
    </w:p>
    <w:p>
      <w:pPr>
        <w:spacing w:after="0" w:line="18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Due to legal restrictions on foreign investment in Chinese companies providing value-added telecommunications services and holding ICP licenses and other regulated licenses, we operate our three business segments through contractual arrangements with the VIEs and their equity holders. The contractual arrangements enable us to (i) hold effective control over the VIEs; (ii) receive the substantially all of the economic benefits of our VIEs; and (iii) have an exclusive option to purchase all or part of the equity interests in the VIEs when and to the extent permitted by PRC law or request any existing shareholders of the VIEs to transfer any or part of the equity interest in the relevant VIE to another PRC person or entity designated by us at any time at our discretion. Because of the contractual arrangements, we are the primary beneficiary of the VIEs and their respective subsidiaries and consolidate the results of operations of the VIEs into ours. Our VIEs and their respective subsidiaries hold the licenses, approvals and key assets that are essential for our business operations.</w:t>
      </w:r>
    </w:p>
    <w:p>
      <w:pPr>
        <w:spacing w:after="0" w:line="18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the PRC government finds that our contractual arrangements do not comply with the existing or future restrictions on foreign investment, or if the PRC government otherwise finds that we, the VIEs or any of their subsidiaries are in violation of the existing or future PRC laws or regulations or lack the necessary permits or licenses to operate our business, the relevant PRC regulatory authorities would have broad discretion in dealing with such violations or failures, including, without limitation:</w:t>
      </w:r>
    </w:p>
    <w:p>
      <w:pPr>
        <w:spacing w:after="0" w:line="171" w:lineRule="exact"/>
        <w:rPr>
          <w:sz w:val="20"/>
          <w:szCs w:val="20"/>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discontinuing or restricting our operations;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imposing fines or confiscating any of our income that they deem to have been obtained through illegal operations;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may not be able to comply;</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us to restructure the relevant ownership structure or operations;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restricting our financing activities to finance the business and operations of our VIEs; or</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Any of these actions could cause significant disruption to our business operations, and may materially and adversely affect our business, financial condition and results of operations. In addition, it is unclear what impact the PRC government actions would have on us and on our ability to consolidate the financial results of any of the VIEs in our consolidated financial statements, if the PRC governmental authorities find our legal structure and contractual arrangements to be in violation of PRC laws, rules and regulations. If any of these penalties results in our inability to direct the activities of VIEs that most significantly impact their economic performance and/or our failure to receive the economic benefits from the VIEs, we may not be able to consolidate the VIEs and their respective subsidiaries into our consolidated financial statements. Please also see the below risk factors “— Substantial uncertainties exist with respect to how the 2019 Foreign Investment Law may impact the viability of our current corporate structure, corporate governance and business operations.” and “— Risks Related to Doing Business in China—The Chinese government restricts the ability for foreign investors to invest in and operate in certain types of telecommunications and internet businesses.”</w:t>
      </w:r>
    </w:p>
    <w:p>
      <w:pPr>
        <w:spacing w:after="0" w:line="16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Substantial uncertainties exist with respect to how the 2019 Foreign Investment Law may impact the viability of our current corporate structure, corporate governance and business operations.</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March 15, 2019, the Standing Committee of National People’s Congress promulgated the Law of Foreign Investment, or the 2019 Foreign Investment Law, which became effective on January 1, 2020. The 2019 Foreign Investment Law replaces the trio of existing laws regulating foreign investment in China, namely, the Sino-Foreign Equity Joint Venture Enterprise Law, the Sino-Foreign Cooperative Joint Venture Enterprise Law and the Wholly Foreign-Owned Enterprise Law, together with their implementation rules and ancillary regulations, and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2019 Law of Foreign Investment, especially in regard to, including, among other things, the nature of VIE structure, the promulgation schedule of both the “negative list” under the 2019 Foreign Investment Law and specific rules regulating the organization form of foreign-invested enterprises within the five-year transition period.</w:t>
      </w:r>
    </w:p>
    <w:p>
      <w:pPr>
        <w:spacing w:after="0" w:line="185"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The “variable interest entity” structure, or VIE structure, has been adopted by many PRC-based companies, including us, to obtain necessary licenses and permits in the industries that are currently subject to foreign investment restrictions in China. See Item</w:t>
      </w:r>
    </w:p>
    <w:p>
      <w:pPr>
        <w:spacing w:after="0" w:line="295" w:lineRule="auto"/>
        <w:rPr>
          <w:sz w:val="20"/>
          <w:szCs w:val="20"/>
          <w:color w:val="auto"/>
        </w:rPr>
      </w:pPr>
      <w:r>
        <w:rPr>
          <w:rFonts w:ascii="Arial" w:cs="Arial" w:eastAsia="Arial" w:hAnsi="Arial"/>
          <w:sz w:val="16"/>
          <w:szCs w:val="16"/>
          <w:color w:val="auto"/>
        </w:rPr>
        <w:t>4.B. “Business Overview—Our Organizational Structure.” While the 2019 Foreign Investment Law and its implementation regulations which took effect on January 1, 2020 do not define contractual arrangements as a form of foreign investment explicitly, we cannot assure you that future laws and regulations will not provide for contractual arrangements as a form of foreign investment. Therefore, there can be no assurance that our control over our VIEs through contractual arrangements will not be deemed as foreign investment in the future.</w:t>
      </w:r>
    </w:p>
    <w:p>
      <w:pPr>
        <w:spacing w:after="0" w:line="16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the event that any possible future laws, administrative regulations or provisions deem contractual arrangements as a way of foreign investment, or if any of our operations through contractual arrangements is classified in the “restricted” or “prohibited” industry in the future “negative list” under the 2019 Foreign Investment Law, our contractual arrangements may be deemed as invalid and illegal, and we may be required to unwind the VIE contractual arrangements and/or dispose of any affected business. Also, if future laws, administrative regulations or provisions mandate further actions to be taken with respect to existing contractual arrangements, we may face substantial uncertainties as to whether we can complete such actions in a timely manner, or at all. In addition, the 2019 Foreign Investment Law provides that foreign invested enterprises established according to the existing laws regulating foreign investment may maintain their structure and corporate governance within a five-year transition period, which means that we may be required to adjust the structure and corporate governance of certain of our PRC subsidiaries after such transition period. Failure to take timely and appropriate measures to cope with any of these or similar regulatory compliance challenges could materially and adversely affect our current corporate structure, corporate governance and business operations.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Our contractual arrangements with our VIEs may not be as effective in providing operational control as direct ownership. If our VIEs or their ultimate shareholders violate our contractual arrangements with them, our business could be disrupted, our reputation may be harmed and we may have to resort to litigation to enforce our rights, which may be time consuming and expensive.</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VIEs are owned by shareholders whose interests may differ from ours and those of our shareholders because they own a larger percentage of such companies than of our company. These affiliated companies or their ultimate shareholders could violate our arrangements with them by, among other things, failing to operate and maintain the NetEase websites and other online and mobile platforms, or their various businesses in an acceptable manner, failing to remit revenue to us on a timely basis or at all or diverting customers or business opportunities from our company. In addition, the operation of the online games licensed from Blizzard is dependent on Shanghai EaseNet, which is owned by William Lei Ding, our Chief Executive Officer, director and major shareholder, and has contractual arrangements with us and with the joint venture established between Blizzard and us. The interests of Mr. Ding and the joint venture may differ from ours and those of our shareholders. A violation of the foregoing agreements could disrupt our business and adversely affect our reputation in the market. If these companies or their ultimate shareholders violate our agreements with them, we may have to incur substantial costs and expend significant resources to enforce those arrangements and rely on legal remedies under the PRC laws. Many PRC laws, rules and regulations are relatively new, and because of the limited volume of published decisions and their non-binding nature, the interpretation and enforcement of these laws, rules and regulations involve substantial uncertainties. These uncertainties may impede our ability to enforce these agreements, or cause us to suffer significant delay or other obstacles in the process of enforcing these agreements, and may materially and adversely affect our results of operations and financial position.</w:t>
      </w:r>
    </w:p>
    <w:p>
      <w:pPr>
        <w:spacing w:after="0" w:line="16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our contractual arrangements with certain of our affiliated entities and their ultimate shareholders do not detail the parties’ rights and obligations, our remedies for a breach of these arrangements are limited.</w:t>
      </w:r>
    </w:p>
    <w:p>
      <w:pPr>
        <w:spacing w:after="0" w:line="16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current relationship with certain affiliated entities, including Guangzhou NetEase Computer System Co., Ltd., or Guangzhou NetEase, Hangzhou NetEase Leihuo Technology Co.,Ltd. (formerly known as Hangzhou NetEase Leihuo Network Co., Ltd.), or Hangzhou Leihuo, Youdao Computer, Shanghai EaseNet, and their ultimate shareholders is based on a number of contracts, and these affiliated companies are considered our VIEs for accounting purposes. The terms of these agreements are often statements of general intent and do not detail the rights and obligations of the parties. Some of these contracts provide that the parties will enter into further agreements on the details of the services to be provided. Others contain price and payment terms that are subject to monthly adjustment. These provisions may be subject to differing interpretations, particularly on the details of the services to be provided and on price and payment terms. It may be difficult for us to obtain remedies or damages from these affiliated entities or their ultimate shareholders for breaching our agreements. Because we rely significantly on these companies for our business, the realization of any of these risks may disrupt our operations or cause degradation in the quality and service provided on, or a temporary or permanent shutdown of, the NetEase websites or other online and mobile platforms.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of our shareholders has significant influence over our company.</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founder, Chief Executive Officer and director, William Lei Ding, beneficially owned, as of December 31, 2019, approximately 45.1% of our outstanding ordinary shares and is our largest shareholder. Accordingly, Mr. Ding has significant influence in determining the outcome of any corporate transaction or other matter submitted to the shareholders for approval, including mergers, consolidations, the sale of all or substantially all of our assets, election of directors and other significant corporate actions. He also has significant influence in preventing or causing a change in control. In addition, without the consent of this shareholder, we may be prevented from entering into transactions that could be beneficial to us. The interests of Mr. Ding may differ from the interests of our other shareholders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A majority of the share capital of certain of our affiliated entities are held by our major shareholder, who may cause these agreements to be amended in a manner that is adverse to us.</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Our major shareholder, William Lei Ding, directly or indirectly holds the majority interest in certain of our VIEs. As a result, Mr. Ding may be able to cause the agreements related to those companies to be amended in a manner that will be adverse to our company, or may be able to cause these agreements not to be renewed, even if their renewal would be beneficial for us. Although we have entered into an agreement that prevents the amendment of these agreements without the approval of the members of our board of directors other than Mr. Ding, we can provide no assurances that these agreements will not be amended in the future to contain terms that might differ from the terms that are currently in place. These differences may be adverse to our interests. In addition, William Lei Ding also holds the entire share capital of Shanghai EaseNet, and we can provide no assurance that Mr. Ding will not cause the agreements related to Shanghai EaseNet to be amended in the future in a manner that will be adverse to us or to contain terms that might differ from the terms that are currently in place. These differences may be adverse to our interests.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conduct our operations without the services provided by certain of our affiliated entities.</w:t>
      </w:r>
    </w:p>
    <w:p>
      <w:pPr>
        <w:spacing w:after="0" w:line="229"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Our operations are currently dependent upon our commercial relationships with our VIEs, and we derive most of our revenues from these companies. If these companies are unwilling or unable to perform the agreements which we have entered into with them, we may not be able to conduct our operations in the manner in which we currently do. In addition, our VIEs may seek to renew these agreements on terms that are disadvantageous to us. Although we have entered into a series of agreements that provide us with substantial ability to control these companies, we may not succeed in enforcing our rights under them. If we are unable to renew these agreements on favorable terms, or to enter into similar agreements with other parties, our business may not expand, and our operating expenses may increase.</w:t>
      </w:r>
    </w:p>
    <w:p>
      <w:pPr>
        <w:spacing w:after="0" w:line="191"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8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NetEase, Inc. is a holding company with no significant assets other than cash on hand and its equity interests in its directly and indirectly-owned subsidiaries, including those set forth in the organizational diagram appearing in Item 4.B. “Business Overview—Our Organizational Structure.” As a result, our primary internal source of funds for our cash and financing requirements is dividend payments and other distributions on equity from our subsidiaries. If these subsidiaries incur debt on their own behalf in the future, the instruments governing the debt may restrict their ability to pay dividends or make other distributions to us, which in turn would limit our ability to pay dividends on our ADSs and service any debt we may incur. PRC tax authorities may also require us to amend our contractual arrangements with our VIEs and their respective shareholders in a manner that would materially and adversely affect the ability of our subsidiaries to pay dividends and other distributions to us. In addition, Chinese legal restrictions permit payment of dividends only out of net income as determined in accordance with Chinese accounting standards and regulations. Under Chinese law, our PRC subsidiaries and VIEs are also required to set aside a portion of their net income each year to fund certain reserve funds, except in cases where a company’s cumulative appropriations have already reached the statutory limit of 50% of that company’s registered capital. These reserves are not distributable as cash dividends. Also see “—Risks Related to Doing Business in China—We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 for further details. Any limitation on the ability of our PRC subsidiaries and VIEs to transfer funds to us in the form of dividends or other distributions could materially and adversely limit our ability to grow, make investments or acquisitions that could be beneficial to our businesses, pay debt or dividends, and otherwise fund and conduct our business.</w:t>
      </w:r>
    </w:p>
    <w:p>
      <w:pPr>
        <w:spacing w:after="0" w:line="390"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In addition,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840"/>
        <w:spacing w:after="0" w:line="282" w:lineRule="auto"/>
        <w:rPr>
          <w:sz w:val="20"/>
          <w:szCs w:val="20"/>
          <w:color w:val="auto"/>
        </w:rPr>
      </w:pPr>
      <w:r>
        <w:rPr>
          <w:rFonts w:ascii="Arial" w:cs="Arial" w:eastAsia="Arial" w:hAnsi="Arial"/>
          <w:sz w:val="18"/>
          <w:szCs w:val="18"/>
          <w:b w:val="1"/>
          <w:bCs w:val="1"/>
          <w:color w:val="auto"/>
        </w:rPr>
        <w:t>Our arrangements with certain of our affiliated entities and their respective shareholders may cause a transfer pricing adjustment and may be subject to scrutiny by the PRC tax authorities.</w:t>
      </w:r>
    </w:p>
    <w:p>
      <w:pPr>
        <w:spacing w:after="0" w:line="16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could face material and adverse tax consequences if the PRC tax authorities determine that our contracts with our VIEs and their respective shareholders were not entered into based on arm’s-length negotiations. Although our contractual arrangements are similar to those of other companies conducting similar operations in China, if the PRC tax authorities determine that these contracts were not entered into on an arm’s-length basis, they may adjust our income and expenses for PRC tax purposes in the form of a transfer pricing adjustment which may result in an increase in our taxes. In addition, the PRC tax authorities may also impose late payment interest.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transfer of shares of certain of our affiliated entities may trigger tax liability.</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If we need to cause the transfer of shareholdings of our VIEs from their current respective shareholders to any other individual, we may be required to pay individual income tax in the PRC on behalf of the transferring shareholder. Such individual income tax would be based on any gain deemed to have been realized by such shareholder on such transfer, and may be calculated based on a tax rate of 20% applied to the transferring shareholder’s interest in net book value of the entity whose shares are being transferred minus the original investment cost. A significant tax obligation arising from any such transfer of shares could materially adversely affect our business and results of operations.</w:t>
      </w:r>
    </w:p>
    <w:p>
      <w:pPr>
        <w:spacing w:after="0" w:line="188"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We may lose the ability to use and enjoy assets held by any of our principal VIEs that are important to the operation of our business if such VIE declares bankruptcy or becomes subject to a dissolution or liquidation proceeding.</w:t>
      </w:r>
    </w:p>
    <w:p>
      <w:pPr>
        <w:spacing w:after="0" w:line="14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principal VIEs hold assets that are material to our business operations, such as our certain intellectual property and core licenses and permits. Although the VIE contracts between our subsidiaries and VIEs and the shareholders of our VIEs contain terms that prohibit the shareholders of our VIEs from adversely affecting the existence of the VIEs, in the event the shareholders breach this obligation and voluntarily liquidate our VIEs, or if any of our VIEs declare bankruptcy and all or part of its assets become subject to liens or rights of third-party creditors, we might be unable to continue some or all of our business operations. Furthermore, if any of our VIEs were to undergo a voluntary or involuntary liquidation proceeding, its shareholders or unrelated third-party creditors might claim rights to some or all of such VIE’s assets and their rights could be senior to our rights under the VIE contracts, thereby hindering our ability to operate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5"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Changes in government regulation of the telecommunications and internet industries in China may result in uncertainties in interpretation and/or the Chinese government requiring us to obtain additional licenses or other governmental approvals to conduct our business, both of which may restrict our operations.</w:t>
      </w:r>
    </w:p>
    <w:p>
      <w:pPr>
        <w:spacing w:after="0" w:line="180" w:lineRule="exact"/>
        <w:rPr>
          <w:sz w:val="20"/>
          <w:szCs w:val="20"/>
          <w:color w:val="auto"/>
        </w:rPr>
      </w:pPr>
    </w:p>
    <w:p>
      <w:pPr>
        <w:ind w:right="280" w:firstLine="648"/>
        <w:spacing w:after="0" w:line="301" w:lineRule="auto"/>
        <w:rPr>
          <w:sz w:val="20"/>
          <w:szCs w:val="20"/>
          <w:color w:val="auto"/>
        </w:rPr>
      </w:pPr>
      <w:r>
        <w:rPr>
          <w:rFonts w:ascii="Arial" w:cs="Arial" w:eastAsia="Arial" w:hAnsi="Arial"/>
          <w:sz w:val="16"/>
          <w:szCs w:val="16"/>
          <w:color w:val="auto"/>
        </w:rPr>
        <w:t>The telecommunications and internet industry, including ICP services and online games, is highly regulated by the Chinese government. In addition, the telecommunication and internet-related laws and regulations are relatively new and constantly evolving, and their interpretation and enforcement involve significant uncertainties. As a result, in certain circumstances, it may be difficult to determine what actions or omissions may be deemed to be in violation of applicable laws and regulations in this area.</w:t>
      </w:r>
    </w:p>
    <w:p>
      <w:pPr>
        <w:spacing w:after="0" w:line="15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Currently, to operate our business in compliance with all the relevant ICP-related Chinese regulations, we have control over our websites and other online and mobile platforms through contractual arrangements. For example, we rely mainly on contractual arrangements with Guangzhou NetEase and Hangzhou Leihuo and their approvals to operate as ICPs as a result of restrictions on foreign investment for businesses providing value-added telecommunications services in China, including internet information services. In addition, Shanghai EaseNet holds the Value-Added Telecommunications Business Operating License issued by the Shanghai Provincial Telecommunications Bureau and the Internet Culture Operating License from the Ministry of Culture, or the MOC (later superseded by the Ministry of Culture and Tourism, or the MOCT), and we rely on contractual arrangements with Shanghai EaseNet for our operations of online games licensed from Blizzard.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evolving PRC regulatory system for the telecommunications and internet industries may lead to the establishment of new regulatory agencies. For example, in May 2011, the State Council, in collaboration with the State Council Information Office, the MIIT and the Ministry of Public Security, announced the establishment of the CAC, whose primary role is to facilitate the policy-making and legislative development in the telecommunications and internet industries by coordinating with other relevant governmental agencies in connection with online content administration and handling cross-ministry regulatory matters in relation to such industries.</w:t>
      </w:r>
    </w:p>
    <w:p>
      <w:pPr>
        <w:spacing w:after="0" w:line="16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we are uncertain as to whether the Chinese government will reclassify our business as a media or retail company, due to our acceptance of fees for internet advertising, online games, e-commerce, and other innovative services as sources of revenues, or as a result of our current corporate structure. Such reclassification could subject us to penalties, fines or significant restrictions on our business. Moreover, NetEase, Inc. may have difficulties enforcing its rights under the agreements with our VIEs if any of these parties breaches any of the agreements with them because NetEase, Inc. does not have approval from appropriate Chinese authorities to provide internet content services, internet advertising services, e-commerce services or other innovative services. Future changes in Chinese government policies affecting the provision of information services, including the provision of online services, internet access, e-commerce services, online advertising and online gaming may impose additional regulatory requirements on us or our service providers or otherwise harm our business.</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Chinese government restricts the ability for foreign investors to invest in and operate in certain types of telecommunications and internet businesses.</w:t>
      </w:r>
    </w:p>
    <w:p>
      <w:pPr>
        <w:spacing w:after="0" w:line="166" w:lineRule="exact"/>
        <w:rPr>
          <w:sz w:val="20"/>
          <w:szCs w:val="20"/>
          <w:color w:val="auto"/>
        </w:rPr>
      </w:pPr>
    </w:p>
    <w:p>
      <w:pPr>
        <w:ind w:right="100" w:firstLine="648"/>
        <w:spacing w:after="0" w:line="285" w:lineRule="auto"/>
        <w:rPr>
          <w:sz w:val="20"/>
          <w:szCs w:val="20"/>
          <w:color w:val="auto"/>
        </w:rPr>
      </w:pPr>
      <w:r>
        <w:rPr>
          <w:rFonts w:ascii="Arial" w:cs="Arial" w:eastAsia="Arial" w:hAnsi="Arial"/>
          <w:sz w:val="16"/>
          <w:szCs w:val="16"/>
          <w:color w:val="auto"/>
        </w:rPr>
        <w:t>Foreign ownership of certain types of telecommunications and internet businesses which we operate, including value-added telecommunications services, internet cultural services and internet publication services, is subject to restrictions under applicable PRC laws. For example, on September 28, 2009, General Administration of Press and Publication, or GAPP, together with the National Copyright Administration and National Office of Combating Pornography and Illegal Publications issued a Notice on Further Strengthening Pre-examination and Pre-approval of Online Games and Administration of Imported Online Games Approval, or Circular</w:t>
      </w:r>
    </w:p>
    <w:p>
      <w:pPr>
        <w:spacing w:after="0" w:line="2" w:lineRule="exact"/>
        <w:rPr>
          <w:sz w:val="20"/>
          <w:szCs w:val="20"/>
          <w:color w:val="auto"/>
        </w:rPr>
      </w:pPr>
    </w:p>
    <w:p>
      <w:pPr>
        <w:ind w:right="120" w:firstLine="8"/>
        <w:spacing w:after="0" w:line="252"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According to Circular 13, foreign investors are not permitted to invest in online game operating businesses in China via wholly-owned, equity joint venture or cooperative joint venture investments and expressly prohibits foreign investors from gaining control over or participating in domestic online game operators through indirect ways such as establishing other joint venture companies, or contractual or technical arrangements. In addition, the Administration of Online Publishing Service jointly issued by the State Administration of Press, Publication, Radio, Film and Television, or the SAPPRFT (later superseded by the National Radio and Television Administration, or NRTA) and MII (later superseded by the MIIT), effective on March 10, 2016, forbids foreign investments in the online publishing business.</w:t>
      </w:r>
    </w:p>
    <w:p>
      <w:pPr>
        <w:spacing w:after="0" w:line="19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With respect to our internet media business, the CAC’s Provisions for the Administration of Internet News Information Services, which became effective from June 1, 2017, expressly prohibit any Sino-foreign equity joint venture or cooperative joint venture or any foreign-funded enterprise to conduct internet-based news information services. We believe we are in compliance with such requirement because our internet media business is conducted through our contractually controlled VIEs that are PRC entities. Additionally, in accordance with the Several Opinions on the Introduction of Foreign Capital to the Culture Sector (Wen Ban Fa [2005] No. 19) issued by the MOC (later superseded by the MOCT) on July 6, 2005, foreign investors (excluding Hong Kong and Macau) are prohibited from establishing or operating internet-based cultural institutions. It is unclear what activities count as “operating internet-based cultural institutions,” however certain services we provide in our innovative businesses and others segment are likely to be deemed as such. We believe we are also in compliance with this requirement because we operate our other innovative businesses and other services through our contractually controlled VIEs.</w:t>
      </w:r>
    </w:p>
    <w:p>
      <w:pPr>
        <w:spacing w:after="0" w:line="18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It is unclear whether the authorities will deem our VIE structure as a kind of such “indirect ways” by foreign investors to gain control over or participate in domestic online game operators, internet-based news information services or internet-based cultural institutions. If our VIE structure is deemed as one such “indirect way,” our VIE structure may be challenged by the authorities and the authorities may require us to restructure our VIE structure and take action to prohibit or restrict our business operations. In such case, we may not be able to operate or control business in the same manner as we currently do and may not be able to consolidate the VIEs. Please also see “Risks Related to Our Corporate Structure” above for a discussion of the risks associated with our VIE structure.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recent years, the PRC government has been promoting foreign investment reform in some sectors and purported to loosen the foreign investment restrictions in those sectors. For example, the Notice of the Ministry of Industry and Information Technology on Removing the Restrictions on Foreign Equity Ratios in Online Data Processing and Transaction Processing (Operating E-commerce) Business promulgated by the MIIT on June 19, 2015, allows foreign investors hold up to 100% of the equity interests in an online data processing and transaction processing business (operational e-commerce) in China. In addition, the National Development and Reform Commission and the Ministry of Commerce jointly published the 2019 edition of the Special Administrative Measures for Access of Foreign Investments, which came into effect on July 30, 2019. The measures remove some of the previous restrictions on value-added telecommunications providers by allowing foreign investors to hold up to 100% of the equity interests in e-commerce, domestic multi-party communication, e-storage and forwarding and call center businesses in China. It is unclear how these new policies will be implemented. More generally, the authorities in China have broad discretion in the determination and interpretation of the rules and regulations regarding foreign investment in the telecommunications and internet business, which may adversely impact our financial statements, operations and cash flows.</w:t>
      </w:r>
    </w:p>
    <w:p>
      <w:pPr>
        <w:spacing w:after="0" w:line="17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The Chinese government has taken steps to limit online game playing time for all minors and to otherwise control the content and operation of online games. These and any other new restrictions on online games may materially and adversely impact our business and results of operations.</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part of its anti-addiction online game policy, the Chinese government has taken several steps to discourage minors under the age of 18 from continuously playing online games once they exceed a set number of hours of continuous play. For example, in July 2005, the MOC (later superseded by the MOCT) and the MII (later superseded by the MIIT) jointly issued an opinion which requires online game operators to develop systems and software for identity certification, to implement anti-addiction modifications to game rules and to restrict players under 18 years of age from playing certain games. Subsequently, in August 2005, GAPP (later superseded by the NRTA) proposed an online game anti-addiction system that would have reduced and eliminated experience points that a user can accumulate after three and five hours of consecutive playing, respectively. In March 2006, GAPP amended its proposal to require players to register with their real names and identity card numbers and to apply the anti-addiction system only to players under 18 years of age. In April 2007, GAPP and several other government authorities jointly promulgated the Notice Concerning the Protection of Minors’ Physical and Mental Well-being and Implementation of Anti-addiction System on Online Games, or the Anti-Addiction Notice, which confirmed the real-name verification proposal and required online game operators to develop and test their anti-addiction systems from April 2007 to July 2007, after which no online games can be registered or operated without an anti-addiction system in accordance with the Anti-Addiction Notice. Accordingly, we implemented our anti-addiction system to comply with the Anti-Addiction Notice. Since its implementation, we have not experienced a significant negative impact on our business as a result of the Anti-Addiction Notice.</w:t>
      </w:r>
    </w:p>
    <w:p>
      <w:pPr>
        <w:spacing w:after="0" w:line="171"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To identify that a game player is a minor and is thus subject to the online game anti-addiction system, a real-name registration system must be adopted to require players to register their real identity information before playing online games. Pursuant to the Notice Regarding the Initiation of Work on the Online Games Real-Name Verification System to Prevent Online Gaming Addiction, or the Commencement of Real-Name Authentication Notice, issued by eight government authorities on July 1, 2011, online game (excluding mobile game) operators must submit the identity information of game players which needs to be further verified to the National Citizen Identity Information Center, a subordinate public institution of the Ministry of Public Security, for verification since October 1, 2011, in an effort to prevent minors from using an adult’s ID to play online games. Violation of the Anti-addiction Notice and the Commencement of Real-name Authentication Notice could result in the termination of the operation of online games. On August 30, 2018, the Implementation Scheme on Comprehensive Prevention and Control of Adolescent Myopia, or the Implementation Scheme, was issued jointly by eight PRC regulatory authorities at the national level, including the GAPP and the SART (later superseded by the NRTA). The Implementation Scheme provides that as a part of the plan to prevent myopia among children, the GAPP will control the number of new online games and take steps to restrict the amount of time children spend on playing online games. On October 25, 2019, the State Administration of Press and Publication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3 hours per day on public holidays and 1.5 hours on other days. In addition, online transactions are capped monthly at RMB200 or RMB400, depending on a minor's age. We have updated our anti-addiction systems accordingly to comply with the above-mentioned requirements. We do not believe that the Implementation Scheme has any material impact on our gaming operations, but we cannot assure you that any future regulations or restrictive rules will not adversely affect our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On July 10, 2019, the MOC (later superseded by the MOCT) announced the abolishment of the Interim Measures on Administration of Online Games, or the Online Games Measures, which had previously regulated activities related to the online game industry, including requirements that game operators follow new registration procedures, publicize information about the content and suitability of their games, prevent access by minors to inappropriate games, avoid certain types of content in games targeted to minors, avoid game content that compels players to kill other players, manage virtual currency in certain ways and register users with their real identities. As of the date of the filing of this annual report, no laws and regulations had been promulgated or published to replace the Online Games Measures. We cannot be sure if or when any future regulations or restrictive rules in this regard will be promulgated and whether they would negatively impact our operations, including by increasing our compliance costs and negatively impacting our ability to launch and operate new games.</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Chinese government has not enacted any laws regarding virtual asset property rights and, accordingly, it is not clear what liabilities, if any, online game providers may have for virtual assets.</w:t>
      </w:r>
    </w:p>
    <w:p>
      <w:pPr>
        <w:spacing w:after="0" w:line="16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One of the features of our PC and mobile massively multiplayer online role-playing game, or MMORPG, which helps to build a large user base and maintain loyalty is that users can accumulate virtual tools, powers and rankings as they play the games. We believe that these virtual assets are highly valued by our users, particularly long-term users, and are traded among users. However, on occasion, such assets can be lost if, for example, a user’s identity is stolen by another user or we experience a system error or crash. Other than the General Rules on the Civil Law of the People’s Republic of China, which was passed by the National People’s Representative Meeting on March 15, 2017 and took effect on October 1, 2017, which prescribes that network virtual property will be protected according to the laws and regulations stipulating the protection of such property, the Chinese government has not yet enacted any specific laws regarding virtual property rights. Accordingly, we have no basis to determine what are the legal rights, if any, associated with virtual assets and what liabilities we could be exposed to for the loss or destruction of virtual assets. We could therefore potentially be held liable for the way in which we handle and protect virtual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virtual currency may adversely affect our online game revenues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large part of our online game revenues are collected through the sale of prepaid points, as described elsewhere on this annual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February 15, 2007, the MOC (later superseded by the MOCT), the People’s Bank of China, or PBOC, and 12 other PRC regulatory authorities jointly issued the Notice on the Reinforcement of the Administration of Internet Cafés and Online Games, or the Internet Cafés Notice, which strengthens the administration of virtual currency in online games to avoid any adverse impact on the PRC economy and financial system. Under the Internet Cafés Notice, the total amount of virtual currency issued by online game operators and the amount purchased by individual users should be strictly limited, with a clear distinction between virtual transactions and real transactions, so that virtual currency should only be used to purchase virtual items.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June 4, 2009, the MOC (later superseded by the MOCT) and the Ministry of Commerce jointly issued the Notice on Strengthening the Administration of Online Game Virtual Currency, or the Online Game Virtual Currency Notice, which defined “Virtual Currency” as a type of virtual exchange instrument that is issued by online game operators, purchased directly or indirectly by the game user by exchanging legal currency at a certain exchange rate, saved outside the game programs, stored in servers provided by the online game operators in electronic record format and represented by specific numeric units. In addition, the Online Game Virtual Currency Notice categorizes companies involved with virtual currency as either issuers or trading platforms and prohibits companies from simultaneously engaging both as issuers and as trading platforms. The Online Game Virtual Currency Notice’s stated objective is to limit the circulation of virtual currency and thereby reduce concerns that it may impact real world inflation. To accomplish this, the Online Game Virtual Currency Notice requires online game operators to report the total amount of their issued virtual currencies on a quarterly basis and to refrain from issuing disproportionate amounts of virtual currencies in order to generate revenues. In addition, the Online Game Virtual Currency Notice reiterates that virtual currency can only be provided to users in exchange for an RMB payment and can only be used to pay for virtual goods and services of the issuers. Online game operators are strictly prohibited from conducting lucky draws or lotteries in which participants pay cash or virtual currency to win game items or virtual currency. The Online Game Virtual Currency Notice also requires online game operators to keep transaction data records for no less than 180 days and to not provide virtual currency trading services to minors.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In order to comply with the requirements of the Online Game Virtual Currency Notice, we may need to change our prepaid point card distribution and database systems, resulting in higher costs of our online game operation, lower sales of our prepaid cards, or other changes in our business model. Such changes may therefore have an adverse effect on our revenues from online games.</w:t>
      </w:r>
    </w:p>
    <w:p>
      <w:pPr>
        <w:spacing w:after="0" w:line="145"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Information displayed on, retrieved from or linked to the NetEase websites and other online and mobile platforms may subject us to claims of violating PRC laws.</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Internet companies in China are subject to a variety of existing and new rules, regulations, policies, and license and permit requirements on the distribution of information over the mobile and internet. Under these rules and regulations, content service providers are prohibited from posting or displaying over the mobile or internet content that, among others, violates PRC laws and regulations, impairs the national security of China, is obscene, superstitious, fraudulent or defamatory, or may be deemed by relevant government authorities as “socially destabilizing” or leaking “state secrets” of China. Violations or perceived violations of Chinese laws arising from information displayed on, retrieved from or linked to the NetEase websites and other online and mobile platforms could result in significant penalties, including a temporary or complete cessation of our business.</w:t>
      </w:r>
    </w:p>
    <w:p>
      <w:pPr>
        <w:spacing w:after="0" w:line="177" w:lineRule="exact"/>
        <w:rPr>
          <w:sz w:val="20"/>
          <w:szCs w:val="20"/>
          <w:color w:val="auto"/>
        </w:rPr>
      </w:pPr>
    </w:p>
    <w:p>
      <w:pPr>
        <w:ind w:right="240" w:firstLine="648"/>
        <w:spacing w:after="0" w:line="291" w:lineRule="auto"/>
        <w:rPr>
          <w:sz w:val="20"/>
          <w:szCs w:val="20"/>
          <w:color w:val="auto"/>
        </w:rPr>
      </w:pPr>
      <w:r>
        <w:rPr>
          <w:rFonts w:ascii="Arial" w:cs="Arial" w:eastAsia="Arial" w:hAnsi="Arial"/>
          <w:sz w:val="16"/>
          <w:szCs w:val="16"/>
          <w:color w:val="auto"/>
        </w:rPr>
        <w:t>Multiple organizations are involved in the administering of such regulations, including the Propaganda Department of the Chinese Communist Party, which has been given the responsibility to censor news published in China to ensure a particular political ideology, and the CAC, which has been given the responsibility to protect, supervise and administer cyber security issues in China. In addition, the MIIT has published implementing regulations that subject online information providers to potential liability for content included in their media and the actions of subscribers and others using their systems, including liability for violation of PRC laws prohibiting the distribution of content deemed to be socially destabilizing. The Ministry of Public Security has also from time to time prohibited the distribution over the internet of information which it believes to be socially destabilizing.</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Ministry of Public Security has the authority to require any local internet service provider to block any website maintained outside China at its sole discretion. The State Secrecy Bureau, which is directly responsible for the protection of state secrets of all PRC government and Chinese Communist Party organizations, is authorized to block any website it deems to be leaking state secrets or failing to meet the relevant regulations relating to the protection of state secrets in the distribution of online information. The term “state secrets” has been broadly interpreted by Chinese governmental authorities in the past. We may be liable under any of these pronouncements for content and materials posted, uploaded or transmitted by users on our platform. User-generated content is accessible on the NetEase websites and our other online and mobile platforms including NetEase News App and NetEase Cloud Music, such as content and materials posted or uploaded by users on message boards, online communities and social media platforms. We have implemented an efficient and thorough content screening and monitoring mechanism for NetEase Cloud Music and our other platforms which involve both automated filtering and manual review, to timely remove any inappropriate or illegal content, including interactive content on our platform. However, such procedures may not prevent all illegal or impropriate content or comments from being posted, and our editorial staff may fail to review and screen such content or comments effectively. Failure to identify and prevent illegal or inappropriate content from being distributed on our platform may subject us to liability. To the extent that PRC regulatory authorities find any content on our platform objectionable, they may require us to limit or eliminate the dissemination of such content on our platform in the form of take-down orders or otherwise. In addition, PRC laws and regulations are subject to interpretation by the relevant authorities, and it may not be possible to determine in all cases the types of content that could result in our liability as a platform operator.</w:t>
      </w:r>
    </w:p>
    <w:p>
      <w:pPr>
        <w:spacing w:after="0" w:line="1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addition, under the relevant regulations, internet companies which provide bulletin board systems, chat rooms or similar services, such as our company, must apply for the approval of the State Secrecy Bureau. As the implementing rules of these regulations have not been issued, we do not know how or when we will be expected to comply, or how our business will be affected by the application of these regulations.</w:t>
      </w:r>
    </w:p>
    <w:p>
      <w:pPr>
        <w:spacing w:after="0" w:line="183"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may not be able to adequately protect our intellectual property, and we may be exposed to infringement claims by third parties.</w:t>
      </w:r>
    </w:p>
    <w:p>
      <w:pPr>
        <w:spacing w:after="0" w:line="166"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We rely on a combination of copyright, trademark, patent and trade secrecy laws and contractual restrictions on disclosure to protect our intellectual property rights. Our efforts to protect our proprietary rights may not be effective in preventing unauthorized parties from copying or otherwise obtaining and using our technology or imitating our name, private label merchandise or other intellectual property. Monitoring unauthorized use of our intellectual property is difficult and costly, and we cannot be certain that the steps we take will effectively prevent misappropriation of our technology or other intellectual property.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From time to time, we may have to resort to litigation to enforce our intellectual property rights, which could result in substantial costs and diversion of our resources. In addition, our current and future business activities, including our portal service and private label merchandise, may infringe upon the proprietary rights of others, and third parties may assert infringement claims against us, including claims alleging, among other things, copyright, trademark or patent infringement. Third parties have initiated litigation against us for alleged infringement of their proprietary rights, and additional claims may arise in the future. In the event of a successful claim of infringement and our failure or inability to develop non-infringing technology or content or to license the infringed or similar technology or content on a timely basis, our business could suffer. Moreover, even if we are able to license the infringed or similar technology or content, license fees that we pay to licensors could be substantial or uneconomical. See Item 4.B. “Business Overview—Intellectual Property.”</w:t>
      </w:r>
    </w:p>
    <w:p>
      <w:pPr>
        <w:spacing w:after="0" w:line="19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We are subject to consumer protection laws that could require us to modify our current business practices and incur increased costs.</w:t>
      </w:r>
    </w:p>
    <w:p>
      <w:pPr>
        <w:spacing w:after="0" w:line="166"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Our e-commerce business is subject to numerous PRC laws and regulations that regulate retailers generally or govern online retailers specifically, such as the Consumer Protection Law. If these regulations were to change or if we or our suppliers were to violate them, the costs of certain products or services could increase, or we could be subject to fines or penalties or suffer reputational harm, which could reduce demand for the products or services offered on our e-commerce platform and hurt our business and results of operations. For example, the amended Consumer Protection Law, which became effective in March 2014, strengthens the protection of consumers and imposes more stringent requirements and obligations on business operators, with a particular focus on businesses that operate via the Internet. Pursuant to the Consumer Protection Law, consumers are generally entitled to return goods purchased within seven days upon receipt without giving any reasons if the purchased are made through the Internet. Consumers whose interests have been harmed due to their purchase of goods or acceptance of services on e-commerce platforms may claim damages from sellers or service providers.</w:t>
      </w:r>
    </w:p>
    <w:p>
      <w:pPr>
        <w:spacing w:after="0" w:line="18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Laws and regulations regarding consumer protection, particularly those involving transactions conducted over the Internet, frequently change and are subject to interpretation. We are therefore unable to predict the ultimate cost of compliance of the relevant laws or regulations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restrictions on financial transactions may adversely affect the operation and profitability of our business.</w:t>
      </w:r>
    </w:p>
    <w:p>
      <w:pPr>
        <w:spacing w:after="0" w:line="241"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June 14, 2010, the PBOC issued the Measures for the Administration of Non-financial Institutions Engaging in Payment and Settlement Services, or the PBOC Measures, which became effective on September 1, 2010 and require that non-financial institutions engaging in the business of effecting payments and settlements before September 1, 2010 obtain a permit from the PBOC by August 31, 2011 to continue operating their business. We currently operate an online payment platform used by both distributors of our prepaid points and end-users of our online services, which requires a permit under the PBOC Measures. In addition, on December 28, 2015, the PBOC issued a notice regarding the Administrative Measures for the Internet Payment Services of Non-banking Payment Institutions, or the PBOC Notice 43, which took effect on July 1, 2016. According to the PBOC Notice 43, a payment institution is required to follow the principles of “know your clients,” and maintain records on its clients using their real names when opening payment accounts for its clients. Pursuant to the PBOC Notice 43, a payment institution shall not engage in, including in a disguised form, such businesses as securities, insurance, credit loans, financing, wealth management, guarantee, trust, currency exchange, cash deposit and withdrawal services. In addition, a payment institution is required to, based on client identity, conduct affiliated management of all the payment accounts opened by the same client. On January 13, 2017, the PBOC issued the Notice of the PBOC on Matters concerning Implementing the Centralized Deposit of the Funds of Pending Payments of Clients of Payment Institutions, which requires that from April 17, 2017, payment institutions transfer a portion of customer reserve funds to a specifically designated bank account upon the request of the PBOC and that no interest be allowed to accrue upon the transferred customer reserve funds. On June 29, 2018, the PBOC issued a further notice that requires payment institutions to cause up to 100% of the customer reserve funds to be transferred to the above-mentioned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in compliance with the PBOC Notice 43 and the recent PBOC requirement to transfer our customer reserve funds to its designated bank account with no interest accrual, however, we cannot predict how the regulations relating to financial transactions will evolve or be certain that we will be able to maintain compliance with all relevant regulations at a reasonable cost. Any inability to continue operating our current online payment platform would likely materially and adversely affect the operation and profitability of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uncertain legal environment in China could limit the legal protections available to you.</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The Chinese legal system is a civil law system based on written statutes. Unlike common law systems, it is a system in which decided legal cases have less precedential value. In the late 1970s, the Chinese government began to promulgate a comprehensive system of laws and regulations governing economic matters. The overall effect of legislation enacted over the past 40 years has significantly enhanced the protections afforded to foreign invested enterprises in China. However, many of these laws, regulations and legal requirements are relatively recent and are evolving rapidly, and their interpretation and enforcement involve uncertainties. These uncertainties could limit the legal protections available to foreign investors.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drafting, interpretation and enforcement in China involve significant uncertainty.</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entered into numerous contracts governed by PRC law, many of which are material to our business. As compared with contracts in the United States, certain contracts governed by PRC law may contain less detail and may not be as comprehensive in defining contracting parties’ rights and obligations in some instances. As a result, those contracts are more vulnerable to disputes and legal challenges. In addition, contract interpretation and enforcement by the court in China is not as developed as in the United States, and the result of contract dispute in certain cases is subject to significant uncertainties. Therefore, we cannot assure you that we will not be subject to disputes under our material contracts, and if such disputes arise, we cannot assure you that we will prevail. Any dispute involving material contracts, even without merit in plaintiff’s regard, may materially and adversely affect our reputation and our business operations, and may cause the price of our ADSs to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China’s political and economic policies could harm our business.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economy of China has historically been a planned economy subject to governmental plans and quotas and has, in certain aspects, been transitioning to a more market-oriented economy. Although we believe that the economic reform and the macroeconomic measures adopted by the Chinese government have had a positive effect on the economic development of China, we cannot predict the future direction of these economic reforms or the effects these measures may have on our business, financial position or results of operations. In addition, the Chinese economy differs from the economies of most countries belonging to the Organization for Economic Co-operation and Development, or OECD. These differences include:</w:t>
      </w:r>
    </w:p>
    <w:p>
      <w:pPr>
        <w:spacing w:after="0" w:line="178"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government involvement in the economy;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capital reinvestment;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control of foreign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methods of allocating resources;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balance of payments position.</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a result of these differences, our business may not develop in the same way or at the same rate as might be expected if the Chinese economy were similar to those of the OECD member countries.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Our business benefits from certain PRC government incentives. Expiration of, or changes to, these incentives and PRC tax laws could have a material adverse effect on our operating results.</w:t>
      </w:r>
    </w:p>
    <w:p>
      <w:pPr>
        <w:spacing w:after="0" w:line="11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China’s Enterprise Income Tax Law, the enterprise income tax, or EIT, rate payable by domestic and foreign-invested enterprises is 25.0%. Preferential tax treatments are granted to entities that conduct business in encouraged sectors and to entities that are classified as “High and New Technology Enterprises,” or HNTEs, or “Software Enterprises” or “Key Software Enterprises,” whether such entities are foreign invested enterprises or domestic companies.</w:t>
      </w:r>
    </w:p>
    <w:p>
      <w:pPr>
        <w:spacing w:after="0" w:line="133"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A number of our subsidiaries enjoy preferential tax rates by being recognized as an HNTE and/or a “Key Software Enterprise.” For example, Boguan and NetEase (Hangzhou) Network Co., Ltd., or NetEase Hangzhou and certain other PRC subsidiaries were qualified as HNTEs and enjoyed a preferential tax rate of 15% for 2017, 2018 and 2019. In addition, Boguan, NetEase Hangzhou and certain other subsidiaries were each qualified as a Key Software Enterprise in 2017, 2018 and 2019 and enjoyed tax benefits in 2017, 2018 and 2019 relating to a further reduced preferential tax rate of 10%. See Item 5.A. “Operating Results—Income Taxes.”</w:t>
      </w:r>
    </w:p>
    <w:p>
      <w:pPr>
        <w:spacing w:after="0" w:line="10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Although we will attempt to obtain or maintain similar preferential tax statuses for our subsidiaries in the future, we cannot assure you that we will obtain or maintain any particular preferential tax status, and typically the relevant government agencies do not confirm that we have obtained or maintained a particular tax status until late in a given tax year or the following tax year. The qualifications for HNTE or “Software Enterprise” or “Key Software Enterprise” status are subject to an annual assessment by the relevant government authorities in China. Without any preferential tax status, the standard EIT rate of 25.0% will apply. Moreover, if there are further changes to the relevant income tax laws and their implementation, our subsidiaries and VIEs may need to pay additional taxes, which could have a material adverse effect on our results of operations.</w:t>
      </w:r>
    </w:p>
    <w:p>
      <w:pPr>
        <w:spacing w:after="0" w:line="11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We may be treated as a resident enterprise for PRC tax purposes under the Enterprise Income Tax Law, which may subject us to PRC income tax for our global income and result in dividends payable by us to our foreign investors, and gains on the sales of our ordinary shares or ADSs, becoming subject to taxes under PRC tax laws, which may materially reduce the value of your investment.</w:t>
      </w:r>
    </w:p>
    <w:p>
      <w:pPr>
        <w:spacing w:after="0" w:line="13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Under the Enterprise Income Tax Law, enterprises established outside of the PRC whose “de facto management bodies” are located in the PRC are considered “resident enterprises,” and will generally be subject to the uniform 25.0% EIT rate for their global income. Under the implementation rules of the Enterprise Income Tax Law, “de facto management body” is defined as the body that has material and overall management control over the business, personnel, accounts and properties of the enterprise. In April 2009, the PRC tax authority promulgated a circular to clarify the criteria for determining whether the “de facto management bodies” are located within the PRC for enterprises established outside of the PRC that are controlled by entities established within the PRC. However, the relevant laws and regulations remain unclear regarding treatment of an enterprise established outside the PRC that is not controlled by entities established within the PRC.</w:t>
      </w:r>
    </w:p>
    <w:p>
      <w:pPr>
        <w:spacing w:after="0" w:line="13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Some of our management is currently located in the PRC. Accordingly, we may be considered a “resident enterprise” and may therefore be subject to the EIT rate of 25.0% of our global income, and as a result, the amount of dividends we can pay to our shareholders could be reduced. We cannot confirm whether we will be considered a “resident enterprise” because the implementation rules are unclear at this time.</w:t>
      </w:r>
    </w:p>
    <w:p>
      <w:pPr>
        <w:spacing w:after="0" w:line="133"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Under the implementation rules of the Enterprise Income Tax Law, dividends paid to “non-resident enterprises” by “resident enterprises” on profits earned after January 1, 2008 are regarded as income from “sources within the PRC” and therefore subject to a</w:t>
      </w:r>
    </w:p>
    <w:p>
      <w:pPr>
        <w:jc w:val="both"/>
        <w:ind w:right="80"/>
        <w:spacing w:after="0" w:line="281" w:lineRule="auto"/>
        <w:rPr>
          <w:sz w:val="20"/>
          <w:szCs w:val="20"/>
          <w:color w:val="auto"/>
        </w:rPr>
      </w:pPr>
      <w:r>
        <w:rPr>
          <w:rFonts w:ascii="Arial" w:cs="Arial" w:eastAsia="Arial" w:hAnsi="Arial"/>
          <w:sz w:val="16"/>
          <w:szCs w:val="16"/>
          <w:color w:val="auto"/>
        </w:rPr>
        <w:t>10.0% withholding income tax, while dividends on profits earned before January 1, 2008 are not subject to the withholding income tax. Similarly, gains realized on the transfer of ordinary shares or ADSs by “non-resident enterprises” are also subject to a 10.0% PRC EIT if such gains are regarded as income derived from sources within the PRC. A lower withholding income tax rate of 5.0% is applied if the “non-resident enterprises” are registered in Hong Kong or other jurisdictions that have a favorable tax treaty arrangement with China.</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Nevertheless, the Announcement on Issues Concerning “Beneficial Owners” in Tax Treaties, or the SAT Circular 9, which was issued on February 3, 2018 by the SAT and effective on April 1, 2018, provides that a “non-resident enterprise” which does not engage in substantive business activities may not be deemed to be a beneficial owner that is entitled to the above-mentioned reduced income tax rate of 5%. It is unclear at this stage whether SAT Circular 9 applies to dividends from our PRC subsidiaries paid to us through our Hong Kong subsidiaries. It is possible that under SAT Circular 9 our Hong Kong subsidiaries would not be considered to be the beneficial owners of any such dividends, and that, if such dividends are subject to withholding, such withholding rate would be 10% rather than the favorable 5% rate generally applicable under the tax treaty between mainland China and Hong Kong.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Because we may be treated as a “resident enterprise,” any dividends paid to the corporate shareholders or shareholders appearing as corporate entities on the share registers of NetEase, Inc. which are considered “non-resident enterprises” may be subject to withholding income tax, and gains realized on the transfer of our ordinary shares or ADSs by such shareholders may be subject to PRC income tax, which may adversely and materially affect the value of the investment in our shares or ADSs.</w:t>
      </w:r>
    </w:p>
    <w:p>
      <w:pPr>
        <w:spacing w:after="0" w:line="16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We and our shareholders face uncertainties with respect to indirect transfers of equity interests in PRC resident enterprises by a non-PRC company.</w:t>
      </w:r>
    </w:p>
    <w:p>
      <w:pPr>
        <w:spacing w:after="0" w:line="166"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On February 3, 2015, the State Administration of Taxation issued the Bulletin on Issues of Enterprise Income Tax on Indirect Transfers of Assets by Non-PRC Resident Enterprises, or Bulletin 7, which has been further amended by the Announcement on Issues Concerning the Withholding of Enterprise Income Tax at Source on Non-PRC Resident Enterprises, or Bulletin 37, issued by the State Administration of Taxation on October 17, 2017 and amended on June 15, 2018. Pursuant to these bulletins, an "indirect transfer" of assets, including equity interests in a PRC resident enterprise, by non-PRC resident enterprises may be re-characterized and treated as a direct transfer of PRC taxable assets, if the arrangement does not have a reasonable commercial purpose and was established for the purpose of avoiding payment of PRC enterprise income tax. As a result, gains derived from this indirect transfer may be subject to PRC enterprise income tax.</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Fluctuation in Renminbi exchange rates could adversely affect the value of our ADSs and any cash dividend declared on them.</w:t>
      </w:r>
    </w:p>
    <w:p>
      <w:pPr>
        <w:spacing w:after="0" w:line="25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value of the RMB against the U.S. dollar and other currencies is affected by changes in China’s political and economic conditions and by China’s foreign exchange policies, among other things. On July 21, 2005, the PRC government changed its policy of pegging the value of the RMB to the U.S. dollar, and the RMB appreciated more than 20% against the U.S. dollar over the following three years. Between July 2008 and June 2010, this appreciation halted and the exchange rate between the RMB and the U.S. dollar remained within a narrow band. The PRC government allowed the RMB to appreciate slowly against the U.S. dollar again, and it had appreciated more than 10% since June 2010 until it began to depreciate against the U.S. dollar in January 2014. Between January 2014 and December 2019, the RMB depreciated against the U.S. dollar by approximately 15%. It is difficult to predict how market forces or PRC or U.S. government policy may impact the exchange rate between the RMB and the U.S. dollar in the future. In addition, there remains significant international pressure on the PRC government to adopt a substantial liberalization of its currency policy, which could result in more uncertainties in the value of the RMB against the U.S. dollar. Our revenues are primarily denominated in Renminbi, and any significant depreciation of the RMB may affect the value of, and dividends (if any) payable on, our ADSs in U.S. dollar terms.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currency exchange may limit our ability to utilize our revenues effectively</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Most of our revenues and operating expenses are denominated in Renminbi. The Renminbi is currently freely convertible under the “current account” which includes dividends, trade and service-related foreign exchange transactions, but not under the “capital account” which includes foreign direct investment and loans.</w:t>
      </w:r>
    </w:p>
    <w:p>
      <w:pPr>
        <w:spacing w:after="0" w:line="184"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Under existing PRC foreign exchange regulations, payments of current account items, including payment of dividends, interest payments and trade and service-related foreign exchange transactions, can be made in foreign currencies without prior approval of the State Administration of Foreign Exchange, or SAFE, by complying with certain procedural requirements. Our PRC subsidiaries and affiliates may also retain foreign exchange in its current account to satisfy foreign exchange liabilities or to pay dividends.</w:t>
      </w:r>
    </w:p>
    <w:p>
      <w:pPr>
        <w:spacing w:after="0" w:line="15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Since a significant amount of our future revenues will be denominated in Renminbi, the existing and any future restrictions on currency exchange may limit our ability to utilize revenues generated in Renminbi to fund our business activities outside China, if any, or expenditures denominated in foreign currencies. In order to limit the flow of capital out of China, the overall current regulatory environment relating to foreign exchange controls in China suggests that, as a matter of practice, SAFE has been making it increasingly difficult to obtain foreign exchange approvals for offshore dividend payments or capital account settlement.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In addition, foreign exchange transactions under the capital account are subject to limitations and require registration with or approval by the relevant PRC governmental authorities. In particular,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Our ability to use the U.S. dollar proceeds of the sale of our equity or debt to finance our business activities conducted through our PRC subsidiaries or VIEs will depend on our ability to obtain these governmental registrations or approvals. In addition, because of the regulatory issues related to foreign currency loans to, and foreign investment in, domestic PRC enterprises, we may not be able to finance the operations of our PRC subsidiaries or VIEs by loans or capital contributions. We cannot assure you that we can obtain these governmental registrations or approvals on a timely basis, if at all. Any future restrictions imposed by SAFE or tightened foreign exchange control by SAFE as a matter of practice may adversely affect our ability to utilize our revenues effectively and pay dividends to our shareholders.</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Failure to comply with PRC regulations regarding the registration requirements for employee equity incentive plans may subject our PRC citizen employees or us to fines and other legal or administrative sanctions.</w:t>
      </w:r>
    </w:p>
    <w:p>
      <w:pPr>
        <w:spacing w:after="0" w:line="170" w:lineRule="exact"/>
        <w:rPr>
          <w:sz w:val="20"/>
          <w:szCs w:val="20"/>
          <w:color w:val="auto"/>
        </w:rPr>
      </w:pPr>
    </w:p>
    <w:p>
      <w:pPr>
        <w:ind w:right="240" w:firstLine="648"/>
        <w:spacing w:after="0" w:line="271" w:lineRule="auto"/>
        <w:rPr>
          <w:sz w:val="20"/>
          <w:szCs w:val="20"/>
          <w:color w:val="auto"/>
        </w:rPr>
      </w:pPr>
      <w:r>
        <w:rPr>
          <w:rFonts w:ascii="Arial" w:cs="Arial" w:eastAsia="Arial" w:hAnsi="Arial"/>
          <w:sz w:val="17"/>
          <w:szCs w:val="17"/>
          <w:color w:val="auto"/>
        </w:rPr>
        <w:t>On February 15, 2012, SAFE issued the Notices on Issues Concerning the Foreign Exchange Administration for Domestic Individuals Participating in Stock Incentive Plan of Overseas-Listed Company, or the Stock Incentive Plan Rule. Under the Stock Incentive Plan Rule, PRC citizens who are granted share options or other employee equity incentive awards by an overseas publicly-listed company are required, through a qualified PRC agent or a PRC subsidiary of such overseas publicly-listed company, to register with SAFE and complete certain other procedures related to the share options or other employee equity incentive plans. We have registered with and obtained approvals from the SAFE office in Beijing for the participants of our equity compensation plans who are PRC citizens. Nevertheless, if we or such PRC participants fail to comply with these regulations, we or such PRC participants may be subject to fines and other legal or administrative sanctions.</w:t>
      </w:r>
    </w:p>
    <w:p>
      <w:pPr>
        <w:spacing w:after="0" w:line="174"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The Chinese government has strengthened the regulation of investments made by Chinese residents in offshore companies and reinvestments in China made by these offshore companies. Our business may be adversely affected by these restrictions.</w:t>
      </w:r>
    </w:p>
    <w:p>
      <w:pPr>
        <w:spacing w:after="0" w:line="12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SAFE has adopted certain regulations that require registration with, and approval from, Chinese government authorities in connection with direct or indirect control of an offshore entity by Chinese residents. The term “control” under SAFE regulation is broadly defined as the operation rights, beneficiary rights or decision-making rights acquired by PRC residents in the offshore special purpose vehicles or PRC companies by means of acquisition, trust, proxy, voting rights, repurchase, convertible bonds or other arrangements. The SAFE regulations retroactively require registration of investments in non-Chinese companies previously made by Chinese residents. In particular, the SAFE regulations require Chinese residents to file with SAFE information about offshore companies in which they have directly or indirectly invested and to make follow-up filings in connection with certain material transactions involving such offshore companies, such as mergers, acquisitions, capital increases and decreases, external equity investments or equity transfers. In addition, Chinese residents must obtain approval from SAFE before they transfer domestic assets or equity interests in exchange for equity or other property rights in an offshore company. A newly established enterprise in China which receives foreign investments is also required to provide detailed information about its controlling shareholders and to certify whether it is directly or indirectly controlled by a domestic entity or resident.</w:t>
      </w:r>
    </w:p>
    <w:p>
      <w:pPr>
        <w:spacing w:after="0" w:line="17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event that a Chinese shareholder with a direct or indirect stake in an offshore parent company fails to make the requisite SAFE registration, the Chinese subsidiaries of such offshore parent company may be prohibited from making distributions of profit to the offshore parent and from paying the offshore parent proceeds from any reduction in capital, share transfer or liquidation in respect of the Chinese subsidiaries. Further, failure to comply with the various SAFE registration requirements described above can result in liability under Chinese law for foreign exchange evasion.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These regulations may have a significant impact on our present and future structuring and investment. We have requested our shareholders who to our knowledge are PRC residents to make the necessary applications, filings and amendments as required under these regulations. We intend to take all necessary measures to ensure that all required applications and filings will be duly made and all other requirements will be met. We further intend to structure and execute our future offshore acquisitions in a manner consistent with these regulations and any other relevant legislation. However, because it is presently uncertain how the SAFE regulations, and any future legislation concerning offshore or cross-border transactions, will be interpreted and implemented by the relevant government authorities in connection with our future offshore financings or acquisitions, we cannot provide any assurances that we will be able to comply with, qualify under, or obtain any approvals required by the regulations or other legislation. Furthermore, we cannot assure you that any PRC shareholders of our company or any PRC company into which we invest will be able to comply with those requirements. The inability of our company or any PRC shareholder to secure required approvals or registrations in connection with our future offshore financings or acquisitions may subject us to legal sanctions, restrict our ability to pay dividends from our Chinese subsidiaries to our offshore holding company, and restrict our overseas or cross-border investment activities or affect our ownership structure.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ADSs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trading price of our ADSs has been and is likely to continue to be volatile, which could result in substantial losses to holders of our ADSs.</w:t>
      </w:r>
    </w:p>
    <w:p>
      <w:pPr>
        <w:spacing w:after="0" w:line="166"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The trading price of our ADSs has been and is likely to continue to be volatile and could fluctuate widely in response to a variety of factors, many of which are beyond our control. For example, the trading prices of our ADSs ranged from US$209.01 to US$325.00 per ADS in 2019. In addition, the performance and fluctuation of the market prices of other companies with business operations located mainly in China, especially internet and technology companies that have listed their securities in the United States, may affect the overall investor attitude towards Chinese public companies. The securities of some of these companies have experienced and may continue to experience significant volatility, resulting from, among other things, underperformance and deteriorating financial results, negative news or perceptions about inadequate corporate governance practices, and fraudulent behaviors of such companies. Consequently, the trading performance of our ADSs may be adversely and materially affected, regardless of our actual operation performance.</w:t>
      </w:r>
    </w:p>
    <w:p>
      <w:pPr>
        <w:spacing w:after="0" w:line="19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operation, including the following:</w:t>
      </w:r>
    </w:p>
    <w:p>
      <w:pPr>
        <w:spacing w:after="0" w:line="170" w:lineRule="exact"/>
        <w:rPr>
          <w:sz w:val="20"/>
          <w:szCs w:val="20"/>
          <w:color w:val="auto"/>
        </w:rPr>
      </w:pPr>
    </w:p>
    <w:p>
      <w:pPr>
        <w:ind w:left="1000" w:right="62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results of operations that are not in line with market or research analyst expectations or changes in financial estimates by securities research analysts;</w:t>
      </w:r>
    </w:p>
    <w:p>
      <w:pPr>
        <w:spacing w:after="0" w:line="170" w:lineRule="exact"/>
        <w:rPr>
          <w:rFonts w:ascii="Arial" w:cs="Arial" w:eastAsia="Arial" w:hAnsi="Arial"/>
          <w:sz w:val="18"/>
          <w:szCs w:val="18"/>
          <w:color w:val="auto"/>
        </w:rPr>
      </w:pPr>
    </w:p>
    <w:p>
      <w:pPr>
        <w:ind w:left="1000" w:right="9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product and service offerings or those of our competitors;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market players in our industries;</w:t>
      </w:r>
    </w:p>
    <w:p>
      <w:pPr>
        <w:spacing w:after="0" w:line="225"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made by us or our competitors of new features or functionalities or other product and service offerings, investments, acquisitions, strategic relationships, joint ventures or capital commitments;</w:t>
      </w:r>
    </w:p>
    <w:p>
      <w:pPr>
        <w:spacing w:after="0" w:line="170" w:lineRule="exact"/>
        <w:rPr>
          <w:rFonts w:ascii="Arial" w:cs="Arial" w:eastAsia="Arial" w:hAnsi="Arial"/>
          <w:sz w:val="18"/>
          <w:szCs w:val="18"/>
          <w:color w:val="auto"/>
        </w:rPr>
      </w:pPr>
    </w:p>
    <w:p>
      <w:pPr>
        <w:ind w:left="1000" w:right="500" w:hanging="317"/>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press and other reports, whether or not true, about our business, including negative reports published by short sellers, regardless of their veracity or materiality to us;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and regulatory allegations or proceedings that involve us;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to or departures of our management;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political or market instability or disruptions, and actual or perceived social unrest in the markets in which we operate;</w:t>
      </w:r>
    </w:p>
    <w:p>
      <w:pPr>
        <w:spacing w:after="0" w:line="236" w:lineRule="exact"/>
        <w:rPr>
          <w:rFonts w:ascii="Arial" w:cs="Arial" w:eastAsia="Arial" w:hAnsi="Arial"/>
          <w:sz w:val="17"/>
          <w:szCs w:val="17"/>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of exchange rates among the Renminbi, the Hong Kong dollar, or HK dollar, and the U.S. dollar;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right="500" w:hanging="317"/>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perceived potential sales or other dispositions of existing or additional ADSs or other equity or equity-linked securities;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actual or alleged illegal acts of our senior management or other key employees;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share repurchase program;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affecting us or our industry, customers, licensors and other suppliers.</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particular, our revenues and results of operations have varied significantly in the past and may continue to fluctuate in the future, which may adversely impact the trading price of our ADSs. Historically, our revenues from advertising and certain other online services have followed the same general seasonal trend throughout each year with the first quarter of the year being the weakest quarter due to the Chinese New Year holiday and the traditional close of customers’ annual budgets and the fourth quarter being the strongest. Usage of online games has generally increased around the Chinese New Year holiday and other Chinese holidays, in particular winter and summer school holidays during which school-aged users have more time to use such services and play games. Our Youdao platform tends to have larger student enrollments in the second and fourth quarters when it offers more courses including, for example, test preparation courses for school exams in the spring and fall semesters and China’s national college entrance exams, national postgraduate entrance exams and college English tests, than it does in the rest of the year. Accordingly, you should not rely on quarter-to-quarter comparisons of our results of operations as an indication of our future performance. It is possible that future fluctuations may cause our results of operations to be below the expectations of market analysts and investors. This could cause the trading price of our ADSs or any other securities of ours which may become publicly traded to decline.</w:t>
      </w:r>
    </w:p>
    <w:p>
      <w:pPr>
        <w:spacing w:after="0" w:line="168"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Furthermore, the stock market in general experiences price and volume fluctuations that are often unrelated or disproportionate to the operating performance of companies like us, such as the large decline in share prices in the United States in early 2020. These market and industry fluctuations may significantly affect the trading price of our ADSs. In the past, following periods of instability in the market price of a company’s securities, shareholders have often instituted securities class action suits against that company.</w:t>
      </w:r>
    </w:p>
    <w:p>
      <w:pPr>
        <w:spacing w:after="0" w:line="15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we fail to maintain an effective system of internal control over financial reporting, we may lose investor confidence in the reliability of our financial statements which in turn could negatively impact the trading price of our ADSs or otherwise harm our reputation.</w:t>
      </w:r>
    </w:p>
    <w:p>
      <w:pPr>
        <w:spacing w:after="0" w:line="180"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SEC, as required under Section 404 of the Sarbanes-Oxley Act of 2002, has adopted rules requiring public companies to include a report of management on the effectiveness of such companies’ internal control over financial reporting in their respective annual reports. In addition, an independent registered public accounting firm for a public company may be required to issue an attestation report on the effectiveness of such company’s internal control over financial reporting.</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management conducted an evaluation of the effectiveness of our internal control over financial reporting and concluded that our internal control over financial reporting was effective as of December 31, 2019. Our independent registered public accounting firm has also, in its audit report, concluded that our internal control over financial reporting was effective in all material aspects as of December 31, 2019. Please refer to Item 15 “Controls and Procedures.” However, if we fail to maintain effective internal control over financial reporting in the future, our management and our independent registered public accounting firm may not be able to conclude that we have effective internal control over financial reporting in accordance with the Sarbanes-Oxley Act of 2002.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or otherwise harm our reputation. Furthermore, we may need to incur additional costs and use additional management and other resources in an effort to comply with Section 404 of the Sarbanes-Oxley Act of 2002 and other requirements going forward.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b w:val="1"/>
          <w:bCs w:val="1"/>
          <w:color w:val="auto"/>
        </w:rPr>
        <w:t>Our auditor, like other independent registered public accounting firms operating in China, is not permitted to be subject to inspection by the Public Company Accounting Oversight Board, and consequently you are deprived of the benefits of such inspection.</w:t>
      </w:r>
    </w:p>
    <w:p>
      <w:pPr>
        <w:spacing w:after="0" w:line="18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auditor, the independent registered public accounting firm that issued the audit report included elsewhere in this annual report, as an auditor of companies that are registered with the SEC and traded publicly in the United States and a firm registered with the U.S. Public Company Accounting Oversight Board, or PCAOB, is subject to the laws in the United States pursuant to which the PCAOB conducts regular inspections to assess its compliance with the applicable professional standards. Our auditor is located in, and organized under the laws of, the PRC, which is a jurisdiction where the PCAOB has been unable to conduct inspections without the approval of the Chinese authorities.</w:t>
      </w:r>
    </w:p>
    <w:p>
      <w:pPr>
        <w:spacing w:after="0" w:line="192"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On May 24, 2013, the PCAOB announced that it had entered into a Memorandum of Understanding on Enforcement Cooperation, or the MOU, with the China Securities Regulatory Commission, or the CSRC, and the PRC Ministry of Finance, or the MOF. The MOU establishes a cooperative framework between the parties for the production and exchange of audit documents relevant to investigations in the US and the PRC. The PCAOB continues to engage in discussions with the CSRC and the MOF to permit joint inspections in China of audit firms that are registered with the PCAOB and audit China-based companies that trade on U.S. exchanges. However, the implementation procedures of the MOU remain uncertain.</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On April 21, 2020, the SEC and the PCAOB issued another joint statement reiterating the greater risk that disclosures will be insufficient in many emerging markets, including China, compared to those made by U.S. domestic companies. In discussing the specific issues related to the greater risk, the statement again highlights the PCAOB's inability to inspect audit work paper and practices of accounting firms in China, with respect to their audit work of U.S. reporting companies. However, it remains unclear what further actions, if any, the SEC and PCAOB will take to address the problem.</w:t>
      </w:r>
    </w:p>
    <w:p>
      <w:pPr>
        <w:spacing w:after="0" w:line="19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lack of PCAOB inspections in China prevents the PCAOB from fully evaluating audits and quality control procedures of our independent registered public accounting firm. As a result, we and our investors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us to lose confidence in our audit procedures and reported financial information and the quality of our financial statements.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part of a continued regulatory focus in the United States on access to audit and other information currently protected by national law, in particular China’s, in June 2019, a bipartisan group of lawmakers introduced bills in both houses of Congress that would require the SEC to maintain a list of issuers for which the PCAOB is not able to inspect or investigate an auditor report issued by a foreign public accounting firm. The Ensuring Quality Information and Transparency for Abroad-Based Listings on our Exchanges (EQUITABLE) Act prescribes increased disclosure requirements for such issuers and, beginning in 2025, the delisting from national securities exchanges such as NASDAQ of issuers included for three consecutive years on the SEC’s list. Enactment of this legislation or other efforts to increase U.S. regulatory access to audit information could cause investor uncertainty for affected issuers, including us, and the market price of our ADSs could be adversely affected. It is unclear if this proposed legislation will be enacted.</w:t>
      </w:r>
    </w:p>
    <w:p>
      <w:pPr>
        <w:spacing w:after="0" w:line="16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We may be adversely affected by the outcome of the administrative proceedings brought by the SEC against the Big Four PRC-based accounting firms.</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December 2012, the SEC brought administrative proceedings against the Big Four accounting firms in China, including our independent registered public accounting firm, alleging that these accounting firms had violated U.S. securities laws and the SEC’s rules and regulations thereunder by failing to provide to the SEC the firms’ audit papers and other documents related to certain PRC-based companies that are publicly traded in the United States.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January 2014, the administrative law judge presiding over the matter reached an initial decision that the firms had each violated the SEC’s rules of practice by failing to produce the audit work papers and related documents directly to the SEC. The initial decision further determined that each of the firms should be censured and barred from practicing before the SEC for a period of six months.</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In February 2015, the four PRC-based accounting firms each agreed to a censure and to pay a fine to the SEC to settle the dispute and avoid suspension of their ability to practice before the SEC and to audit U.S.-listed companies. The settlement required the Chinese firms to follow detailed procedures and to seek to provide the SEC with access to these firms’ audit documents via the CSRC. Under the terms of the settlement, the underlying proceeding against the four China-based accounting firms was deemed dismissed with prejudice four years after entry of the settlement. The four-year anniversary occurred on February 6, 2019. While we cannot predict if the SEC will further challenge the Big Four PRC-based accounting firms’ compliance with U.S. law in connection with U.S. regulatory requests for audit work papers or if the results of such a challenge would result in the SEC imposing penalties such as suspensions, if the accounting firms are subject to additional remedial measures, we may not be able to continue to meet our reporting obligations under the Exchange Act, which may ultimately result in our deregistration by the SEC and delisting from the NASDAQ, in which case our market capitalization may decline sharply and the value of your investment in our ADSs may be materially and adversely affected.</w:t>
      </w:r>
    </w:p>
    <w:p>
      <w:pPr>
        <w:spacing w:after="0" w:line="164" w:lineRule="exact"/>
        <w:rPr>
          <w:sz w:val="20"/>
          <w:szCs w:val="20"/>
          <w:color w:val="auto"/>
        </w:rPr>
      </w:pPr>
    </w:p>
    <w:p>
      <w:pPr>
        <w:ind w:right="520"/>
        <w:spacing w:after="0" w:line="312" w:lineRule="auto"/>
        <w:rPr>
          <w:sz w:val="20"/>
          <w:szCs w:val="20"/>
          <w:color w:val="auto"/>
        </w:rPr>
      </w:pPr>
      <w:r>
        <w:rPr>
          <w:rFonts w:ascii="Arial" w:cs="Arial" w:eastAsia="Arial" w:hAnsi="Arial"/>
          <w:sz w:val="17"/>
          <w:szCs w:val="17"/>
          <w:b w:val="1"/>
          <w:bCs w:val="1"/>
          <w:color w:val="auto"/>
        </w:rPr>
        <w:t>Holders of our ADSs may have difficulty effecting service of process and enforcing judgments obtained against us and our management, and the ability of U.S. authorities to bring actions in the PRC may also be limited.</w:t>
      </w:r>
    </w:p>
    <w:p>
      <w:pPr>
        <w:spacing w:after="0" w:line="14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are a Cayman Islands company, and the major portion of our assets are located outside the United States. A substantial portion of our current operations are conducted in the PRC. In addition, all of our directors and executive officers are nationals and residents of countries other than the United States. A substantial portion of the assets of these persons are located outside the United States. As a result, it may be difficult for holders of our ADSs to effect service of process within the United States upon these persons. It may also be difficult for holders of our ADSs to enforce in Cayman Islands courts or PRC courts judgments obtained in U.S. courts based on the civil liability provisions of the U.S. 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or the PRC would recognize or enforce judgments. Furthermore, class action lawsuits, which are available in the United States for investors to seek remedies, are generally uncommon in the Cayman Islands and the PRC.</w:t>
      </w:r>
    </w:p>
    <w:p>
      <w:pPr>
        <w:spacing w:after="0" w:line="19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SEC, the U.S. Department of Justice and other U.S. authorities may also have difficulties in bringing and enforcing actions against us or our directors or executive officers in the PRC. The SEC has stated that there are significant legal and other obstacles to obtaining information needed for investigations or litigation in China. China has recently adopted a revised securities law which provides, among other things, that without governmental approval in China, no entity or individual in China may provide documents and information relating to securities business activities to overseas regulators which could present significant legal and other obstacles to obtaining information needed for investigations and litigation conducted outside of China.</w:t>
      </w:r>
    </w:p>
    <w:p>
      <w:pPr>
        <w:spacing w:after="0" w:line="1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are classified as a passive foreign investment company, or PFIC, such classification could result in adverse U.S. federal income tax consequences to U.S. investors.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could be classified as a passive foreign investment company, or PFIC, by the U.S. Internal Revenue Service for U.S. federal income tax purposes. Such characterization could result in adverse U.S. federal income tax consequences to you if you are a U.S. investor. For example, U.S. investors who owned our shares or ADSs during any taxable year in which we were a PFIC generally are subject to increased U.S. tax liabilities and reporting requirements for that taxable year and all succeeding years, regardless of whether we actually continue to be a PFIC, although a shareholder election to terminate such deemed PFIC status may be available in certain circumstances.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determination of whether or not we are a PFIC is made on an annual basis and depends on the composition of our income and assets, including goodwill, from time to time. Specifically, we will be classified as a PFIC for U.S. tax purposes for a taxable year if either (a) 75% or more of our gross income for such taxable year is passive income, or (b) 50% or more of the average percentage of our assets during such taxable year either produce passive income or are held for the production of passive income. For such purposes, if we directly or indirectly own 25% or more of the shares of another corporation, we generally will be treated as if we (a) held directly a proportionate share of the other corporation’s assets, and (b) received directly a proportionate share of the other corporation’s income.</w:t>
      </w:r>
    </w:p>
    <w:p>
      <w:pPr>
        <w:spacing w:after="0" w:line="164"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We do not believe that we were a PFIC for the taxable year 2019. The PFIC determination is highly fact intensive and made at the end of each taxable year. For these reasons, there can be no assurance that we were not a PFIC in 2019 or that we will not be a PFIC in any future taxable year or that the U.S. Internal Revenue Service will not challenge our determination concerning our PFIC status.</w:t>
      </w:r>
    </w:p>
    <w:p>
      <w:pPr>
        <w:spacing w:after="0" w:line="14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If we are or become a PFIC, and, if so, if one or more of our subsidiaries are treated as PFICs, U.S. holders of our shares or ADSs would be subject to adverse U.S. federal income tax consequences, such as ineligibility for any preferential tax rates on capital gains or on actual or deemed dividends, interest charges on certain taxes treated as deferred, and additional reporting requirements under U.S. federal income tax laws and regulations. Whether U.S. holders of our shares or ADSs make (or are eligible to make) a timely qualified electing fund, or QEF, election or a mark-to-market election may affect the U.S. federal income tax consequences to U.S. holders with respect to the acquisition, ownership and disposition of our shares and ADSs and any distributions such U.S. holders may receive. We do not, however, expect to provide the information regarding our income that would be necessary in order for a U.S. holder to make a QEF election if we are classified as a PFIC. Investors should consult their own tax advisors regarding all aspects of the application of the PFIC rules to our shares and ADSs.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If we are a PFIC in any year with respect to a U.S. Holder (as defined below), the U.S. Holder will be required to file an annual information return on IRS Form 8621 (or other then applicable IRS Form or statement) regarding distributions received on our shares or ADSs and any gain realized on the disposition of our shares or ADSs, and certain U.S. Holders will be required to file an annual information return (also on IRS Form 8621 or other then applicable IRS Form or statement) relating to their ownership of our shares or ADSs. U.S. Holders should consult their tax advisors regarding the potential application of the PFIC regime and related reporting requirements.</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further discussion of the adverse U.S. federal income tax consequences of our possible classification as a PFIC, see Item 10.E “Additional Information—Taxation—United States Federal Income Taxation.”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Information on the Company</w:t>
      </w:r>
    </w:p>
    <w:p>
      <w:pPr>
        <w:spacing w:after="0" w:line="225" w:lineRule="exact"/>
        <w:rPr>
          <w:sz w:val="20"/>
          <w:szCs w:val="20"/>
          <w:color w:val="auto"/>
        </w:rPr>
      </w:pPr>
    </w:p>
    <w:p>
      <w:pPr>
        <w:ind w:left="680" w:hanging="672"/>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Our business was founded in June 1997, and we began offering search services and free web-based e-mail starting mid-1997 and early-1998, respectively. In mid-1998, we changed our business model from a software developer to an internet technology company and commenced developing the NetEase websites. In mid-1999, we established our advertising sales force to sell advertisements on the NetEase websites and also began to offer online platforms and provide online shopping mall and other online services in China. In 2001, we also began focusing on fee-based premium services and online entertainment services, including online games, wireless value-added services, premium e-mail services and other subscription-type services. We launched our first e-commerce platform, Kaola, in January 2015 which we subsequently sold in September 2019. We launched our second e-commerce platform, Yanxuan, in April 2016.</w:t>
      </w:r>
    </w:p>
    <w:p>
      <w:pPr>
        <w:spacing w:after="0" w:line="192"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addition to organic growth, we have also recently made, or have entered into agreements to make, strategic investments, acquisitions and alliances that are intended to further our strategic objectives. In 2018 and 2019, we entered into definitive agreements with several investors for an over $1.4 billion financing for NetEase Cloud Music, our music streaming platform. Following the closing of such financing in 2019, we maintained a majority ownership in NetEase Cloud Music.</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October 26, 2019, Youdao, one of our majority-controlled subsidiaries, completed its initial public offering on the New York Stock Exchange. After Youdao’s offering, we continue to control Youdao and consolidate it in our financial results.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Our company was incorporated in the Cayman Islands, and it operates under the Cayman Islands Companies Law (2020 Revision). Our principal executive offices are located at NetEase Building, No.599 Wangshang Road, Binjiang District, Hangzhou, People’s Republic of China 310052. Our telephone number is (86-571) 8985-3378.</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principal capital expenditures for 2019 consisted mainly of the construction of our new office buildings and warehouses in Guangzhou and Hangzhou in China, acquisition of new servers in connection with the operation of our online games and developing the expansion packages of such games, and upgrades of our online service infrastructure for a total of approximately RMB1,209.5 million (US$173.7 million). Our principal capital expenditures for 2018 consisted mainly of the construction of our new office buildings in Hangzhou and Guangzhou in China, acquisition of new servers in connection with the operation of our online games and developing the expansion packages of such games, and upgrades of our online service infrastructure, for a total of approximately RMB2,169.4 million. Our principal capital expenditures for 2017 consisted mainly of costs incurred for the construction of our new office buildings in Zhoushan, Guangzhou and Hangzhou in China, acquisition of new servers in connection with the operation of our online games and developing the expansion packages of such games, and upgrades of our online service infrastructure, for a total of approximately RMB1,654.5 million. In addition, in connection with the licensing of certain online games by Blizzard to Shanghai EaseNet for operation in the PRC, during the respective terms of the licenses, Shanghai EaseNet as licensee of the games is required to pay royalty fees to Blizzard for the games, have a minimum marketing expenditure commitment, and provide funds for hardware to operate the games.</w:t>
      </w:r>
    </w:p>
    <w:p>
      <w:pPr>
        <w:spacing w:after="0" w:line="16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of December 31, 2019, we had capital expenditure commitments of RMB1,472.6 million (US$211.5 million) for 2020 onwards, which primarily consist of commitments made in connection with the construction of new office buildings in Guangzhou and Shanghai. Our capital expenditures in 2019 have been, and future capital expenditures are expected to continue to be, funded by operating cash flows and our existing capital resources.</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120"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ORGANIZATIONAL STRUCTURE</w:t>
      </w:r>
    </w:p>
    <w:p>
      <w:pPr>
        <w:spacing w:after="0" w:line="229"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conduct our business in China through our subsidiaries, including our VIEs. Due to legal restrictions and prohibitions on foreign investment in Chinese companies providing, among other things, value-added telecommunications services, internet cultural services and internet publication services, we operate our three business segments through contractual arrangements with the VIEs and their VIE equity holders. The contractual arrangements enable us to: (a) collectively exercise effective control over our VIEs and their subsidiaries; (b) receive substantially all of the economic benefits of our VIEs and their subsidiaries; and (c) have an exclusive option to purchase all or part of the equity interests in our VIEs when and to the extent permissible under PRC laws. The VIEs hold ICP licenses and other regulated licenses in which foreign investment is restricted or prohibited and operate our internet businesses and other businesses. Under the contractual arrangements, we provide our computer software, mobile applications, technologies and relevant services to such affiliated companies and they operate the NetEase online game services, education platforms, websites, as well as our other online businesses. For more information on these agreements, see Item 7.B. “Major Shareholders and Related Party Transactions —Related Party Transactions.”</w:t>
      </w:r>
    </w:p>
    <w:p>
      <w:pPr>
        <w:spacing w:after="0" w:line="18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Starting in August 2008, Blizzard agreed to license certain online games to Shanghai EaseNet for operation in the PRC. Shanghai EaseNet is a PRC company owned by William Lei Ding, our Chief Executive Officer, director and major shareholder and has contractual arrangements with the joint venture established between, and owned equally by, Blizzard and us. The joint venture was established concurrently with the licensing of games from Blizzard in August 2008 and provides technical services to Shanghai EaseNet.</w:t>
      </w:r>
    </w:p>
    <w:p>
      <w:pPr>
        <w:spacing w:after="0" w:line="15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As a result of these contractual arrangements, we bear the risks of, and enjoy the rewards associated with, and therefore are the primary beneficiary of these entities. We therefore consolidate the results of operations of these entities and their subsidiaries in our consolidated financial statements. See also Item 5 “Operating and Financial Review and Prospects.”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Any violations by our VIEs of our agreements with them could disrupt our operations or adversely affect our services. See Item 3.D. “Risk Factors” for a detailed discussion of the risks to NetEase, Inc. regarding its dependency on these companies.</w:t>
      </w:r>
    </w:p>
    <w:p>
      <w:pPr>
        <w:spacing w:after="0" w:line="146"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diagram below shows our significant subsidiaries, as that term is defined under Section 1-02 of Regulation S-X under the Securities Act, and certain other subsidiaries and VIEs as of April 17, 2020, other than our joint venture with Blizzard, which is described separately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5100320" cy="48437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00320" cy="4843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Hangzhou NetEase Leihuo Technology Co., Ltd. is owned by two of our employees.</w:t>
      </w:r>
    </w:p>
    <w:p>
      <w:pPr>
        <w:spacing w:after="0" w:line="23" w:lineRule="exact"/>
        <w:rPr>
          <w:rFonts w:ascii="Arial" w:cs="Arial" w:eastAsia="Arial" w:hAnsi="Arial"/>
          <w:sz w:val="18"/>
          <w:szCs w:val="18"/>
          <w:color w:val="auto"/>
        </w:rPr>
      </w:pPr>
    </w:p>
    <w:p>
      <w:pPr>
        <w:ind w:left="340" w:right="39" w:hanging="334"/>
        <w:spacing w:after="0" w:line="25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Guangzhou NetEase Computer System Co., Ltd and Hangzhou Ledu Technology Co., Ltd. is 99.0% owned by William Lei Ding, our founder, Chief Executive Officer and director, and 1.0% by two of our employees, respectively. Our indirect, wholly owned subsidiary NetEase Information Technology (Beijing) Co., Ltd. is also a party to certain contractual arrangements with Guangzhou NetEase Computer System Co., Ltd.</w:t>
      </w:r>
    </w:p>
    <w:p>
      <w:pPr>
        <w:spacing w:after="0" w:line="1" w:lineRule="exact"/>
        <w:rPr>
          <w:rFonts w:ascii="Arial" w:cs="Arial" w:eastAsia="Arial" w:hAnsi="Arial"/>
          <w:sz w:val="18"/>
          <w:szCs w:val="18"/>
          <w:color w:val="auto"/>
        </w:rPr>
      </w:pPr>
    </w:p>
    <w:p>
      <w:pPr>
        <w:ind w:left="340" w:right="139" w:hanging="334"/>
        <w:spacing w:after="0" w:line="260"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Beijing NetEase Youdao Computer System Co., Ltd. is 71.1% owned by William Lei Ding and 28.9% owned by the chief executive officer of Youdao, Inc.</w:t>
      </w:r>
    </w:p>
    <w:p>
      <w:pPr>
        <w:spacing w:after="0" w:line="200" w:lineRule="exact"/>
        <w:rPr>
          <w:sz w:val="20"/>
          <w:szCs w:val="20"/>
          <w:color w:val="auto"/>
        </w:rPr>
      </w:pPr>
    </w:p>
    <w:p>
      <w:pPr>
        <w:spacing w:after="0" w:line="32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239"/>
          </w:cols>
          <w:pgMar w:left="1220" w:top="125" w:right="1440"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a successful online game business, developing and operating a rich portfolio of highly popular titles. We currently offer over 140 mobile and PC games across a wide range of genres, satisfying the ever growing and diversifying needs of the gamer community. Leveraging on our user insights and execution expertise, we have also incubated and developed in-house a pipeline of innovative and successful businesses, including intelligent learning and other businesses, ranging from music streaming and private label e-commerce to internet media, e-mail service and others. As of December 31, 2019, we had approximately 1.0 billion registered e-mail users and more than 800 million NetEase Cloud Music registered users. We also had over 100 million Youdao average monthly active users, or MAUs, in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Online Game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Games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game products and services are comprised of in-house developed mobile and PC games as well as games licensed from renowned global developers. As a global early mover that anticipated and captured the trend toward mobile games, we have significantly expanded our portfolio of mobile game offerings in recent years. At the same time, our flagship titles continue to provide solid support for our online games business with persistent longevity and user loyalty. In addition, while solidifying our leadership position in the Chinese domestic market, we have also expanded globally with launches in Japan, Southeast Asia, the United States and other international markets.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Game Library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Mobile games have gained increasing popularity and an expanding user base as internet users in China and across the world rely more and more on mobile devices to access the internet. We are one of the largest mobile game providers globally in terms of game revenue, having commercially launched over 100 mobile games of various genres as of December 31, 2019, including in-house developed and licensed MMORPGs, collectible card games, or CCGs, first-person shooter games, battle arena games, and simulation games, or SLGs. Revenues from mobile games accounted for 71.4% of our net revenues from online game services in 2019.</w:t>
      </w:r>
    </w:p>
    <w:p>
      <w:pPr>
        <w:spacing w:after="0" w:line="16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To date, the majority of our most popular mobile games are in-house developed games. We have launched the mobile versions of our in-house developed flagship MMORPGs, including the </w:t>
      </w:r>
      <w:r>
        <w:rPr>
          <w:rFonts w:ascii="Arial" w:cs="Arial" w:eastAsia="Arial" w:hAnsi="Arial"/>
          <w:sz w:val="18"/>
          <w:szCs w:val="18"/>
          <w:i w:val="1"/>
          <w:iCs w:val="1"/>
          <w:color w:val="auto"/>
        </w:rPr>
        <w:t>Fantasy Westward Journey</w:t>
      </w:r>
      <w:r>
        <w:rPr>
          <w:rFonts w:ascii="Arial" w:cs="Arial" w:eastAsia="Arial" w:hAnsi="Arial"/>
          <w:sz w:val="18"/>
          <w:szCs w:val="18"/>
          <w:color w:val="auto"/>
        </w:rPr>
        <w:t xml:space="preserve"> and </w:t>
      </w:r>
      <w:r>
        <w:rPr>
          <w:rFonts w:ascii="Arial" w:cs="Arial" w:eastAsia="Arial" w:hAnsi="Arial"/>
          <w:sz w:val="18"/>
          <w:szCs w:val="18"/>
          <w:i w:val="1"/>
          <w:iCs w:val="1"/>
          <w:color w:val="auto"/>
        </w:rPr>
        <w:t>Westward Journey Online</w:t>
      </w:r>
      <w:r>
        <w:rPr>
          <w:rFonts w:ascii="Arial" w:cs="Arial" w:eastAsia="Arial" w:hAnsi="Arial"/>
          <w:sz w:val="18"/>
          <w:szCs w:val="18"/>
          <w:color w:val="auto"/>
        </w:rPr>
        <w:t xml:space="preserve"> mobile games. We distribute our mobile games through partnerships with major Android- and iOS-based application stores in China, as well as our proprietary distribution channels. We offer a variety of in-game virtual items that players can purchase, including avatars, skills, privileges and other in-game consumables, features and functionalities.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major mobile games developed in-house: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Game</w:t>
            </w:r>
          </w:p>
        </w:tc>
        <w:tc>
          <w:tcPr>
            <w:tcW w:w="25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Genre</w:t>
            </w:r>
          </w:p>
        </w:tc>
        <w:tc>
          <w:tcPr>
            <w:tcW w:w="3640" w:type="dxa"/>
            <w:vAlign w:val="bottom"/>
          </w:tcPr>
          <w:p>
            <w:pPr>
              <w:spacing w:after="0"/>
              <w:rPr>
                <w:sz w:val="20"/>
                <w:szCs w:val="20"/>
                <w:color w:val="auto"/>
              </w:rPr>
            </w:pPr>
            <w:r>
              <w:rPr>
                <w:rFonts w:ascii="Arial" w:cs="Arial" w:eastAsia="Arial" w:hAnsi="Arial"/>
                <w:sz w:val="14"/>
                <w:szCs w:val="14"/>
                <w:b w:val="1"/>
                <w:bCs w:val="1"/>
                <w:color w:val="auto"/>
              </w:rPr>
              <w:t>Date of Initial</w:t>
            </w:r>
          </w:p>
        </w:tc>
        <w:tc>
          <w:tcPr>
            <w:tcW w:w="0" w:type="dxa"/>
            <w:vAlign w:val="bottom"/>
          </w:tcPr>
          <w:p>
            <w:pPr>
              <w:spacing w:after="0"/>
              <w:rPr>
                <w:sz w:val="1"/>
                <w:szCs w:val="1"/>
                <w:color w:val="auto"/>
              </w:rPr>
            </w:pPr>
          </w:p>
        </w:tc>
      </w:tr>
      <w:tr>
        <w:trPr>
          <w:trHeight w:val="171"/>
        </w:trPr>
        <w:tc>
          <w:tcPr>
            <w:tcW w:w="3740" w:type="dxa"/>
            <w:vAlign w:val="bottom"/>
            <w:vMerge w:val="continue"/>
          </w:tcPr>
          <w:p>
            <w:pPr>
              <w:spacing w:after="0"/>
              <w:rPr>
                <w:sz w:val="14"/>
                <w:szCs w:val="14"/>
                <w:color w:val="auto"/>
              </w:rPr>
            </w:pPr>
          </w:p>
        </w:tc>
        <w:tc>
          <w:tcPr>
            <w:tcW w:w="2540" w:type="dxa"/>
            <w:vAlign w:val="bottom"/>
            <w:gridSpan w:val="3"/>
            <w:vMerge w:val="continue"/>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209"/>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Mobile Version of Fantasy Westward Journey II</w:t>
            </w:r>
          </w:p>
        </w:tc>
        <w:tc>
          <w:tcPr>
            <w:tcW w:w="1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Turn-based MMORPG</w:t>
            </w:r>
          </w:p>
        </w:tc>
        <w:tc>
          <w:tcPr>
            <w:tcW w:w="2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2013</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Mini Westward Journey</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CCG</w:t>
            </w:r>
          </w:p>
        </w:tc>
        <w:tc>
          <w:tcPr>
            <w:tcW w:w="3640" w:type="dxa"/>
            <w:vAlign w:val="bottom"/>
          </w:tcPr>
          <w:p>
            <w:pPr>
              <w:spacing w:after="0"/>
              <w:rPr>
                <w:sz w:val="20"/>
                <w:szCs w:val="20"/>
                <w:color w:val="auto"/>
              </w:rPr>
            </w:pPr>
            <w:r>
              <w:rPr>
                <w:rFonts w:ascii="Arial" w:cs="Arial" w:eastAsia="Arial" w:hAnsi="Arial"/>
                <w:sz w:val="18"/>
                <w:szCs w:val="18"/>
                <w:color w:val="auto"/>
              </w:rPr>
              <w:t>April 2014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Battle to the West</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CCG &amp; MOBA</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October 2014</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Fantasy Westward Journey mobile game</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Turn-based MMORPG</w:t>
            </w:r>
          </w:p>
        </w:tc>
        <w:tc>
          <w:tcPr>
            <w:tcW w:w="3640" w:type="dxa"/>
            <w:vAlign w:val="bottom"/>
          </w:tcPr>
          <w:p>
            <w:pPr>
              <w:spacing w:after="0"/>
              <w:rPr>
                <w:sz w:val="20"/>
                <w:szCs w:val="20"/>
                <w:color w:val="auto"/>
              </w:rPr>
            </w:pPr>
            <w:r>
              <w:rPr>
                <w:rFonts w:ascii="Arial" w:cs="Arial" w:eastAsia="Arial" w:hAnsi="Arial"/>
                <w:sz w:val="18"/>
                <w:szCs w:val="18"/>
                <w:color w:val="auto"/>
              </w:rPr>
              <w:t>March 2015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Westward Journey Online mobile game</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Turn-based MMORPG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September 2015</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Invincible</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SLG</w:t>
            </w:r>
          </w:p>
        </w:tc>
        <w:tc>
          <w:tcPr>
            <w:tcW w:w="3640" w:type="dxa"/>
            <w:vAlign w:val="bottom"/>
          </w:tcPr>
          <w:p>
            <w:pPr>
              <w:spacing w:after="0"/>
              <w:rPr>
                <w:sz w:val="20"/>
                <w:szCs w:val="20"/>
                <w:color w:val="auto"/>
              </w:rPr>
            </w:pPr>
            <w:r>
              <w:rPr>
                <w:rFonts w:ascii="Arial" w:cs="Arial" w:eastAsia="Arial" w:hAnsi="Arial"/>
                <w:sz w:val="18"/>
                <w:szCs w:val="18"/>
                <w:color w:val="auto"/>
              </w:rPr>
              <w:t>October 2015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The mobile version of New Ghost</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Real-time MMORPG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May 2016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Onmyoji</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CCG &amp; RPG</w:t>
            </w:r>
          </w:p>
        </w:tc>
        <w:tc>
          <w:tcPr>
            <w:tcW w:w="3640" w:type="dxa"/>
            <w:vAlign w:val="bottom"/>
          </w:tcPr>
          <w:p>
            <w:pPr>
              <w:spacing w:after="0"/>
              <w:rPr>
                <w:sz w:val="20"/>
                <w:szCs w:val="20"/>
                <w:color w:val="auto"/>
              </w:rPr>
            </w:pPr>
            <w:r>
              <w:rPr>
                <w:rFonts w:ascii="Arial" w:cs="Arial" w:eastAsia="Arial" w:hAnsi="Arial"/>
                <w:sz w:val="18"/>
                <w:szCs w:val="18"/>
                <w:color w:val="auto"/>
              </w:rPr>
              <w:t>September 2016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Knives Out</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Battle Arena</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Rules of Survival</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Battle Arena</w:t>
            </w:r>
          </w:p>
        </w:tc>
        <w:tc>
          <w:tcPr>
            <w:tcW w:w="3640" w:type="dxa"/>
            <w:vAlign w:val="bottom"/>
          </w:tcPr>
          <w:p>
            <w:pPr>
              <w:spacing w:after="0"/>
              <w:rPr>
                <w:sz w:val="20"/>
                <w:szCs w:val="20"/>
                <w:color w:val="auto"/>
              </w:rPr>
            </w:pPr>
            <w:r>
              <w:rPr>
                <w:rFonts w:ascii="Arial" w:cs="Arial" w:eastAsia="Arial" w:hAnsi="Arial"/>
                <w:sz w:val="18"/>
                <w:szCs w:val="18"/>
                <w:color w:val="auto"/>
              </w:rPr>
              <w:t>November 2017</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 About Jianghu</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Real-time MMORPG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2018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Identity V</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Battle Arena</w:t>
            </w:r>
          </w:p>
        </w:tc>
        <w:tc>
          <w:tcPr>
            <w:tcW w:w="3640" w:type="dxa"/>
            <w:vAlign w:val="bottom"/>
          </w:tcPr>
          <w:p>
            <w:pPr>
              <w:spacing w:after="0"/>
              <w:rPr>
                <w:sz w:val="20"/>
                <w:szCs w:val="20"/>
                <w:color w:val="auto"/>
              </w:rPr>
            </w:pPr>
            <w:r>
              <w:rPr>
                <w:rFonts w:ascii="Arial" w:cs="Arial" w:eastAsia="Arial" w:hAnsi="Arial"/>
                <w:sz w:val="18"/>
                <w:szCs w:val="18"/>
                <w:color w:val="auto"/>
              </w:rPr>
              <w:t>April 2018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Ancient Nocturne</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CCG &amp; RPG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September 2018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Life-After</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Cooperative Survival RPG</w:t>
            </w:r>
          </w:p>
        </w:tc>
        <w:tc>
          <w:tcPr>
            <w:tcW w:w="3640" w:type="dxa"/>
            <w:vAlign w:val="bottom"/>
          </w:tcPr>
          <w:p>
            <w:pPr>
              <w:spacing w:after="0"/>
              <w:rPr>
                <w:sz w:val="20"/>
                <w:szCs w:val="20"/>
                <w:color w:val="auto"/>
              </w:rPr>
            </w:pPr>
            <w:r>
              <w:rPr>
                <w:rFonts w:ascii="Arial" w:cs="Arial" w:eastAsia="Arial" w:hAnsi="Arial"/>
                <w:sz w:val="18"/>
                <w:szCs w:val="18"/>
                <w:color w:val="auto"/>
              </w:rPr>
              <w:t>November 2018</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Xuan Yuan Sword: Dragon Upon the Cloud</w:t>
            </w:r>
          </w:p>
        </w:tc>
        <w:tc>
          <w:tcPr>
            <w:tcW w:w="25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MMORPG</w:t>
            </w: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October 2019</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Fantasy Westward Journey 3D</w:t>
            </w:r>
          </w:p>
        </w:tc>
        <w:tc>
          <w:tcPr>
            <w:tcW w:w="2540" w:type="dxa"/>
            <w:vAlign w:val="bottom"/>
            <w:gridSpan w:val="3"/>
          </w:tcPr>
          <w:p>
            <w:pPr>
              <w:ind w:left="180"/>
              <w:spacing w:after="0"/>
              <w:rPr>
                <w:sz w:val="20"/>
                <w:szCs w:val="20"/>
                <w:color w:val="auto"/>
              </w:rPr>
            </w:pPr>
            <w:r>
              <w:rPr>
                <w:rFonts w:ascii="Arial" w:cs="Arial" w:eastAsia="Arial" w:hAnsi="Arial"/>
                <w:sz w:val="18"/>
                <w:szCs w:val="18"/>
                <w:color w:val="auto"/>
              </w:rPr>
              <w:t>3D MMORPG</w:t>
            </w:r>
          </w:p>
        </w:tc>
        <w:tc>
          <w:tcPr>
            <w:tcW w:w="3640" w:type="dxa"/>
            <w:vAlign w:val="bottom"/>
          </w:tcPr>
          <w:p>
            <w:pPr>
              <w:spacing w:after="0"/>
              <w:rPr>
                <w:sz w:val="20"/>
                <w:szCs w:val="20"/>
                <w:color w:val="auto"/>
              </w:rPr>
            </w:pPr>
            <w:r>
              <w:rPr>
                <w:rFonts w:ascii="Arial" w:cs="Arial" w:eastAsia="Arial" w:hAnsi="Arial"/>
                <w:sz w:val="18"/>
                <w:szCs w:val="18"/>
                <w:color w:val="auto"/>
              </w:rPr>
              <w:t>December 2019</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Notes: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MOBA= multi-payer online battle arena, and RPG= role-playing game.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PC games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We launched our first PC based MMORPG, </w:t>
      </w:r>
      <w:r>
        <w:rPr>
          <w:rFonts w:ascii="Arial" w:cs="Arial" w:eastAsia="Arial" w:hAnsi="Arial"/>
          <w:sz w:val="18"/>
          <w:szCs w:val="18"/>
          <w:i w:val="1"/>
          <w:iCs w:val="1"/>
          <w:color w:val="auto"/>
        </w:rPr>
        <w:t>Westward Journey Online</w:t>
      </w:r>
      <w:r>
        <w:rPr>
          <w:rFonts w:ascii="Arial" w:cs="Arial" w:eastAsia="Arial" w:hAnsi="Arial"/>
          <w:sz w:val="18"/>
          <w:szCs w:val="18"/>
          <w:color w:val="auto"/>
        </w:rPr>
        <w:t xml:space="preserve">, in December 2001. Subsequently, we launched </w:t>
      </w:r>
      <w:r>
        <w:rPr>
          <w:rFonts w:ascii="Arial" w:cs="Arial" w:eastAsia="Arial" w:hAnsi="Arial"/>
          <w:sz w:val="18"/>
          <w:szCs w:val="18"/>
          <w:i w:val="1"/>
          <w:iCs w:val="1"/>
          <w:color w:val="auto"/>
        </w:rPr>
        <w:t>Westward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Journey Online II </w:t>
      </w:r>
      <w:r>
        <w:rPr>
          <w:rFonts w:ascii="Arial" w:cs="Arial" w:eastAsia="Arial" w:hAnsi="Arial"/>
          <w:sz w:val="18"/>
          <w:szCs w:val="18"/>
          <w:color w:val="auto"/>
        </w:rPr>
        <w:t>in August 2002 and our second original PC based MMORPG,</w:t>
      </w:r>
      <w:r>
        <w:rPr>
          <w:rFonts w:ascii="Arial" w:cs="Arial" w:eastAsia="Arial" w:hAnsi="Arial"/>
          <w:sz w:val="18"/>
          <w:szCs w:val="18"/>
          <w:i w:val="1"/>
          <w:iCs w:val="1"/>
          <w:color w:val="auto"/>
        </w:rPr>
        <w:t xml:space="preserve"> Fantasy Westward Journey</w:t>
      </w:r>
      <w:r>
        <w:rPr>
          <w:rFonts w:ascii="Arial" w:cs="Arial" w:eastAsia="Arial" w:hAnsi="Arial"/>
          <w:sz w:val="18"/>
          <w:szCs w:val="18"/>
          <w:color w:val="auto"/>
        </w:rPr>
        <w:t>, in January 2004.</w:t>
      </w:r>
      <w:r>
        <w:rPr>
          <w:rFonts w:ascii="Arial" w:cs="Arial" w:eastAsia="Arial" w:hAnsi="Arial"/>
          <w:sz w:val="18"/>
          <w:szCs w:val="18"/>
          <w:i w:val="1"/>
          <w:iCs w:val="1"/>
          <w:color w:val="auto"/>
        </w:rPr>
        <w:t xml:space="preserve"> Westward Journey Online II </w:t>
      </w:r>
      <w:r>
        <w:rPr>
          <w:rFonts w:ascii="Arial" w:cs="Arial" w:eastAsia="Arial" w:hAnsi="Arial"/>
          <w:sz w:val="18"/>
          <w:szCs w:val="18"/>
          <w:color w:val="auto"/>
        </w:rPr>
        <w:t>and</w:t>
      </w:r>
      <w:r>
        <w:rPr>
          <w:rFonts w:ascii="Arial" w:cs="Arial" w:eastAsia="Arial" w:hAnsi="Arial"/>
          <w:sz w:val="18"/>
          <w:szCs w:val="18"/>
          <w:i w:val="1"/>
          <w:iCs w:val="1"/>
          <w:color w:val="auto"/>
        </w:rPr>
        <w:t xml:space="preserve"> Fantasy Westward Journey </w:t>
      </w:r>
      <w:r>
        <w:rPr>
          <w:rFonts w:ascii="Arial" w:cs="Arial" w:eastAsia="Arial" w:hAnsi="Arial"/>
          <w:sz w:val="18"/>
          <w:szCs w:val="18"/>
          <w:color w:val="auto"/>
        </w:rPr>
        <w:t>were upgraded to</w:t>
      </w:r>
      <w:r>
        <w:rPr>
          <w:rFonts w:ascii="Arial" w:cs="Arial" w:eastAsia="Arial" w:hAnsi="Arial"/>
          <w:sz w:val="18"/>
          <w:szCs w:val="18"/>
          <w:i w:val="1"/>
          <w:iCs w:val="1"/>
          <w:color w:val="auto"/>
        </w:rPr>
        <w:t xml:space="preserve"> New Westward Journey Online II </w:t>
      </w:r>
      <w:r>
        <w:rPr>
          <w:rFonts w:ascii="Arial" w:cs="Arial" w:eastAsia="Arial" w:hAnsi="Arial"/>
          <w:sz w:val="18"/>
          <w:szCs w:val="18"/>
          <w:color w:val="auto"/>
        </w:rPr>
        <w:t>and</w:t>
      </w:r>
      <w:r>
        <w:rPr>
          <w:rFonts w:ascii="Arial" w:cs="Arial" w:eastAsia="Arial" w:hAnsi="Arial"/>
          <w:sz w:val="18"/>
          <w:szCs w:val="18"/>
          <w:i w:val="1"/>
          <w:iCs w:val="1"/>
          <w:color w:val="auto"/>
        </w:rPr>
        <w:t xml:space="preserve"> Fantasy Westward Journey Online </w:t>
      </w:r>
      <w:r>
        <w:rPr>
          <w:rFonts w:ascii="Arial" w:cs="Arial" w:eastAsia="Arial" w:hAnsi="Arial"/>
          <w:sz w:val="18"/>
          <w:szCs w:val="18"/>
          <w:color w:val="auto"/>
        </w:rPr>
        <w:t>in 2013. Both game series remain popular with gamers today as a result of continued content updating and innovation in play</w:t>
      </w:r>
      <w:r>
        <w:rPr>
          <w:rFonts w:ascii="Arial" w:cs="Arial" w:eastAsia="Arial" w:hAnsi="Arial"/>
          <w:sz w:val="18"/>
          <w:szCs w:val="18"/>
          <w:i w:val="1"/>
          <w:iCs w:val="1"/>
          <w:color w:val="auto"/>
        </w:rPr>
        <w:t xml:space="preserve"> </w:t>
      </w:r>
      <w:r>
        <w:rPr>
          <w:rFonts w:ascii="Arial" w:cs="Arial" w:eastAsia="Arial" w:hAnsi="Arial"/>
          <w:sz w:val="18"/>
          <w:szCs w:val="18"/>
          <w:color w:val="auto"/>
        </w:rPr>
        <w:t>modes over the past two decades.</w:t>
      </w:r>
    </w:p>
    <w:p>
      <w:pPr>
        <w:spacing w:after="0" w:line="18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PC game players can purchase prepaid points to pay for game playing time, virtual items and other fee-based services that enhance their playing experience such as special powers, costumes, weapons and other accessories. We regularly introduce new virtual items and other fee-based services, as well as change the features of virtual items based on player feedback, market trends and other factors.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our major PC games developed in-house:</w:t>
      </w:r>
    </w:p>
    <w:p>
      <w:pPr>
        <w:spacing w:after="0" w:line="217" w:lineRule="exact"/>
        <w:rPr>
          <w:sz w:val="20"/>
          <w:szCs w:val="20"/>
          <w:color w:val="auto"/>
        </w:rPr>
      </w:pPr>
    </w:p>
    <w:p>
      <w:pPr>
        <w:ind w:left="6260"/>
        <w:spacing w:after="0"/>
        <w:rPr>
          <w:sz w:val="20"/>
          <w:szCs w:val="20"/>
          <w:color w:val="auto"/>
        </w:rPr>
      </w:pPr>
      <w:r>
        <w:rPr>
          <w:rFonts w:ascii="Arial" w:cs="Arial" w:eastAsia="Arial" w:hAnsi="Arial"/>
          <w:sz w:val="14"/>
          <w:szCs w:val="14"/>
          <w:b w:val="1"/>
          <w:bCs w:val="1"/>
          <w:color w:val="auto"/>
        </w:rPr>
        <w:t>Date(s) of</w:t>
      </w:r>
    </w:p>
    <w:p>
      <w:pPr>
        <w:sectPr>
          <w:pgSz w:w="11900" w:h="16838" w:orient="portrait"/>
          <w:cols w:equalWidth="0" w:num="1">
            <w:col w:w="9920"/>
          </w:cols>
          <w:pgMar w:left="980" w:top="517" w:right="99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Game</w:t>
      </w:r>
    </w:p>
    <w:p>
      <w:pPr>
        <w:spacing w:after="0" w:line="9" w:lineRule="exact"/>
        <w:rPr>
          <w:sz w:val="20"/>
          <w:szCs w:val="20"/>
          <w:color w:val="auto"/>
        </w:rPr>
      </w:pPr>
    </w:p>
    <w:p>
      <w:pPr>
        <w:ind w:right="340"/>
        <w:spacing w:after="0" w:line="280" w:lineRule="auto"/>
        <w:rPr>
          <w:sz w:val="20"/>
          <w:szCs w:val="20"/>
          <w:color w:val="auto"/>
        </w:rPr>
      </w:pPr>
      <w:r>
        <w:rPr>
          <w:rFonts w:ascii="Arial" w:cs="Arial" w:eastAsia="Arial" w:hAnsi="Arial"/>
          <w:sz w:val="16"/>
          <w:szCs w:val="16"/>
          <w:color w:val="auto"/>
        </w:rPr>
        <w:t>New Westward Journey Online II (a comprehensive upgrade of Westward Journey Online II)</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Fantasy Westward Journey Online (previously known as Fantasy Westward Journey II)</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Tianxia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Ghost (a new version of Ghost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Justice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Genre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-3175</wp:posOffset>
            </wp:positionV>
            <wp:extent cx="6292215"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82575"/>
                    </a:xfrm>
                    <a:prstGeom prst="rect">
                      <a:avLst/>
                    </a:prstGeom>
                    <a:noFill/>
                  </pic:spPr>
                </pic:pic>
              </a:graphicData>
            </a:graphic>
          </wp:anchor>
        </w:drawing>
      </w:r>
    </w:p>
    <w:p>
      <w:pPr>
        <w:spacing w:after="0" w:line="280" w:lineRule="auto"/>
        <w:rPr>
          <w:sz w:val="20"/>
          <w:szCs w:val="20"/>
          <w:color w:val="auto"/>
        </w:rPr>
      </w:pPr>
      <w:r>
        <w:rPr>
          <w:rFonts w:ascii="Arial" w:cs="Arial" w:eastAsia="Arial" w:hAnsi="Arial"/>
          <w:sz w:val="16"/>
          <w:szCs w:val="16"/>
          <w:color w:val="auto"/>
        </w:rPr>
        <w:t>2D MMORPG, classical Chinese setting</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2D MMORPG, classical Chinese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635</wp:posOffset>
            </wp:positionV>
            <wp:extent cx="6292215"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281" w:lineRule="auto"/>
        <w:rPr>
          <w:sz w:val="20"/>
          <w:szCs w:val="20"/>
          <w:color w:val="auto"/>
        </w:rPr>
      </w:pPr>
      <w:r>
        <w:rPr>
          <w:rFonts w:ascii="Arial" w:cs="Arial" w:eastAsia="Arial" w:hAnsi="Arial"/>
          <w:sz w:val="16"/>
          <w:szCs w:val="16"/>
          <w:color w:val="auto"/>
        </w:rPr>
        <w:t>3D MMORPG, classical Chinese setting</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2.5D MMORPG, classical Chinese setting 3D MMORPG, classical Chinese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-2673350</wp:posOffset>
            </wp:positionH>
            <wp:positionV relativeFrom="paragraph">
              <wp:posOffset>-299720</wp:posOffset>
            </wp:positionV>
            <wp:extent cx="629221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3"/>
          <w:szCs w:val="13"/>
          <w:b w:val="1"/>
          <w:bCs w:val="1"/>
          <w:color w:val="auto"/>
        </w:rPr>
        <w:t>Launch and Major Upgrade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August 2002</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September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2013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October 2011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2015</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June 2018</w:t>
      </w:r>
    </w:p>
    <w:p>
      <w:pPr>
        <w:spacing w:after="0" w:line="371" w:lineRule="exact"/>
        <w:rPr>
          <w:sz w:val="20"/>
          <w:szCs w:val="20"/>
          <w:color w:val="auto"/>
        </w:rPr>
      </w:pPr>
    </w:p>
    <w:p>
      <w:pPr>
        <w:sectPr>
          <w:pgSz w:w="11900" w:h="16838" w:orient="portrait"/>
          <w:cols w:equalWidth="0" w:num="3">
            <w:col w:w="4080" w:space="140"/>
            <w:col w:w="1760" w:space="280"/>
            <w:col w:w="3660"/>
          </w:cols>
          <w:pgMar w:left="980" w:top="517" w:right="999" w:bottom="1440" w:gutter="0" w:footer="0" w:header="0"/>
          <w:type w:val="continuous"/>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Licensed Games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addition to our in-house developed mobile and PC games, we also offer games licensed from other international game developers, including Blizzard and Microsoft. For further details, see Item 4.B. “Business Overview—Our Services—Online Game Services—International Partnership and Investment.” Revenues from licensed games accounted for 8.8%, 7.5% and 7.5% of our total revenues in 2017, 2018 and 2019,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Global Presence</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We continue to advance our games and make inroads that expand our reach in overseas markets. We have launched more than 50 mobile games in global markets since 2015. Our mobile game, </w:t>
      </w:r>
      <w:r>
        <w:rPr>
          <w:rFonts w:ascii="Arial" w:cs="Arial" w:eastAsia="Arial" w:hAnsi="Arial"/>
          <w:sz w:val="18"/>
          <w:szCs w:val="18"/>
          <w:i w:val="1"/>
          <w:iCs w:val="1"/>
          <w:color w:val="auto"/>
        </w:rPr>
        <w:t>Knives Out</w:t>
      </w:r>
      <w:r>
        <w:rPr>
          <w:rFonts w:ascii="Arial" w:cs="Arial" w:eastAsia="Arial" w:hAnsi="Arial"/>
          <w:sz w:val="18"/>
          <w:szCs w:val="18"/>
          <w:color w:val="auto"/>
        </w:rPr>
        <w:t xml:space="preserve">, has remained popular in Japan since its launch in 2017 and topped Japan's iOS grossing chart multiple times in 2019. </w:t>
      </w:r>
      <w:r>
        <w:rPr>
          <w:rFonts w:ascii="Arial" w:cs="Arial" w:eastAsia="Arial" w:hAnsi="Arial"/>
          <w:sz w:val="18"/>
          <w:szCs w:val="18"/>
          <w:i w:val="1"/>
          <w:iCs w:val="1"/>
          <w:color w:val="auto"/>
        </w:rPr>
        <w:t>Identity V</w:t>
      </w:r>
      <w:r>
        <w:rPr>
          <w:rFonts w:ascii="Arial" w:cs="Arial" w:eastAsia="Arial" w:hAnsi="Arial"/>
          <w:sz w:val="18"/>
          <w:szCs w:val="18"/>
          <w:color w:val="auto"/>
        </w:rPr>
        <w:t>, which we launched in Japan in 2018, also topped Japan’s iOS grossing chart in September 2019, further evidencing our potential to operate a diverse range of games in overseas markets over the long term.</w:t>
      </w:r>
    </w:p>
    <w:p>
      <w:pPr>
        <w:spacing w:after="0" w:line="188"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 xml:space="preserve">In addition to our success in Japan, we have expanded our footprint across more regions. In December 2019, we launched </w:t>
      </w:r>
      <w:r>
        <w:rPr>
          <w:rFonts w:ascii="Arial" w:cs="Arial" w:eastAsia="Arial" w:hAnsi="Arial"/>
          <w:sz w:val="17"/>
          <w:szCs w:val="17"/>
          <w:i w:val="1"/>
          <w:iCs w:val="1"/>
          <w:color w:val="auto"/>
        </w:rPr>
        <w:t xml:space="preserve">MARVEL Super War </w:t>
      </w:r>
      <w:r>
        <w:rPr>
          <w:rFonts w:ascii="Arial" w:cs="Arial" w:eastAsia="Arial" w:hAnsi="Arial"/>
          <w:sz w:val="17"/>
          <w:szCs w:val="17"/>
          <w:color w:val="auto"/>
        </w:rPr>
        <w:t>in several Southeast Asian markets where it topped many of the iOS download charts. We have also further</w:t>
      </w:r>
      <w:r>
        <w:rPr>
          <w:rFonts w:ascii="Arial" w:cs="Arial" w:eastAsia="Arial" w:hAnsi="Arial"/>
          <w:sz w:val="17"/>
          <w:szCs w:val="17"/>
          <w:i w:val="1"/>
          <w:iCs w:val="1"/>
          <w:color w:val="auto"/>
        </w:rPr>
        <w:t xml:space="preserve"> </w:t>
      </w:r>
      <w:r>
        <w:rPr>
          <w:rFonts w:ascii="Arial" w:cs="Arial" w:eastAsia="Arial" w:hAnsi="Arial"/>
          <w:sz w:val="17"/>
          <w:szCs w:val="17"/>
          <w:color w:val="auto"/>
        </w:rPr>
        <w:t>enhanced our global R&amp;D capabilities by launching a video game studio in Canada in 2019.</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International Partnership and Investment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Building on our strong in-house content development capabilities, we have formed strategic partnerships and collaborations with world-famous game studios and content owners. As a leader in online games in China, we have successfully attracted leading international game studios and content owners with our development and operational capabilities, such as Blizzard, Marvel, Microsoft and Warner Brothers, to co-develop and/or operate games in China and abroad. We also invest in leading global studios across the world to strengthen our development capabilities and diversity.</w:t>
      </w:r>
    </w:p>
    <w:p>
      <w:pPr>
        <w:spacing w:after="0" w:line="188" w:lineRule="exact"/>
        <w:rPr>
          <w:sz w:val="20"/>
          <w:szCs w:val="20"/>
          <w:color w:val="auto"/>
        </w:rPr>
      </w:pPr>
    </w:p>
    <w:p>
      <w:pPr>
        <w:ind w:right="40" w:firstLine="648"/>
        <w:spacing w:after="0" w:line="254" w:lineRule="auto"/>
        <w:rPr>
          <w:sz w:val="20"/>
          <w:szCs w:val="20"/>
          <w:color w:val="auto"/>
        </w:rPr>
      </w:pPr>
      <w:r>
        <w:rPr>
          <w:rFonts w:ascii="Arial" w:cs="Arial" w:eastAsia="Arial" w:hAnsi="Arial"/>
          <w:sz w:val="16"/>
          <w:szCs w:val="16"/>
          <w:color w:val="auto"/>
        </w:rPr>
        <w:t xml:space="preserve">For example, we have been partnering with Blizzard since 2008 to exclusively operate a number of its games in China, including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the </w:t>
      </w:r>
      <w:r>
        <w:rPr>
          <w:rFonts w:ascii="Arial" w:cs="Arial" w:eastAsia="Arial" w:hAnsi="Arial"/>
          <w:sz w:val="16"/>
          <w:szCs w:val="16"/>
          <w:i w:val="1"/>
          <w:iCs w:val="1"/>
          <w:color w:val="auto"/>
        </w:rPr>
        <w:t>StarCraft II</w:t>
      </w:r>
      <w:r>
        <w:rPr>
          <w:rFonts w:ascii="Arial" w:cs="Arial" w:eastAsia="Arial" w:hAnsi="Arial"/>
          <w:sz w:val="16"/>
          <w:szCs w:val="16"/>
          <w:color w:val="auto"/>
        </w:rPr>
        <w:t xml:space="preserve"> series, </w:t>
      </w:r>
      <w:r>
        <w:rPr>
          <w:rFonts w:ascii="Arial" w:cs="Arial" w:eastAsia="Arial" w:hAnsi="Arial"/>
          <w:sz w:val="16"/>
          <w:szCs w:val="16"/>
          <w:i w:val="1"/>
          <w:iCs w:val="1"/>
          <w:color w:val="auto"/>
        </w:rPr>
        <w:t>Diablo III</w:t>
      </w:r>
      <w:r>
        <w:rPr>
          <w:rFonts w:ascii="Arial" w:cs="Arial" w:eastAsia="Arial" w:hAnsi="Arial"/>
          <w:sz w:val="16"/>
          <w:szCs w:val="16"/>
          <w:color w:val="auto"/>
        </w:rPr>
        <w:t xml:space="preserve">,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w:t>
      </w:r>
      <w:r>
        <w:rPr>
          <w:rFonts w:ascii="Arial" w:cs="Arial" w:eastAsia="Arial" w:hAnsi="Arial"/>
          <w:sz w:val="16"/>
          <w:szCs w:val="16"/>
          <w:i w:val="1"/>
          <w:iCs w:val="1"/>
          <w:color w:val="auto"/>
        </w:rPr>
        <w:t>Heroes of the Storm</w:t>
      </w:r>
      <w:r>
        <w:rPr>
          <w:rFonts w:ascii="Arial" w:cs="Arial" w:eastAsia="Arial" w:hAnsi="Arial"/>
          <w:sz w:val="16"/>
          <w:szCs w:val="16"/>
          <w:color w:val="auto"/>
        </w:rPr>
        <w:t xml:space="preserve"> and </w:t>
      </w:r>
      <w:r>
        <w:rPr>
          <w:rFonts w:ascii="Arial" w:cs="Arial" w:eastAsia="Arial" w:hAnsi="Arial"/>
          <w:sz w:val="16"/>
          <w:szCs w:val="16"/>
          <w:i w:val="1"/>
          <w:iCs w:val="1"/>
          <w:color w:val="auto"/>
        </w:rPr>
        <w:t>Overwatch</w:t>
      </w:r>
      <w:r>
        <w:rPr>
          <w:rFonts w:ascii="Arial" w:cs="Arial" w:eastAsia="Arial" w:hAnsi="Arial"/>
          <w:sz w:val="16"/>
          <w:szCs w:val="16"/>
          <w:color w:val="auto"/>
        </w:rPr>
        <w:t>. Blizzard has also licensed us on an exclusive basis in China its Battle.net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platform, which enables multi-player interaction within these games and other online services. In January 2019, we further extended our partnership for a four-year term. Furthermore, we are currently co-developing </w:t>
      </w:r>
      <w:r>
        <w:rPr>
          <w:rFonts w:ascii="Arial" w:cs="Arial" w:eastAsia="Arial" w:hAnsi="Arial"/>
          <w:sz w:val="16"/>
          <w:szCs w:val="16"/>
          <w:i w:val="1"/>
          <w:iCs w:val="1"/>
          <w:color w:val="auto"/>
        </w:rPr>
        <w:t>Diablo Immortal</w:t>
      </w:r>
      <w:r>
        <w:rPr>
          <w:rFonts w:ascii="Arial" w:cs="Arial" w:eastAsia="Arial" w:hAnsi="Arial"/>
          <w:sz w:val="23"/>
          <w:szCs w:val="23"/>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with Blizzard, an MMO action-RPG. We have also entered into a partnership with Marvel in May 2019 to create</w:t>
      </w:r>
      <w:r>
        <w:rPr>
          <w:rFonts w:ascii="Arial" w:cs="Arial" w:eastAsia="Arial" w:hAnsi="Arial"/>
          <w:sz w:val="16"/>
          <w:szCs w:val="16"/>
          <w:i w:val="1"/>
          <w:iCs w:val="1"/>
          <w:color w:val="auto"/>
        </w:rPr>
        <w:t xml:space="preserve"> </w:t>
      </w:r>
      <w:r>
        <w:rPr>
          <w:rFonts w:ascii="Arial" w:cs="Arial" w:eastAsia="Arial" w:hAnsi="Arial"/>
          <w:sz w:val="16"/>
          <w:szCs w:val="16"/>
          <w:color w:val="auto"/>
        </w:rPr>
        <w:t>original entertainment content based on internationally beloved Marvel characters and stories. We are jointly developing products including games, television series and comic books that feature Marvel characters for users in China and beyond.</w:t>
      </w:r>
    </w:p>
    <w:p>
      <w:pPr>
        <w:spacing w:after="0" w:line="19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In addition, in May 2016, we entered into a five-year exclusive agreement with Microsoft, pursuant to which Microsoft agreed to license both the mobile and PC versions of </w:t>
      </w:r>
      <w:r>
        <w:rPr>
          <w:rFonts w:ascii="Arial" w:cs="Arial" w:eastAsia="Arial" w:hAnsi="Arial"/>
          <w:sz w:val="18"/>
          <w:szCs w:val="18"/>
          <w:i w:val="1"/>
          <w:iCs w:val="1"/>
          <w:color w:val="auto"/>
        </w:rPr>
        <w:t>Minecraft</w:t>
      </w:r>
      <w:r>
        <w:rPr>
          <w:rFonts w:ascii="Arial" w:cs="Arial" w:eastAsia="Arial" w:hAnsi="Arial"/>
          <w:sz w:val="18"/>
          <w:szCs w:val="18"/>
          <w:color w:val="auto"/>
        </w:rPr>
        <w:t xml:space="preserve"> to us for operation in China until 2022. In May 2019, we extended the term of the </w:t>
      </w:r>
      <w:r>
        <w:rPr>
          <w:rFonts w:ascii="Arial" w:cs="Arial" w:eastAsia="Arial" w:hAnsi="Arial"/>
          <w:sz w:val="18"/>
          <w:szCs w:val="18"/>
          <w:i w:val="1"/>
          <w:iCs w:val="1"/>
          <w:color w:val="auto"/>
        </w:rPr>
        <w:t>Minecraft</w:t>
      </w:r>
      <w:r>
        <w:rPr>
          <w:rFonts w:ascii="Arial" w:cs="Arial" w:eastAsia="Arial" w:hAnsi="Arial"/>
          <w:sz w:val="18"/>
          <w:szCs w:val="18"/>
          <w:color w:val="auto"/>
        </w:rPr>
        <w:t xml:space="preserve"> license for an additional year to August 2023. We successfully introduced both versions of </w:t>
      </w:r>
      <w:r>
        <w:rPr>
          <w:rFonts w:ascii="Arial" w:cs="Arial" w:eastAsia="Arial" w:hAnsi="Arial"/>
          <w:sz w:val="18"/>
          <w:szCs w:val="18"/>
          <w:i w:val="1"/>
          <w:iCs w:val="1"/>
          <w:color w:val="auto"/>
        </w:rPr>
        <w:t>Minecraft</w:t>
      </w:r>
      <w:r>
        <w:rPr>
          <w:rFonts w:ascii="Arial" w:cs="Arial" w:eastAsia="Arial" w:hAnsi="Arial"/>
          <w:sz w:val="18"/>
          <w:szCs w:val="18"/>
          <w:color w:val="auto"/>
        </w:rPr>
        <w:t xml:space="preserve"> in China across various platforms in 2017.</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continue to establish and deepen collaboration with other leading international game studios, including entering into a joint development agreement with Codemasters, a leading UK game studio focusing on racing games, as well as making minority investments in Bungie, an independent game studio in the United States, Quantic Dream, an independent game studio based in Paris, and Behaviour Interactive Inc., Canada’s leading independent game studio.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Game Design and Development</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Building upon the success of our classic titles, we have accumulated a better and deeper understanding of our users in terms of their interests and preferences in style, aesthetics and gameplay. We have integrated our experience and know-how into the design of our new games, enhancing our ability to deliver popular titles to users. We have established multiple studios of game developers to research and develop new games and expansion packs.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Franchises</w:t>
      </w:r>
    </w:p>
    <w:p>
      <w:pPr>
        <w:spacing w:after="0" w:line="225" w:lineRule="exact"/>
        <w:rPr>
          <w:sz w:val="20"/>
          <w:szCs w:val="20"/>
          <w:color w:val="auto"/>
        </w:rPr>
      </w:pPr>
    </w:p>
    <w:p>
      <w:pPr>
        <w:jc w:val="both"/>
        <w:ind w:right="180" w:firstLine="648"/>
        <w:spacing w:after="0" w:line="301" w:lineRule="auto"/>
        <w:rPr>
          <w:sz w:val="20"/>
          <w:szCs w:val="20"/>
          <w:color w:val="auto"/>
        </w:rPr>
      </w:pPr>
      <w:r>
        <w:rPr>
          <w:rFonts w:ascii="Arial" w:cs="Arial" w:eastAsia="Arial" w:hAnsi="Arial"/>
          <w:sz w:val="16"/>
          <w:szCs w:val="16"/>
          <w:color w:val="auto"/>
        </w:rPr>
        <w:t xml:space="preserve">We continue to build upon existing successful games to offer multi-dimensional content by leveraging our in-house developed franchises and intellectual property. Our </w:t>
      </w:r>
      <w:r>
        <w:rPr>
          <w:rFonts w:ascii="Arial" w:cs="Arial" w:eastAsia="Arial" w:hAnsi="Arial"/>
          <w:sz w:val="16"/>
          <w:szCs w:val="16"/>
          <w:i w:val="1"/>
          <w:iCs w:val="1"/>
          <w:color w:val="auto"/>
        </w:rPr>
        <w:t>Fantasy Westward Journey</w:t>
      </w:r>
      <w:r>
        <w:rPr>
          <w:rFonts w:ascii="Arial" w:cs="Arial" w:eastAsia="Arial" w:hAnsi="Arial"/>
          <w:sz w:val="16"/>
          <w:szCs w:val="16"/>
          <w:color w:val="auto"/>
        </w:rPr>
        <w:t xml:space="preserve"> and </w:t>
      </w:r>
      <w:r>
        <w:rPr>
          <w:rFonts w:ascii="Arial" w:cs="Arial" w:eastAsia="Arial" w:hAnsi="Arial"/>
          <w:sz w:val="16"/>
          <w:szCs w:val="16"/>
          <w:i w:val="1"/>
          <w:iCs w:val="1"/>
          <w:color w:val="auto"/>
        </w:rPr>
        <w:t>Westward Journey Online</w:t>
      </w:r>
      <w:r>
        <w:rPr>
          <w:rFonts w:ascii="Arial" w:cs="Arial" w:eastAsia="Arial" w:hAnsi="Arial"/>
          <w:sz w:val="16"/>
          <w:szCs w:val="16"/>
          <w:color w:val="auto"/>
        </w:rPr>
        <w:t xml:space="preserve"> franchises remain popular and have been instilled in the collective memory of generation of Chinese players. We further expanded the reach of these franchises through the introduction of </w:t>
      </w:r>
      <w:r>
        <w:rPr>
          <w:rFonts w:ascii="Arial" w:cs="Arial" w:eastAsia="Arial" w:hAnsi="Arial"/>
          <w:sz w:val="16"/>
          <w:szCs w:val="16"/>
          <w:i w:val="1"/>
          <w:iCs w:val="1"/>
          <w:color w:val="auto"/>
        </w:rPr>
        <w:t>Fantasy Westward Journey</w:t>
      </w:r>
      <w:r>
        <w:rPr>
          <w:rFonts w:ascii="Arial" w:cs="Arial" w:eastAsia="Arial" w:hAnsi="Arial"/>
          <w:sz w:val="16"/>
          <w:szCs w:val="16"/>
          <w:color w:val="auto"/>
        </w:rPr>
        <w:t xml:space="preserve"> 3D in December 2019, captivating both returning fans and new players.</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In addition to growing and strengthening our existing franchise, we have continually incubated new ideas and delivered new and long-lasting game titles to our users. For example, </w:t>
      </w:r>
      <w:r>
        <w:rPr>
          <w:rFonts w:ascii="Arial" w:cs="Arial" w:eastAsia="Arial" w:hAnsi="Arial"/>
          <w:sz w:val="16"/>
          <w:szCs w:val="16"/>
          <w:i w:val="1"/>
          <w:iCs w:val="1"/>
          <w:color w:val="auto"/>
        </w:rPr>
        <w:t>Onmyoji</w:t>
      </w:r>
      <w:r>
        <w:rPr>
          <w:rFonts w:ascii="Arial" w:cs="Arial" w:eastAsia="Arial" w:hAnsi="Arial"/>
          <w:sz w:val="16"/>
          <w:szCs w:val="16"/>
          <w:color w:val="auto"/>
        </w:rPr>
        <w:t xml:space="preserve"> is one of our younger franchises built in-house. As we introduced more innovative new storylines, characters and other content, the influence of </w:t>
      </w:r>
      <w:r>
        <w:rPr>
          <w:rFonts w:ascii="Arial" w:cs="Arial" w:eastAsia="Arial" w:hAnsi="Arial"/>
          <w:sz w:val="16"/>
          <w:szCs w:val="16"/>
          <w:i w:val="1"/>
          <w:iCs w:val="1"/>
          <w:color w:val="auto"/>
        </w:rPr>
        <w:t>Onmyoji</w:t>
      </w:r>
      <w:r>
        <w:rPr>
          <w:rFonts w:ascii="Arial" w:cs="Arial" w:eastAsia="Arial" w:hAnsi="Arial"/>
          <w:sz w:val="16"/>
          <w:szCs w:val="16"/>
          <w:color w:val="auto"/>
        </w:rPr>
        <w:t xml:space="preserve">'s IP continues to grow and resonate with more game players. </w:t>
      </w:r>
      <w:r>
        <w:rPr>
          <w:rFonts w:ascii="Arial" w:cs="Arial" w:eastAsia="Arial" w:hAnsi="Arial"/>
          <w:sz w:val="16"/>
          <w:szCs w:val="16"/>
          <w:i w:val="1"/>
          <w:iCs w:val="1"/>
          <w:color w:val="auto"/>
        </w:rPr>
        <w:t>Onmyoji</w:t>
      </w:r>
      <w:r>
        <w:rPr>
          <w:rFonts w:ascii="Arial" w:cs="Arial" w:eastAsia="Arial" w:hAnsi="Arial"/>
          <w:sz w:val="16"/>
          <w:szCs w:val="16"/>
          <w:color w:val="auto"/>
        </w:rPr>
        <w:t xml:space="preserve"> topped the China iOS grossing chart multiple times during 2019 after more than three years of operation, and it has spun off three successful mobile games, been adapted into a feature motion picture and a musical and inspired a themed coffee shop. Another in-house developed young IP is </w:t>
      </w:r>
      <w:r>
        <w:rPr>
          <w:rFonts w:ascii="Arial" w:cs="Arial" w:eastAsia="Arial" w:hAnsi="Arial"/>
          <w:sz w:val="16"/>
          <w:szCs w:val="16"/>
          <w:i w:val="1"/>
          <w:iCs w:val="1"/>
          <w:color w:val="auto"/>
        </w:rPr>
        <w:t>Identity V</w:t>
      </w:r>
      <w:r>
        <w:rPr>
          <w:rFonts w:ascii="Arial" w:cs="Arial" w:eastAsia="Arial" w:hAnsi="Arial"/>
          <w:sz w:val="16"/>
          <w:szCs w:val="16"/>
          <w:color w:val="auto"/>
        </w:rPr>
        <w:t xml:space="preserve">, which we believe has the potential to become another successful NetEase franchise. We are continually enriching this IP through a variety of initiatives, including e-sports, IP collaborations and off-line activities. We have hosted a number of high-profile events featuring </w:t>
      </w:r>
      <w:r>
        <w:rPr>
          <w:rFonts w:ascii="Arial" w:cs="Arial" w:eastAsia="Arial" w:hAnsi="Arial"/>
          <w:sz w:val="16"/>
          <w:szCs w:val="16"/>
          <w:i w:val="1"/>
          <w:iCs w:val="1"/>
          <w:color w:val="auto"/>
        </w:rPr>
        <w:t>Identity V</w:t>
      </w:r>
      <w:r>
        <w:rPr>
          <w:rFonts w:ascii="Arial" w:cs="Arial" w:eastAsia="Arial" w:hAnsi="Arial"/>
          <w:sz w:val="16"/>
          <w:szCs w:val="16"/>
          <w:color w:val="auto"/>
        </w:rPr>
        <w:t>, including both international and regional series tournaments.</w:t>
      </w:r>
    </w:p>
    <w:p>
      <w:pPr>
        <w:spacing w:after="0" w:line="16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prerequisite to building a successful franchise is the ability to create popular game IPs in-house, which is propelled by our strong R&amp;D capabilities. Over the past two decades, we have built a large in-house R&amp;D team with talented and passionate game creators. We empower each of our talent with our game-enthusiastic corporate culture and our carefully-designed training program. For more description on our R&amp;D capabilities, see Item 4.B. “Business Overview—Our Services—Online Game Services—Game R&amp;D and Technologies.”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Content Quality and User Experience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focus on providing an innovative and superior user experience in game design and development and strive to make games of the highest quality. From the initial proposal to final launch, our games will typically go through a number of carefully designed steps including market research, proposal, demo, repeated prototype review and beta testing to ensure that the best quality and user experience can be delivered to our players.</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creating a highly realistic and immersive gaming experience through the use of advanced technologies, we also employ innovative gamification thinking that takes into consideration both the in-game and out-of-game user experience. We have also launched offline gaming experience stores to allow for dynamic and spontaneous offline interactions among game players, as well as create an offline user feedback channel.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Game R&amp;D and Technologies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Our consistent and significant investment in innovative game research and development is a key contributor to the success of our online game business and has been widely recognized in the games industry. In 2019, we were awarded the “Top Ten Game Research and Development Companies in China” award by the China Audio-video and Digital Publishing Association.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Our Proprietary Game R&amp;D Capabilities</w:t>
      </w:r>
    </w:p>
    <w:p>
      <w:pPr>
        <w:spacing w:after="0" w:line="22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Proprietary R&amp;D is the key focus of our game business. We continually strengthen and upgrade our game R&amp;D infrastructure through recruiting and cultivating top talent, optimizing our game production pipeline, and fostering a culture of creativity and innovation. We have founded a number of in-house research institutions to explore the application of various technologies in games.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We strive to recruit and grow the best talent in the industry. Our training programs at </w:t>
      </w:r>
      <w:r>
        <w:rPr>
          <w:rFonts w:ascii="Arial" w:cs="Arial" w:eastAsia="Arial" w:hAnsi="Arial"/>
          <w:sz w:val="18"/>
          <w:szCs w:val="18"/>
          <w:i w:val="1"/>
          <w:iCs w:val="1"/>
          <w:color w:val="auto"/>
        </w:rPr>
        <w:t>NetEase Games Academy</w:t>
      </w:r>
      <w:r>
        <w:rPr>
          <w:rFonts w:ascii="Arial" w:cs="Arial" w:eastAsia="Arial" w:hAnsi="Arial"/>
          <w:sz w:val="18"/>
          <w:szCs w:val="18"/>
          <w:color w:val="auto"/>
        </w:rPr>
        <w:t xml:space="preserve"> are widely recognized in China as a premier online games training institution for creative minds. Two of our training programs were awarded the 2019 ATD Excellence in Practice Awards by the Association for Talent Development, one of the most authoritative international awards in the global talent development industry. Having built a virtuous cycle among our talent, established development pipeline and dynamic culture of innovation and craftsmanship, our strong R&amp;D capabilities continue to enable high-quality production and expansion of successful games.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Key Game Technologies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game R&amp;D is centered around using technologies to deliver a superior and differentiated user experience. The key areas of our proprietary game technologies include:</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 xml:space="preserve">Proprietary game engines: </w:t>
      </w:r>
      <w:r>
        <w:rPr>
          <w:rFonts w:ascii="Arial" w:cs="Arial" w:eastAsia="Arial" w:hAnsi="Arial"/>
          <w:sz w:val="16"/>
          <w:szCs w:val="16"/>
          <w:color w:val="auto"/>
        </w:rPr>
        <w:t>In addition to game development, we have continually invested in proprietary game engine R&amp;D.</w:t>
      </w:r>
      <w:r>
        <w:rPr>
          <w:rFonts w:ascii="Arial" w:cs="Arial" w:eastAsia="Arial" w:hAnsi="Arial"/>
          <w:sz w:val="16"/>
          <w:szCs w:val="16"/>
          <w:i w:val="1"/>
          <w:iCs w:val="1"/>
          <w:color w:val="auto"/>
        </w:rPr>
        <w:t xml:space="preserve"> </w:t>
      </w:r>
      <w:r>
        <w:rPr>
          <w:rFonts w:ascii="Arial" w:cs="Arial" w:eastAsia="Arial" w:hAnsi="Arial"/>
          <w:sz w:val="16"/>
          <w:szCs w:val="16"/>
          <w:color w:val="auto"/>
        </w:rPr>
        <w:t>Since the initial launch of our first game engine, NeoX, in 2005, we have continually expanded and optimized our proprietary engines to systematically support enhanced game features and aesthetics. As part of our early strategy to focus on mobile games, we successfully adapted NeoX to iOS and Android systems as well as developed Messiah, a 3D game engine specifically designed for mobile platforms. We believe that our R&amp;D in game engines and games reinforces each other and promotes a virtuous cycle of innovation. NeoX and Messiah enable us to systematically develop mobile games with the highest quality in lighting, audio, special effects, physics and animation, and other key game features, while our drive for better games in turn motivates development of more powerful engines.</w:t>
      </w:r>
    </w:p>
    <w:p>
      <w:pPr>
        <w:spacing w:after="0" w:line="16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User profile analytics: </w:t>
      </w:r>
      <w:r>
        <w:rPr>
          <w:rFonts w:ascii="Arial" w:cs="Arial" w:eastAsia="Arial" w:hAnsi="Arial"/>
          <w:sz w:val="18"/>
          <w:szCs w:val="18"/>
          <w:color w:val="auto"/>
        </w:rPr>
        <w:t>We perform an in-depth analysis of our users profile by analyzing activities and performances in games,</w:t>
      </w:r>
      <w:r>
        <w:rPr>
          <w:rFonts w:ascii="Arial" w:cs="Arial" w:eastAsia="Arial" w:hAnsi="Arial"/>
          <w:sz w:val="18"/>
          <w:szCs w:val="18"/>
          <w:i w:val="1"/>
          <w:iCs w:val="1"/>
          <w:color w:val="auto"/>
        </w:rPr>
        <w:t xml:space="preserve"> </w:t>
      </w:r>
      <w:r>
        <w:rPr>
          <w:rFonts w:ascii="Arial" w:cs="Arial" w:eastAsia="Arial" w:hAnsi="Arial"/>
          <w:sz w:val="18"/>
          <w:szCs w:val="18"/>
          <w:color w:val="auto"/>
        </w:rPr>
        <w:t>in-game purchasing preferences and other data and information with artificial intelligence, or AI technologies. We leverage our user data on an aggregate basis to guide game development and upgrades, marketing and other activities.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Intelligent non-player characters (NPCs): </w:t>
      </w:r>
      <w:r>
        <w:rPr>
          <w:rFonts w:ascii="Arial" w:cs="Arial" w:eastAsia="Arial" w:hAnsi="Arial"/>
          <w:sz w:val="18"/>
          <w:szCs w:val="18"/>
          <w:color w:val="auto"/>
        </w:rPr>
        <w:t>Enabled by deep learning technology, we have created intelligent NPCs that can join</w:t>
      </w:r>
      <w:r>
        <w:rPr>
          <w:rFonts w:ascii="Arial" w:cs="Arial" w:eastAsia="Arial" w:hAnsi="Arial"/>
          <w:sz w:val="18"/>
          <w:szCs w:val="18"/>
          <w:i w:val="1"/>
          <w:iCs w:val="1"/>
          <w:color w:val="auto"/>
        </w:rPr>
        <w:t xml:space="preserve"> </w:t>
      </w:r>
      <w:r>
        <w:rPr>
          <w:rFonts w:ascii="Arial" w:cs="Arial" w:eastAsia="Arial" w:hAnsi="Arial"/>
          <w:sz w:val="18"/>
          <w:szCs w:val="18"/>
          <w:color w:val="auto"/>
        </w:rPr>
        <w:t>players’ in-game activities, simulate real-life interactions, facial expressions and body language and enable a more engaging gaming experience. We also deploy multiple reinforcement learning technologies to produce NPCs with diverse styles and difficulty levels, catering to a wide range of player preferences.</w:t>
      </w:r>
    </w:p>
    <w:p>
      <w:pPr>
        <w:spacing w:after="0" w:line="187"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i w:val="1"/>
          <w:iCs w:val="1"/>
          <w:color w:val="auto"/>
        </w:rPr>
        <w:t xml:space="preserve">Natural language processing (NLP): </w:t>
      </w:r>
      <w:r>
        <w:rPr>
          <w:rFonts w:ascii="Arial" w:cs="Arial" w:eastAsia="Arial" w:hAnsi="Arial"/>
          <w:sz w:val="18"/>
          <w:szCs w:val="18"/>
          <w:color w:val="auto"/>
        </w:rPr>
        <w:t>We apply NLP technology in our games to enable players to develop their own storyline</w:t>
      </w:r>
      <w:r>
        <w:rPr>
          <w:rFonts w:ascii="Arial" w:cs="Arial" w:eastAsia="Arial" w:hAnsi="Arial"/>
          <w:sz w:val="18"/>
          <w:szCs w:val="18"/>
          <w:i w:val="1"/>
          <w:iCs w:val="1"/>
          <w:color w:val="auto"/>
        </w:rPr>
        <w:t xml:space="preserve"> </w:t>
      </w:r>
      <w:r>
        <w:rPr>
          <w:rFonts w:ascii="Arial" w:cs="Arial" w:eastAsia="Arial" w:hAnsi="Arial"/>
          <w:sz w:val="18"/>
          <w:szCs w:val="18"/>
          <w:color w:val="auto"/>
        </w:rPr>
        <w:t>by carrying out conversations with NPCs and explore hidden elements in the game, creating an immersive gaming experience for players.</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 xml:space="preserve">Advanced game graphics: </w:t>
      </w:r>
      <w:r>
        <w:rPr>
          <w:rFonts w:ascii="Arial" w:cs="Arial" w:eastAsia="Arial" w:hAnsi="Arial"/>
          <w:sz w:val="18"/>
          <w:szCs w:val="18"/>
          <w:color w:val="auto"/>
        </w:rPr>
        <w:t>Our advanced game graphics enable game players to create unique characters with customized facial</w:t>
      </w:r>
      <w:r>
        <w:rPr>
          <w:rFonts w:ascii="Arial" w:cs="Arial" w:eastAsia="Arial" w:hAnsi="Arial"/>
          <w:sz w:val="18"/>
          <w:szCs w:val="18"/>
          <w:i w:val="1"/>
          <w:iCs w:val="1"/>
          <w:color w:val="auto"/>
        </w:rPr>
        <w:t xml:space="preserve"> </w:t>
      </w:r>
      <w:r>
        <w:rPr>
          <w:rFonts w:ascii="Arial" w:cs="Arial" w:eastAsia="Arial" w:hAnsi="Arial"/>
          <w:sz w:val="18"/>
          <w:szCs w:val="18"/>
          <w:color w:val="auto"/>
        </w:rPr>
        <w:t>features. We also offer automatic character customization based on real-life photographs uploaded by players. In addition, we deploy high-quality 3D game graphics and automatic scene generation in our games.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Intelligent Learning Services – Youdao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Youdao’s Products and Services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founded Youdao in 2006 and launched the flagship Youdao Dictionary in 2007, which remains the top language app in China in terms of MAUs, which is a measure of the monthly number of unique mobile or PC devices, as the case may be, that access a product or service at least once in that month. Youdao experienced rapid growth since its founding and completed its public listing on the New York Stock Exchange in October 2019.</w:t>
      </w:r>
    </w:p>
    <w:p>
      <w:pPr>
        <w:spacing w:after="0" w:line="187"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Building on the early success of Youdao Dictionary, we have attracted a massive user base, built a strong brand, and expanded into a broad range of products and services addressing lifelong learning needs of pre-school, K-12 and college students as well as adult learners.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Online Knowledge Tools</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i w:val="1"/>
          <w:iCs w:val="1"/>
          <w:color w:val="auto"/>
        </w:rPr>
        <w:t>Youdao Dictionary</w:t>
      </w:r>
      <w:r>
        <w:rPr>
          <w:rFonts w:ascii="Arial" w:cs="Arial" w:eastAsia="Arial" w:hAnsi="Arial"/>
          <w:sz w:val="18"/>
          <w:szCs w:val="18"/>
          <w:color w:val="auto"/>
        </w:rPr>
        <w:t>. Launched in 2007, Youdao Dictionary is our first major product and flagship online language tool. Today, it</w:t>
      </w:r>
      <w:r>
        <w:rPr>
          <w:rFonts w:ascii="Arial" w:cs="Arial" w:eastAsia="Arial" w:hAnsi="Arial"/>
          <w:sz w:val="18"/>
          <w:szCs w:val="18"/>
          <w:i w:val="1"/>
          <w:iCs w:val="1"/>
          <w:color w:val="auto"/>
        </w:rPr>
        <w:t xml:space="preserve"> </w:t>
      </w:r>
      <w:r>
        <w:rPr>
          <w:rFonts w:ascii="Arial" w:cs="Arial" w:eastAsia="Arial" w:hAnsi="Arial"/>
          <w:sz w:val="18"/>
          <w:szCs w:val="18"/>
          <w:color w:val="auto"/>
        </w:rPr>
        <w:t>remains China’s most popular and trusted online dictionary and translation tool with 51.9 million MAUs in 2019. As of December 31, 2019, Youdao Dictionary offered over 30 million entries across 108 languages.</w:t>
      </w:r>
    </w:p>
    <w:p>
      <w:pPr>
        <w:spacing w:after="0" w:line="184"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i w:val="1"/>
          <w:iCs w:val="1"/>
          <w:color w:val="auto"/>
        </w:rPr>
        <w:t>Youdao Cloudnote</w:t>
      </w:r>
      <w:r>
        <w:rPr>
          <w:rFonts w:ascii="Arial" w:cs="Arial" w:eastAsia="Arial" w:hAnsi="Arial"/>
          <w:sz w:val="17"/>
          <w:szCs w:val="17"/>
          <w:color w:val="auto"/>
        </w:rPr>
        <w:t>. Youdao Cloudnote is China’s leading independent notetaking tool. It offers a comprehensive suite of</w:t>
      </w:r>
      <w:r>
        <w:rPr>
          <w:rFonts w:ascii="Arial" w:cs="Arial" w:eastAsia="Arial" w:hAnsi="Arial"/>
          <w:sz w:val="17"/>
          <w:szCs w:val="17"/>
          <w:i w:val="1"/>
          <w:iCs w:val="1"/>
          <w:color w:val="auto"/>
        </w:rPr>
        <w:t xml:space="preserve"> </w:t>
      </w:r>
      <w:r>
        <w:rPr>
          <w:rFonts w:ascii="Arial" w:cs="Arial" w:eastAsia="Arial" w:hAnsi="Arial"/>
          <w:sz w:val="17"/>
          <w:szCs w:val="17"/>
          <w:color w:val="auto"/>
        </w:rPr>
        <w:t>features for users to make a note of their ideas and inspirations anytime and anywhere. Users can also use the Youdao Cloud Pen with the Cloudnote, which digitizes their handwriting and saves it to the user’s Youdao Cloudnote account.</w:t>
      </w:r>
    </w:p>
    <w:p>
      <w:pPr>
        <w:spacing w:after="0" w:line="165" w:lineRule="exact"/>
        <w:rPr>
          <w:sz w:val="20"/>
          <w:szCs w:val="20"/>
          <w:color w:val="auto"/>
        </w:rPr>
      </w:pPr>
    </w:p>
    <w:p>
      <w:pPr>
        <w:ind w:right="440" w:firstLine="648"/>
        <w:spacing w:after="0" w:line="301" w:lineRule="auto"/>
        <w:rPr>
          <w:sz w:val="20"/>
          <w:szCs w:val="20"/>
          <w:color w:val="auto"/>
        </w:rPr>
      </w:pPr>
      <w:r>
        <w:rPr>
          <w:rFonts w:ascii="Arial" w:cs="Arial" w:eastAsia="Arial" w:hAnsi="Arial"/>
          <w:sz w:val="16"/>
          <w:szCs w:val="16"/>
          <w:i w:val="1"/>
          <w:iCs w:val="1"/>
          <w:color w:val="auto"/>
        </w:rPr>
        <w:t>Other Online Dictionary and Translation Tools</w:t>
      </w:r>
      <w:r>
        <w:rPr>
          <w:rFonts w:ascii="Arial" w:cs="Arial" w:eastAsia="Arial" w:hAnsi="Arial"/>
          <w:sz w:val="16"/>
          <w:szCs w:val="16"/>
          <w:color w:val="auto"/>
        </w:rPr>
        <w:t>. In addition to Youdao Dictionary, we also offer Youdao Translation, a tool</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designed to support translation needs of business and leisure travelers across over 30 languages via camera and speech translation, U-Dictionary, an online dictionary and translation app we offer in India and Indonesia and other overseas markets, and Youdao Kids’ Dictionary, a K-12 focused smart and fun tool that offers translation services in Chinese and English.</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Smart Devices</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develop and offer smart devices, including Youdao Smart Pen, Youdao Dictionary Pen and Youdao Pocket Translator to make learning more productive and efficient for our users. Our smart devices are developed and designed by us or in collaboration with third parties, while the manufacturing of such devices is outsourced to third-party manufacturers under original equipment manufacturer agreements. As of December 31, 2019, we have distributed 459,180 units of our smart devices.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Learning Services</w:t>
      </w:r>
    </w:p>
    <w:p>
      <w:pPr>
        <w:spacing w:after="0" w:line="225"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i w:val="1"/>
          <w:iCs w:val="1"/>
          <w:color w:val="auto"/>
        </w:rPr>
        <w:t xml:space="preserve">Online Courses. </w:t>
      </w:r>
      <w:r>
        <w:rPr>
          <w:rFonts w:ascii="Arial" w:cs="Arial" w:eastAsia="Arial" w:hAnsi="Arial"/>
          <w:sz w:val="18"/>
          <w:szCs w:val="18"/>
          <w:color w:val="auto"/>
        </w:rPr>
        <w:t>We have developed a comprehensive offering of online courses catering to the diverse learning needs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age groups. Our online course offerings currently consist of Youdao Premium Courses, NetEase Cloud Classroom and China University MOOC.</w:t>
      </w:r>
    </w:p>
    <w:p>
      <w:pPr>
        <w:spacing w:after="0" w:line="184"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i w:val="1"/>
          <w:iCs w:val="1"/>
          <w:color w:val="auto"/>
        </w:rPr>
        <w:t xml:space="preserve">Interactive Learning Apps. </w:t>
      </w:r>
      <w:r>
        <w:rPr>
          <w:rFonts w:ascii="Arial" w:cs="Arial" w:eastAsia="Arial" w:hAnsi="Arial"/>
          <w:sz w:val="17"/>
          <w:szCs w:val="17"/>
          <w:color w:val="auto"/>
        </w:rPr>
        <w:t>We offer a wide range of interactive learning apps to nearly all age groups. We are committed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delivering a fun and effective learning experience across these apps through an abundance of gamified features, as well as social functions allowing users and students to share their learning progress with friends through social media. Our current key interactive learning apps include </w:t>
      </w:r>
      <w:r>
        <w:rPr>
          <w:rFonts w:ascii="Arial" w:cs="Arial" w:eastAsia="Arial" w:hAnsi="Arial"/>
          <w:sz w:val="17"/>
          <w:szCs w:val="17"/>
          <w:i w:val="1"/>
          <w:iCs w:val="1"/>
          <w:color w:val="auto"/>
        </w:rPr>
        <w:t>Youdao Math</w:t>
      </w:r>
      <w:r>
        <w:rPr>
          <w:rFonts w:ascii="Arial" w:cs="Arial" w:eastAsia="Arial" w:hAnsi="Arial"/>
          <w:sz w:val="17"/>
          <w:szCs w:val="17"/>
          <w:color w:val="auto"/>
        </w:rPr>
        <w:t xml:space="preserve">, </w:t>
      </w:r>
      <w:r>
        <w:rPr>
          <w:rFonts w:ascii="Arial" w:cs="Arial" w:eastAsia="Arial" w:hAnsi="Arial"/>
          <w:sz w:val="17"/>
          <w:szCs w:val="17"/>
          <w:i w:val="1"/>
          <w:iCs w:val="1"/>
          <w:color w:val="auto"/>
        </w:rPr>
        <w:t>Youdao Fun Reading</w:t>
      </w:r>
      <w:r>
        <w:rPr>
          <w:rFonts w:ascii="Arial" w:cs="Arial" w:eastAsia="Arial" w:hAnsi="Arial"/>
          <w:sz w:val="17"/>
          <w:szCs w:val="17"/>
          <w:color w:val="auto"/>
        </w:rPr>
        <w:t xml:space="preserve">, and </w:t>
      </w:r>
      <w:r>
        <w:rPr>
          <w:rFonts w:ascii="Arial" w:cs="Arial" w:eastAsia="Arial" w:hAnsi="Arial"/>
          <w:sz w:val="17"/>
          <w:szCs w:val="17"/>
          <w:i w:val="1"/>
          <w:iCs w:val="1"/>
          <w:color w:val="auto"/>
        </w:rPr>
        <w:t>Youdao Vocabulary Builder</w:t>
      </w:r>
      <w:r>
        <w:rPr>
          <w:rFonts w:ascii="Arial" w:cs="Arial" w:eastAsia="Arial" w:hAnsi="Arial"/>
          <w:sz w:val="17"/>
          <w:szCs w:val="17"/>
          <w:color w:val="auto"/>
        </w:rPr>
        <w:t>.</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Enterprise Services</w:t>
      </w:r>
      <w:r>
        <w:rPr>
          <w:rFonts w:ascii="Arial" w:cs="Arial" w:eastAsia="Arial" w:hAnsi="Arial"/>
          <w:sz w:val="18"/>
          <w:szCs w:val="18"/>
          <w:color w:val="auto"/>
        </w:rPr>
        <w:t>. We offer Youdao Smart Cloud, a cloud-based platform that allows third-party app developers, smart device</w:t>
      </w:r>
      <w:r>
        <w:rPr>
          <w:rFonts w:ascii="Arial" w:cs="Arial" w:eastAsia="Arial" w:hAnsi="Arial"/>
          <w:sz w:val="18"/>
          <w:szCs w:val="18"/>
          <w:i w:val="1"/>
          <w:iCs w:val="1"/>
          <w:color w:val="auto"/>
        </w:rPr>
        <w:t xml:space="preserve"> </w:t>
      </w:r>
      <w:r>
        <w:rPr>
          <w:rFonts w:ascii="Arial" w:cs="Arial" w:eastAsia="Arial" w:hAnsi="Arial"/>
          <w:sz w:val="18"/>
          <w:szCs w:val="18"/>
          <w:color w:val="auto"/>
        </w:rPr>
        <w:t>brands and manufacturers to access our advanced optical character recognition (OCR) capability and neural machine translation (NMT) engine and incorporate them into their apps, devices, and services through application programming interfaces. We also license our OCR and NMT technologies and solutions to customers on a non-cloud basis. In addition, in collaboration with the Higher Education Press, we also provide colleges and universities with a cloud-based platform for them to build their online course offerings, as well as a range of ancillary technological support services.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Technology-driven Learning Experience</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integrate technologies into every major aspect of the learning and teaching process to ensure a superb learning experience across Youdao’s products and services. Over the years, we have built proprietary OCR, NMT, language data mining and voice recognition technologies and data analytics that serve as the foundation to our products and services. Such technologies are iteratively refined based on the vast data generated by our users.</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For example, we offer a set of advanced AI-based technologies to make learning more personalized and efficient while maintaining a high level of human touch. We have also built massive “knowledge graphs” depicting different knowledge points, concepts and learning objectives, supported by a large quiz bank curated by our course development professionals to help students understand the subject matter. In addition, we have adopted an adaptive learning approach which tracks each student’s learning progress and dynamically adapts teaching to the student’s unique learning needs. We collect student learning and behavior data throughout their learning cycles to help us understand their learning progress and predict through our adaptive learning model how they will perform to achieve future learning objectives.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also offer a seamless online and offline hybrid learning experience through the use of our smart devices. We encourage students to use our Youdao Smart Pen, which automatically converts the student’s handwriting into data that is synced up with our systems, allowing the student to view automatic grading results of exercises completed, correct answers and explanations, and suggested exercises to reinforce what is learnt, in almost real time. This has significantly improved our students’ learning efficiency and allowed us to deepen our insights into our students’ learning progress.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Innovative Business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NetEase Cloud Music</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launched the NetEase Cloud Music streaming platform in April 2013. Since then, NetEase Cloud Music has focused on delivering a differentiated and premium listening experience in terms of the quality and variety of music offered. Its pursuit of offering an excellent user experience has led to a highly loyal and active user base. As of December 31, 2019, NetEase Cloud Music had over 800 million registered users.</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NetEase Cloud Music is home to a large number of independent musicians. We focus on discovering and promoting rising artists with big data analytics. More than 100,000 independent musicians were on our platform as of December 31, 2019, and their songs were played back more than 270 billion times in 2019. In addition, we offer musicians tools and solutions to promote and monetize their work.</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We also diversify and further enrich our music offerings with sub-licensed content. NetEase Cloud Music operates under a freemium business model in which basic services are free while some enhanced features are available on a paid basis. In addition to providing the main music playback, download and search services, we also provide music social functions, such as song reviews, song list recommendations based on historical playback records and geographic location identification.</w:t>
      </w:r>
    </w:p>
    <w:p>
      <w:pPr>
        <w:spacing w:after="0" w:line="171"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 xml:space="preserve">In August 2019, we also added a new community module, </w:t>
      </w:r>
      <w:r>
        <w:rPr>
          <w:rFonts w:ascii="Arial" w:cs="Arial" w:eastAsia="Arial" w:hAnsi="Arial"/>
          <w:sz w:val="16"/>
          <w:szCs w:val="16"/>
          <w:i w:val="1"/>
          <w:iCs w:val="1"/>
          <w:color w:val="auto"/>
        </w:rPr>
        <w:t>Cloud Village</w:t>
      </w:r>
      <w:r>
        <w:rPr>
          <w:rFonts w:ascii="Arial" w:cs="Arial" w:eastAsia="Arial" w:hAnsi="Arial"/>
          <w:sz w:val="16"/>
          <w:szCs w:val="16"/>
          <w:color w:val="auto"/>
        </w:rPr>
        <w:t xml:space="preserve">, to further develop a music community that fosters discussion, creation and sharing of personalized expression around music. We launched a live streaming app, </w:t>
      </w:r>
      <w:r>
        <w:rPr>
          <w:rFonts w:ascii="Arial" w:cs="Arial" w:eastAsia="Arial" w:hAnsi="Arial"/>
          <w:sz w:val="16"/>
          <w:szCs w:val="16"/>
          <w:i w:val="1"/>
          <w:iCs w:val="1"/>
          <w:color w:val="auto"/>
        </w:rPr>
        <w:t>Look Live Streaming</w:t>
      </w:r>
      <w:r>
        <w:rPr>
          <w:rFonts w:ascii="Arial" w:cs="Arial" w:eastAsia="Arial" w:hAnsi="Arial"/>
          <w:sz w:val="16"/>
          <w:szCs w:val="16"/>
          <w:color w:val="auto"/>
        </w:rPr>
        <w:t>, in 2018 to provide an additional platform for independent musicians to showcase their music talents and interact directly with their audience. Fans can leave comments and send virtual gifts to artists while they perform live. In early 2020, we hosted an online music festival where more than 50 artists live streamed their performances to a massive audience across China.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Yanxuan</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Our e-commerce platform, Yanxuan, primarily sells our private label products, including consumer electronics, food, apparel, homeware, kitchenware and other general merchandise which we primarily source from original design manufacturers, or ODMs, in China. With its slogan </w:t>
      </w:r>
      <w:r>
        <w:rPr>
          <w:rFonts w:ascii="Arial" w:cs="Arial" w:eastAsia="Arial" w:hAnsi="Arial"/>
          <w:sz w:val="18"/>
          <w:szCs w:val="18"/>
          <w:i w:val="1"/>
          <w:iCs w:val="1"/>
          <w:color w:val="auto"/>
        </w:rPr>
        <w:t>Quality Products, for Quality Life</w:t>
      </w:r>
      <w:r>
        <w:rPr>
          <w:rFonts w:ascii="Arial" w:cs="Arial" w:eastAsia="Arial" w:hAnsi="Arial"/>
          <w:sz w:val="18"/>
          <w:szCs w:val="18"/>
          <w:color w:val="auto"/>
        </w:rPr>
        <w:t>, Yanxuan is dedicated to helping consumers build a quality yet affordable life by providing selected daily life products with outstanding quality and design.</w:t>
      </w:r>
    </w:p>
    <w:p>
      <w:pPr>
        <w:spacing w:after="0" w:line="18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Yanxuan's ODM model, it partners with selected manufacturers in China to design and manufacture products and sells them directly to customers. The ODM model enables Yanxuan to provide quality goods with lower cost by eliminating brand premium and channel intermediaries such as distributors and retailers. In addition to the online platform, we have also opened two offline stores in Hangzhou and Shanghai, inviting more consumers to discover the popular items on our e-platform through experiential retail.</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Innovative Services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We also offer a wide range of other innovative services, including NetEase Media, our internet media services, NetEase Mail, China's leading email service provider since 1997, CC Live streaming, our live streaming platform with a primary focus on game broadcasting, and NetEase Pay, our payment platform.</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Our internet media platform is a well-established brand with strong innovations in its content offerings and user experience. Our NetEase News App offers content channels covering news, information, popular sports events, industry forums, celebrity close-ups, technology and fashion trends, and online entertainment to the Chinese public via a variety of mobile devices. As one of the largest e-mail services providers in China in terms of registered email users, we offer both free and fee-based e-mail services to over one billion individual and corporate users as of December 31, 2019. In addition, the main homepage of the NetEase websites, www.163.com, serves as a one-stop gateway for users to conveniently access our other online services, such as online games, e-mail, e-commerce, video and music streaming, e-reading and a set of other websites and mobile applications.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TECHNOLOGIES AND IT INFRASTRUCTURE</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As one of the inaugural class of internet platforms and one of the first to provide e-mail services to the masses in China, we have consistently prioritized investing in technologies since our inception. With our strong R&amp;D capabilities and advanced technologies, we successfully digitalized traditional offline services, such as music and learning, and significantly transformed entertainment, learning and other activities. We focus on exploring viable applications of cutting-edge technologies to meaningfully enhance our service offerings and deliver a superior experience for our users. Empowered by advanced AI, big data analytics and other core proprietary technologies, we deliver engaging content and services that are highly individualized and personalized across our businesses.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 and Machine Learning</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Our powerful AI and machine learning capabilities enable us to effectively process ultra-large-scale data generated from across our services and products, optimize recommendations, personalize offerings and predict user behavior. Our key AI and machine learning capabilities include:</w:t>
      </w:r>
    </w:p>
    <w:p>
      <w:pPr>
        <w:spacing w:after="0" w:line="184" w:lineRule="exact"/>
        <w:rPr>
          <w:sz w:val="20"/>
          <w:szCs w:val="20"/>
          <w:color w:val="auto"/>
        </w:rPr>
      </w:pPr>
    </w:p>
    <w:p>
      <w:pPr>
        <w:ind w:left="1000" w:right="180" w:hanging="317"/>
        <w:spacing w:after="0" w:line="259"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Industry-leading technologies focusing on user experience</w:t>
      </w:r>
      <w:r>
        <w:rPr>
          <w:rFonts w:ascii="Arial" w:cs="Arial" w:eastAsia="Arial" w:hAnsi="Arial"/>
          <w:sz w:val="18"/>
          <w:szCs w:val="18"/>
          <w:color w:val="auto"/>
        </w:rPr>
        <w:t>: Based on the vast text, pictures, audio and video content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our users, we have developed advanced technologies such as natural language processing, automatic speech recognition (ASR) and text-to-speech (TTS) technologies that enable us to deliver an enjoyable and effective user experience.</w:t>
      </w:r>
    </w:p>
    <w:p>
      <w:pPr>
        <w:spacing w:after="0" w:line="186" w:lineRule="exact"/>
        <w:rPr>
          <w:rFonts w:ascii="Arial" w:cs="Arial" w:eastAsia="Arial" w:hAnsi="Arial"/>
          <w:sz w:val="18"/>
          <w:szCs w:val="18"/>
          <w:color w:val="auto"/>
        </w:rPr>
      </w:pPr>
    </w:p>
    <w:p>
      <w:pPr>
        <w:ind w:left="1000" w:right="120" w:hanging="317"/>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AI-powered applications, such as content recommendation and customization</w:t>
      </w:r>
      <w:r>
        <w:rPr>
          <w:rFonts w:ascii="Arial" w:cs="Arial" w:eastAsia="Arial" w:hAnsi="Arial"/>
          <w:sz w:val="18"/>
          <w:szCs w:val="18"/>
          <w:color w:val="auto"/>
        </w:rPr>
        <w:t>: We are a leader in developing and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AI technologies in content recommendation and customization, which enables us to achieve greater user engagement and stickiness.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Big-Data Analytics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take a holistic approach to big data innovation, with a focus on gaining deeper understanding of our users in order to provide better services, products and experience. Building on technologies that can process and analyze bulk data generated by millions of users instantaneously, our platform adopts a service-oriented architecture that allows easy up-scaling and frequent upgrading of the products. Our key data analytics capabilities include:</w:t>
      </w:r>
    </w:p>
    <w:p>
      <w:pPr>
        <w:spacing w:after="0" w:line="187" w:lineRule="exact"/>
        <w:rPr>
          <w:sz w:val="20"/>
          <w:szCs w:val="20"/>
          <w:color w:val="auto"/>
        </w:rPr>
      </w:pPr>
    </w:p>
    <w:p>
      <w:pPr>
        <w:ind w:left="1000" w:right="40" w:hanging="317"/>
        <w:spacing w:after="0" w:line="25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Scale</w:t>
      </w:r>
      <w:r>
        <w:rPr>
          <w:rFonts w:ascii="Arial" w:cs="Arial" w:eastAsia="Arial" w:hAnsi="Arial"/>
          <w:sz w:val="18"/>
          <w:szCs w:val="18"/>
          <w:color w:val="auto"/>
        </w:rPr>
        <w:t>: We have accumulated a massive user base and vast and complex user data across our online games, intelligent</w:t>
      </w:r>
      <w:r>
        <w:rPr>
          <w:rFonts w:ascii="Arial" w:cs="Arial" w:eastAsia="Arial" w:hAnsi="Arial"/>
          <w:sz w:val="18"/>
          <w:szCs w:val="18"/>
          <w:i w:val="1"/>
          <w:iCs w:val="1"/>
          <w:color w:val="auto"/>
        </w:rPr>
        <w:t xml:space="preserve"> </w:t>
      </w:r>
      <w:r>
        <w:rPr>
          <w:rFonts w:ascii="Arial" w:cs="Arial" w:eastAsia="Arial" w:hAnsi="Arial"/>
          <w:sz w:val="18"/>
          <w:szCs w:val="18"/>
          <w:color w:val="auto"/>
        </w:rPr>
        <w:t>learning, music and media businesses. The data generated every day not only provides us with high-quality profile information, but also contains a large amount of user-generated content and interactions, including text, images, audio and video. We maintain a high standard of data protection and privacy while productively using our data to inform our business operations and development.</w:t>
      </w:r>
    </w:p>
    <w:p>
      <w:pPr>
        <w:spacing w:after="0" w:line="187" w:lineRule="exact"/>
        <w:rPr>
          <w:rFonts w:ascii="Arial" w:cs="Arial" w:eastAsia="Arial" w:hAnsi="Arial"/>
          <w:sz w:val="18"/>
          <w:szCs w:val="18"/>
          <w:color w:val="auto"/>
        </w:rPr>
      </w:pPr>
    </w:p>
    <w:p>
      <w:pPr>
        <w:ind w:left="1000" w:right="40" w:hanging="317"/>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High-value data</w:t>
      </w:r>
      <w:r>
        <w:rPr>
          <w:rFonts w:ascii="Arial" w:cs="Arial" w:eastAsia="Arial" w:hAnsi="Arial"/>
          <w:sz w:val="18"/>
          <w:szCs w:val="18"/>
          <w:color w:val="auto"/>
        </w:rPr>
        <w:t>: Content, relationships and behavioral data based on user activities and interactions enable us to create</w:t>
      </w:r>
      <w:r>
        <w:rPr>
          <w:rFonts w:ascii="Arial" w:cs="Arial" w:eastAsia="Arial" w:hAnsi="Arial"/>
          <w:sz w:val="18"/>
          <w:szCs w:val="18"/>
          <w:i w:val="1"/>
          <w:iCs w:val="1"/>
          <w:color w:val="auto"/>
        </w:rPr>
        <w:t xml:space="preserve"> </w:t>
      </w:r>
      <w:r>
        <w:rPr>
          <w:rFonts w:ascii="Arial" w:cs="Arial" w:eastAsia="Arial" w:hAnsi="Arial"/>
          <w:sz w:val="18"/>
          <w:szCs w:val="18"/>
          <w:color w:val="auto"/>
        </w:rPr>
        <w:t>more accurate user profiles. Based on this data, we can be more intuitive and comprehensive in reflecting user interests and preferences, and provide valuable user reference data for a wide spectrum of R&amp;D, marketing, user engagement and other strategic initiatives.</w:t>
      </w:r>
    </w:p>
    <w:p>
      <w:pPr>
        <w:spacing w:after="0" w:line="186" w:lineRule="exact"/>
        <w:rPr>
          <w:rFonts w:ascii="Arial" w:cs="Arial" w:eastAsia="Arial" w:hAnsi="Arial"/>
          <w:sz w:val="18"/>
          <w:szCs w:val="18"/>
          <w:color w:val="auto"/>
        </w:rPr>
      </w:pPr>
    </w:p>
    <w:p>
      <w:pPr>
        <w:ind w:left="1000" w:right="40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Leading data analytical technology</w:t>
      </w:r>
      <w:r>
        <w:rPr>
          <w:rFonts w:ascii="Arial" w:cs="Arial" w:eastAsia="Arial" w:hAnsi="Arial"/>
          <w:sz w:val="18"/>
          <w:szCs w:val="18"/>
          <w:color w:val="auto"/>
        </w:rPr>
        <w:t>: Our big data analytical capability enables comprehensive analysis of services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offered and timely adjustments.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Graphics, Augmented Reality and Virtual Reality</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We have developed numerous technologies to create immersive and effective entertainment and learning experiences. In addition to creating quality 3D game graphics and automatic scene generations in games, we launched our virtual reality (VR) game, </w:t>
      </w:r>
      <w:r>
        <w:rPr>
          <w:rFonts w:ascii="Arial" w:cs="Arial" w:eastAsia="Arial" w:hAnsi="Arial"/>
          <w:sz w:val="17"/>
          <w:szCs w:val="17"/>
          <w:i w:val="1"/>
          <w:iCs w:val="1"/>
          <w:color w:val="auto"/>
        </w:rPr>
        <w:t>Nostos</w:t>
      </w:r>
      <w:r>
        <w:rPr>
          <w:rFonts w:ascii="Arial" w:cs="Arial" w:eastAsia="Arial" w:hAnsi="Arial"/>
          <w:sz w:val="17"/>
          <w:szCs w:val="17"/>
          <w:color w:val="auto"/>
        </w:rPr>
        <w:t>, in 2019 to offer game players a lifelike, free and dynamic open world game experience. Outside of games, NetEase Cloud Music</w:t>
      </w:r>
      <w:r>
        <w:rPr>
          <w:rFonts w:ascii="Arial" w:cs="Arial" w:eastAsia="Arial" w:hAnsi="Arial"/>
          <w:sz w:val="17"/>
          <w:szCs w:val="17"/>
          <w:i w:val="1"/>
          <w:iCs w:val="1"/>
          <w:color w:val="auto"/>
        </w:rPr>
        <w:t xml:space="preserve"> </w:t>
      </w:r>
      <w:r>
        <w:rPr>
          <w:rFonts w:ascii="Arial" w:cs="Arial" w:eastAsia="Arial" w:hAnsi="Arial"/>
          <w:sz w:val="17"/>
          <w:szCs w:val="17"/>
          <w:color w:val="auto"/>
        </w:rPr>
        <w:t>has also leveraged augmented reality in its marketing and user engagement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Infrastructure</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infrastructure and technology have been designed for reliability, scalability and flexibility and are administered by our technical staff. Our NetEase websites and other online and mobile platforms are made available primarily through network servers co-located in the facilities of China Telecom’s affiliates, China Unicom’s affiliates and China Mobile’s affiliates. As of December 31, 2019, there were approximately 106,000 of such co-located servers, including servers supporting the operation of the games licensed to Shanghai EaseNet by Blizzard, using leased dedicated lines mainly from various affiliates of China Telecom, China Unicom and China Mobile. We also utilize certain cloud-based servers maintained by third parties such as Amazon.</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 addition, we have developed our own systems to facilitate sales planning, targeting, trafficking, inventory management and reporting tools, such as advertisement tracking systems for our advertising services.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also established a comprehensive user profile system, which we monitor and review on a regular basis. We also deploy a single sign-on system that allows users to easily access our services offered through the various NetEase products. We intend to continue to use a combination of internally developed software products as well as third-party products to enhance our products and services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employ a variety of online and traditional sales and marketing programs and promotional activities to build our brand as part of our overall marketing strategy. We focus on building brand awareness through online marketing campaigns, proactive public relations and other offline advertising. We invest in a series of marketing activities to further strengthen our brand image and continue to grow our user base, including collaborating with leading social media, video and live streaming platforms, TV, movie and stage production companies as well as book and comic publishers to extend our brand to a broader potential user group.</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Online Game Services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mobile games are available on the Apple app store for iOS and third-party Android app stores. In addition, to leverage our existing user bases, we also publish our mobile games through our own internet properties. We conduct in-game marketing campaigns in connection with special holiday editions or launches of new games or expansion packs throughout the year. We have also promoted our games in collaboration with online and offline third-party promoters.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Youdao</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Youdao generates user traffic and leads primarily from online channels. As a key sales and marketing strategy, Youdao cross-sells its comprehensive portfolio of products and services, which allows it to effectively scale its business with modest traffic acquisition and marketing spending. In addition, Youdao also employs mobile marketing, such as brand advertisements and marketing campaigns on app stores, leading mobile news apps and social media platforms, as well as through optimization techniques designed to improve its ranking in popular search engines’ results. Youdao also engages in offline marketing and branding to supplement its overall sales and marketing strategies.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Innovative Businesses and Others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our innovative businesses and other online services, content and services are generally provided through mobile applications or their respective websites. Users purchase our services either at a pre-determined package rate or on an item-based basis, and payments are made using third-party online payment platforms or NetEase Pay. We attract users through a variety of channels, such as our sponsored searches, social and online advertising, internet video and television advertising and other advertising channels. We also offer our customers special pricing discounts in connection with promotion activities and strive to expand our products selection to attract more visitors. Advertising services are conducted through our dedicated advertising services sales force, or through online advertising sales networks and advertising agencies.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rely on a combination of copyright, trademark, patent and trade secrecy laws and contractual restrictions on disclosure to protect our intellectual property rights. We require our employees to enter into agreements requiring them to keep confidential all information relating to our customers, methods, business and trade secrets during and after their employment with us. Our employees are required to acknowledge and recognize that all inventions, trade secrets, works of authorship, developments and other processes, whether or not patentable or copyrightable, made by them during their employment are our property. They also sign all necessary documents to substantiate our sole and exclusive right to those works and to transfer any ownership that they may claim in those works to us.</w:t>
      </w:r>
    </w:p>
    <w:p>
      <w:pPr>
        <w:spacing w:after="0" w:line="16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have registered a number of domain names. We have also successfully registered numerous trademarks with China’s Trademark Office, including marks incorporating the words “NetEase” and “Yeah!” in English and for marks for “NetEase” as written in Chinese in traditional and simplified Chinese characters. In addition, we have registered trademarks involving Chinese characters and phrases that have meanings relating to our web pages, products and services, including our online games, intelligent learning services, online music services, chat services, e-commerce and certain other online services. In addition, we have registered a number of trademarks involving the “NetEase” name as well as the names and logos of our products and services in the United States, the European Union, the Republic of Korea, Japan, Hong Kong, Macau, Taiwan, Thailand and other jurisdictions.</w:t>
      </w:r>
    </w:p>
    <w:p>
      <w:pPr>
        <w:spacing w:after="0" w:line="166"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we have registered our various in-house developed games and other online products with the National Copyright Administration of China. Moreover, we have filed certain patent applications with the National Intellectual Property Administration of China, U.S. Patent and Trademark Office, European Patent Office and Japan Patent Office, and have obtained Certificates of Design Patent, Utility Model Patent and/or Invention Patent for technologies related to our games, live video, news, educational products, e-commerce and finance, NetEase Cloud Music, hardware products, cloud technology, augmented reality technology, computer technology and e-mail from the National Intellectual Property Administration of China, as well as Certificates of Utility Patent for games in the United States and Certificates of Design Patent in Japan.</w:t>
      </w:r>
    </w:p>
    <w:p>
      <w:pPr>
        <w:spacing w:after="0" w:line="17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Youdao owns the intellectual property relating to in-house developed content used on its platform and the registrations of the core trademarks “Youdao.” We also own the intellectual property (other than the content) relating to the NetEase websites and other online and mobile platforms, and the technology that enables online community, personalization, online games, news sharing, instant messaging, video streaming, NetEase Cloud Music, Yanxuan and other services on those platforms. We license content from various freelance providers and other content providers.</w:t>
      </w:r>
    </w:p>
    <w:p>
      <w:pPr>
        <w:spacing w:after="0" w:line="188"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While we actively take steps to protect our proprietary rights, such steps may not be adequate to prevent the infringement or misappropriation of our intellectual property. See Item 3.D. “Risk Factors—Risks Related to doing business in China—We may not be able to adequately protect our intellectual property, and we may be exposed to infringement claims by third parties.”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competition primarily comes from global online game developers and operators, such as Tencent, established online and offline education service providers in China, as well as leading digital media and entertainment providers. Some of our current and potential competitors are larger than we are, and currently offer, and could further develop or acquire, content and services that compete with us. The areas in which we compete primarily include: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User traffic, time and spending</w:t>
      </w:r>
      <w:r>
        <w:rPr>
          <w:rFonts w:ascii="Arial" w:cs="Arial" w:eastAsia="Arial" w:hAnsi="Arial"/>
          <w:sz w:val="18"/>
          <w:szCs w:val="18"/>
          <w:color w:val="auto"/>
        </w:rPr>
        <w:t>. We compete to attract, engage and retain users based on the design, quality, popularity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efficacy of our content offerings, the overall user experience of our products and services, as well as the effectiveness of our marketing activities.</w:t>
      </w:r>
    </w:p>
    <w:p>
      <w:pPr>
        <w:spacing w:after="0" w:line="18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Talent</w:t>
      </w:r>
      <w:r>
        <w:rPr>
          <w:rFonts w:ascii="Arial" w:cs="Arial" w:eastAsia="Arial" w:hAnsi="Arial"/>
          <w:sz w:val="18"/>
          <w:szCs w:val="18"/>
          <w:color w:val="auto"/>
        </w:rPr>
        <w:t>. We compete for motivated and capable talent, including engineers, game designers, product developers and creative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to build compelling content, tools and functions.</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i w:val="1"/>
          <w:iCs w:val="1"/>
          <w:color w:val="auto"/>
        </w:rPr>
        <w:t>Global collaboration opportunities</w:t>
      </w:r>
      <w:r>
        <w:rPr>
          <w:rFonts w:ascii="Arial" w:cs="Arial" w:eastAsia="Arial" w:hAnsi="Arial"/>
          <w:sz w:val="17"/>
          <w:szCs w:val="17"/>
          <w:color w:val="auto"/>
        </w:rPr>
        <w:t>. We compete to win collaboration relationships with well-known global IP and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owners based on our level of expertise in systematically developing in-house developed games, delivering a compelling user experience through operational knowhow and customizing established game titles for rapid expansion into overseas markets.</w:t>
      </w:r>
    </w:p>
    <w:p>
      <w:pPr>
        <w:spacing w:after="0" w:line="165"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There can be no assurance that we will be able to compete successfully against our current or future competitors or that competition will not have a material adverse effect on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Foreign Investment</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On March 15, 2019, the National People’s Congress promulgated the 2019 PRC Foreign Investment Law, which became effective on January 1, 2020, and replaced the Sino-Foreign Equity Joint Venture Enterprise Law, the Sino-Foreign Cooperative Joint Venture Enterprise Law and the Wholly Foreign-Owned Enterprise Law. On June 30, 2019, the MOFCOM and NDRC jointly promulgated Catalog of Industries for Encouraging Foreign Investment (Nagative List).</w:t>
      </w:r>
    </w:p>
    <w:p>
      <w:pPr>
        <w:spacing w:after="0" w:line="187"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To comply with the above foreign investment restrictions and to obtain necessary licenses and permits in industries that are currently subject to foreign investment restrictions in China, we operate in China through our VIEs. See Item 4.B. “Business Overview —Our Organizational Structure.” There remain substantial uncertainties with respect to the interpretation and application of existing or future PRC laws and regulations on foreign investment. See Item 3.D.“Risk Factors—Risks Related to Our Corporate Structure.”</w:t>
      </w:r>
    </w:p>
    <w:p>
      <w:pPr>
        <w:spacing w:after="0" w:line="15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According to the 2019 PRC Foreign Investment Law, foreign investment shall enjoy “pre-entry national treatment”, which generally means that at an investment-entrance stage, foreign investment should be treated no less favorably than domestic investment, except for foreign investments in industries deemed to be “restricted” or “prohibited” in the “negative list.” The 2019 PRC Foreign Investment Law provides that foreign invested entities operating in “restricted” or “prohibited” industries will require entry clearance and other approvals. However, uncertainties still exist when it comes to interpreting or implementing the 2019 Foreign Investment Law and its implementation rules. For example, the 2019 PRC Foreign Investment Law does not comment on the concept of “de facto control” or contractual arrangements with VIEs. It does, however, have a catch-all provision under the definition of “foreign investment,” which includes investments made by foreign investors in China through means stipulated by laws or administrative regulations or other methods prescribed by the State Council. As such, there remains a leeway for future Laws to define contractual arrangements as a form of “foreign investment.” Furthermore, the 2019 PRC Foreign Investment Law provides that foreign invested enterprises established according to the existing laws regulating foreign investment may maintain their structure and corporate governance for five years after the 2019 PRC Foreign Investment Law is implemented, which means that foreign invested enterprises may be required to adjust their structure and corporate governance after five years. For further details, please see Item 3.D. “Risk Factors — Risks Related to Our Corporate Structure.”</w:t>
      </w:r>
    </w:p>
    <w:p>
      <w:pPr>
        <w:spacing w:after="0" w:line="18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December 26, 2019, the State Council promulgated the Implementation Rules to the Foreign Investment Law, which became effective on January 1, 2020, and repealed the Provisional Regulations on the Duration of Sino-Foreign Equity Joint Venture Enterprise, the Regulations on Implementing the Wholly Foreign-Invested Enterprise Law of the PRC, and the Regulations on Implementing the Sino-Foreign Cooperative Joint Venture Enterprise Law of the PRC. The implementation rules further clarified and elaborated on the relevant provisions of the 2019 PRC Foreign Investment Law. However, given that these implementation rules were only recently enacted, a number of uncertainties still exist in relation to the interpretation and implementation of the 2019 PRC Foreign Investment Law.</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On December 30, 2019, the MOFCOM and the State Administration for Market Regulation, or the SAMR, jointly promulgated the Measures for Information Reporting on Foreign Investment</w:t>
      </w:r>
      <w:r>
        <w:rPr>
          <w:rFonts w:ascii="Arial" w:cs="Arial" w:eastAsia="Arial" w:hAnsi="Arial"/>
          <w:sz w:val="16"/>
          <w:szCs w:val="16"/>
          <w:i w:val="1"/>
          <w:iCs w:val="1"/>
          <w:color w:val="auto"/>
        </w:rPr>
        <w:t>,</w:t>
      </w:r>
      <w:r>
        <w:rPr>
          <w:rFonts w:ascii="Arial" w:cs="Arial" w:eastAsia="Arial" w:hAnsi="Arial"/>
          <w:sz w:val="16"/>
          <w:szCs w:val="16"/>
          <w:color w:val="auto"/>
        </w:rPr>
        <w:t xml:space="preserve"> which became effective on January 1, 2020. Pursuant to the measures, where a foreign investor directly or indirectly carries out investment activities in China, the foreign investor or the foreign-invested enterprise must submit the investment information to the competent commerce department for further handling.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Telecommunication Services</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September 2000, China’s State Council promulgated the Telecommunications Regulations of the PRC, or the Telecom Regulations, which was revised in February 2016. The Telecom Regulations categorized all telecommunications businesses in China as either a “basic telecommunications business” or “value-added telecommunications business,” ICP services, e-mail services, and other telecommunications businesses operated by us are classified as value-added telecommunications businesses. According to the Telecom Regulations, the commercial operator of these services must obtain an operating license. The Telecom Regulations also set out extensive guidelines with respect to different aspects of telecommunications operations in China.</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December 28, 2015, MIIT issued the Telecommunication Services Classification Catalog (2015 Edition), which replaced the then-operative Telecommunication Services Classification Catalog (2003 Edition). The 2015 catalog took effect on March 1, 2016 and was amended on June 6, 2019. The catalog divided the information services business into an additional five sub-categories and reclassified the online data processing and transaction processing services business from a “basic telecommunications business” to a “value-added telecommunications business.” In 2017, MIIT issued the new version of the Measures for the Administration of Telecom Business Licensing, or the MIIT Measures 2017, which became effective on September 1, 2017. Similar to the 2009 version, the MIIT Measures 2017 require companies who are engaged in telecommunications businesses to have a Telecom Business License. However, the MIIT Measures 2017 removed the previous requirement to file trans-regional value-added telecommunications business permits.</w:t>
      </w:r>
    </w:p>
    <w:p>
      <w:pPr>
        <w:spacing w:after="0" w:line="16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December 2001, in order to comply with China’s commitments with respect to its entry into the WTO, the State Council promulgated the Regulation for the Administration of Foreign-invested Telecommunications Enterprises, or the FITE Regulations, which was last revised in February 2016. The FITE Regulations set out detailed requirements with respect to capitalization, investor qualifications, and application procedures in connection with establishing a foreign invested telecom enterprise. Pursuant to the FITE Regulations, foreign investors may hold an aggregate of no more than 50% of the total equity in any value-added telecommunications business in China. The Notice of the Ministry of Industry and Information Technology on Removing the Restrictions on Foreign Equity Ratios in Online Data Processing and Transaction Processing (Operating E-commerce) Business issued by the MII, later superseded by the MIIT, in June 2015 set out an exception under which foreign investors may hold up to the entire equity interest in online data processing and transaction processing (operating e-commerce) businesses. However, the FITE Regulations do not define “online data processing and transaction processing (operating e-commerce) business”, and its interpretation and enforcement involve significant uncertainties. In addition, the 2019 edition of the Special Administrative Measures for Access of Foreign Investments removes some of the previous restrictions on value-added telecommunications providers by allowing foreign investors to hold up to the entire equity interest in domestic multi-party communication, e-storage and forwarding and call center businesses in China. However, other requirements provided by the SART (later superseded by the National Radio and Television Administration, or the NRTA) and MIIT regulations still apply.</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Circular of the MII on Intensifying the Administration of Foreign Investment in Value-Added Telecommunication Services, or the 2006 MII Circular, was promulgated by MII (later superseded by the MIIT) on July 13, 2006. The 2006 MII Circular provides that:</w:t>
      </w:r>
    </w:p>
    <w:p>
      <w:pPr>
        <w:ind w:right="120" w:firstLine="8"/>
        <w:spacing w:after="0" w:line="268"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domain name used by a valued-added telecommunications service provider must be legally owned by the service provider or its shareholder(s); (ii) any trademark used by a value-added telecommunications service provider must be legally owned by the service provider or its shareholder(s); (iii) the operation site and facilities of a value-added telecommunications service provider must be installed within the scope prescribed by the operating licenses obtained by the service provider and must correspond to the value-added telecommunications services that the service provider has been approved to provide; and (iv) a value-added telecommunications service provider must establish or improve the measures of ensuring information security. Companies that have obtained operating licenses for value-added telecommunications services are required to conduct self-examination and self-correction according to the requirements above and report their results to MII (later superseded by the MIIT).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Information Services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Measures for the Administration of Internet Information Services, or the ICP Measures, issued by the State Council went into effect on September 25, 2000 and were revised on January 8, 2011. Under the ICP Measures, any entity that provides information to internet users must obtain an operating license from the MII (later superseded by the MIIT) or its local branch at the provincial level in accordance with the Regulations on Telecommunication Services described above.</w:t>
      </w:r>
    </w:p>
    <w:p>
      <w:pPr>
        <w:spacing w:after="0" w:line="187"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Provisional Regulations for the Administration of Website Operation of News Publications, which were jointly issued by the State Council Information Office of the PRC, or the SCIO, and MII (later superseded by the MIIT) on November 6, 2000, stipulates that websites of non-news organizations shall not publish news items produced by themselves, and that their websites shall be approved by SCIO after securing permission from SCIO at the provincial level. On June 1, 2017, the latest Provisions for the Administration of Internet News Information Services promulgated by the CAC came into effect, which superseded the previous regulations. According to the revised provisions, to provide internet-based news information services to the public via internet websites, applications, forums, blogs, micro-blogs, public accounts, instant communication tools and online live streaming, providers must obtain an Internet News Information Service License, issued by the CAC or a local cyberspace administration. In addition, the provisions prohibit organizations from establishing foreign, partially or wholly owned, entities that invest or operate internet-based news information services. The CAC and the local cyberspace administrative offices are responsible for the supervision, management and inspection of internet-based news information services.</w:t>
      </w:r>
    </w:p>
    <w:p>
      <w:pPr>
        <w:spacing w:after="0" w:line="18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December 2016, the MOC (later superseded by the MOCT) issued the Circular on the Administrative Measures for Business Activities Relating to Online Performance, pursuant to which an internet platform operator that provides online performance shall:</w:t>
      </w:r>
    </w:p>
    <w:p>
      <w:pPr>
        <w:ind w:left="220" w:hanging="212"/>
        <w:spacing w:after="0"/>
        <w:tabs>
          <w:tab w:leader="none" w:pos="2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apply for a Network Culture Operation License with the relevant provincial-level authority; (ii) notify the MOC of any access or</w:t>
      </w:r>
    </w:p>
    <w:p>
      <w:pPr>
        <w:spacing w:after="0" w:line="20" w:lineRule="exact"/>
        <w:rPr>
          <w:rFonts w:ascii="Arial" w:cs="Arial" w:eastAsia="Arial" w:hAnsi="Arial"/>
          <w:sz w:val="17"/>
          <w:szCs w:val="17"/>
          <w:color w:val="auto"/>
        </w:rPr>
      </w:pPr>
    </w:p>
    <w:p>
      <w:pPr>
        <w:ind w:right="220"/>
        <w:spacing w:after="0" w:line="253" w:lineRule="auto"/>
        <w:rPr>
          <w:rFonts w:ascii="Arial" w:cs="Arial" w:eastAsia="Arial" w:hAnsi="Arial"/>
          <w:sz w:val="17"/>
          <w:szCs w:val="17"/>
          <w:color w:val="auto"/>
        </w:rPr>
      </w:pPr>
      <w:r>
        <w:rPr>
          <w:rFonts w:ascii="Arial" w:cs="Arial" w:eastAsia="Arial" w:hAnsi="Arial"/>
          <w:sz w:val="18"/>
          <w:szCs w:val="18"/>
          <w:color w:val="auto"/>
        </w:rPr>
        <w:t>performance channels created for domestic performers within ten days; and (iii) submit an application to the MOC before creating any access or performance channels for foreign performers. On June 19, 2018, the MOCT issued the National Cultural Market Blacklist Management Measures, which created a public ‘blacklist’ for companies that did not comply with the regulations on internet culture activities and imposed penalties and credit restrictions for non-compliance.</w:t>
      </w:r>
    </w:p>
    <w:p>
      <w:pPr>
        <w:spacing w:after="0" w:line="193"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In addition, the SART (later superseded by the NRTA) issued a Notice on Strengthening the Management of Live Streaming Service for the Network Audio-visual Programs in September 2016, pursuant to which an internet live streaming service provider shall:</w:t>
      </w:r>
    </w:p>
    <w:p>
      <w:pPr>
        <w:ind w:right="160" w:firstLine="8"/>
        <w:spacing w:after="0" w:line="269" w:lineRule="auto"/>
        <w:tabs>
          <w:tab w:leader="none" w:pos="2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necessary censorship on the content of such live streaming; (ii) establish a mechanism to timely identify unlawful content, prevent any unlawful content from being distributed and replace the content with backup programs; and (iii) record live streaming programs and keep the records for at least 60 days. Shortly after this notice, in November 2016, the State Internet Information Office promulgated the Administrative Provisions on Internet Live Streaming Services, pursuant to which an internet live streaming service provider shall: (i) establish a live streaming content review platform; (ii) require authentication for the registration of live streaming content providers; and (iii) enter into a service agreement with live streaming service users to specify each of the live streaming service user’s and the content provider’s rights and obligations.</w:t>
      </w:r>
    </w:p>
    <w:p>
      <w:pPr>
        <w:spacing w:after="0" w:line="180" w:lineRule="exact"/>
        <w:rPr>
          <w:sz w:val="20"/>
          <w:szCs w:val="20"/>
          <w:color w:val="auto"/>
        </w:rPr>
      </w:pPr>
    </w:p>
    <w:p>
      <w:pPr>
        <w:jc w:val="both"/>
        <w:ind w:right="80" w:firstLine="648"/>
        <w:spacing w:after="0" w:line="275" w:lineRule="auto"/>
        <w:rPr>
          <w:sz w:val="20"/>
          <w:szCs w:val="20"/>
          <w:color w:val="auto"/>
        </w:rPr>
      </w:pPr>
      <w:r>
        <w:rPr>
          <w:rFonts w:ascii="Arial" w:cs="Arial" w:eastAsia="Arial" w:hAnsi="Arial"/>
          <w:sz w:val="17"/>
          <w:szCs w:val="17"/>
          <w:color w:val="auto"/>
        </w:rPr>
        <w:t>In November 2018, the CAC together with the Ministry of Public Security published the Provisions on the Safety Assessment for Internet Information Services Capable of Creating Public Opinions or Social Mobilization. These provisions require certain internet information service providers to conduct safety assessment in relation to the (i) the legal compliance status of their information services, new technologies and new applications, (ii) effectiveness of their implementation of safety measures as required by applicable laws and regulations, and (iii) effectiveness of their safety and risk control measures.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June 27, 2002, the MII (later superseded by the MIIT) and GAPP jointly promulgated the Provisional Measures for the Administration of Internet Publishing, which was replaced by the Rules for the Administration of Online Publishing Service jointly issued by SAPPRFT (later superseded by the NRTA) and MII (later superseded by the MIIT) that became effective on March 10, 2016. These rules require online publishers to secure approval from the SAPPRFT (later superseded by the NRTA) for their operations. The term “online publication service” refers to providing online publications to the public through information networks. The term “online publications” is defined as the digital works with publishing features such as editing, production or processing provided to the public through information networks (including content from books, newspapers, periodicals, audio and video products, electronic publications that have already been formally published or works that have been made public in other media format, and edited and processed works of literature, art and natural sciences, social sciences and engineering technology). These rules also forbid foreign investment in the online publishing sector.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July 8, 2004, State Food and Drug Administration, or SFDA, issued the Measures for the Administration of Internet Drug Information Services, which was amended in 2017. The Measures for the Administration of Internet Drug Information Services stipulate that websites publishing drug-related information must obtain a license from local food and drug administrations.</w:t>
      </w:r>
    </w:p>
    <w:p>
      <w:pPr>
        <w:spacing w:after="0" w:line="16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Pursuant to the Measures for the Administration of Internet E-mail Services, or the Internet E-mail Measures, which were issued by MII (later superseded by the MIIT) on February 20, 2006, e-mail service providers must obtain value-added telecommunications business operating licenses or file for recordation as non-profit internet service providers. In addition, each e-mail service provider must keep a record of the timing, sender’s or recipient’s e-mail address and IP address of each e-mail transmitted through its servers for 60 days. The Internet E-mail Measures also state that an internet e-mail service provider is obligated to keep confidential the users’ personal registered information and internet e-mail addresses. An internet e-mail service provider and its employees may not illegally use any user’s personal registered information or internet e-mail address and may not, without consent of the user, divulge the user’s personal registered information or internet e-mail address, unless otherwise prescribed by another law or administrative regulation.</w:t>
      </w:r>
    </w:p>
    <w:p>
      <w:pPr>
        <w:spacing w:after="0" w:line="165" w:lineRule="exact"/>
        <w:rPr>
          <w:sz w:val="20"/>
          <w:szCs w:val="20"/>
          <w:color w:val="auto"/>
        </w:rPr>
      </w:pPr>
    </w:p>
    <w:p>
      <w:pPr>
        <w:ind w:right="380" w:firstLine="648"/>
        <w:spacing w:after="0" w:line="257" w:lineRule="auto"/>
        <w:rPr>
          <w:sz w:val="20"/>
          <w:szCs w:val="20"/>
          <w:color w:val="auto"/>
        </w:rPr>
      </w:pPr>
      <w:r>
        <w:rPr>
          <w:rFonts w:ascii="Arial" w:cs="Arial" w:eastAsia="Arial" w:hAnsi="Arial"/>
          <w:sz w:val="18"/>
          <w:szCs w:val="18"/>
          <w:color w:val="auto"/>
        </w:rPr>
        <w:t>The State Administration of Radio, Film and Television, or the SARFT, (later superseded by the NRTA) and MII (later superseded by the MIIT) jointly issued the Regulations for the Administration of Internet Audiovisual Program Services, or the Audiovisual Regulations, on December 20, 2007, which were revised on August 28, 2015. The Audiovisual Regulations require that online audio and video service providers obtain a permit from SAPPRFT (later superseded by the NRTA) in accordance with the Audiovisual Regulations.</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On November 18, 2019, the CAC, the MOCT and the SART (later superseded by the NRTA) jointly issued the Promulgation of the Administrative Provisions on Online Audio and Video Information Services, or the Audio and Video Provisions, which took effect on January 1, 2020. The Audio and Video Provisions require that online audio and video information service providers: (i) acquire relevant qualifications required by law and regulations, (ii) adopt rules and policies in relation to, for example, user registration, information distribution and review, information security management, emergency disposal, educational training for employees, the protection of minors and intellectual property rights protection, (iii) verify personal information submitted by users as required under applicable law, and (iv) undertake technical and other necessary measures to ensure network security and stable operations. Organizations and individuals are prohibited from utilizing online audio and video information services and the related information technology to carry out illegal activities that infringe upon the legitimate rights and interests of others. The Audio and Video Provisions further set out requirements for the creation, distribution and transmission of audio videos based on new technologies and applications such as deep learning and virtual reality, including requirements for safety evaluation, labeling requirements and mechanisms for refuting fake rumors.</w:t>
      </w:r>
    </w:p>
    <w:p>
      <w:pPr>
        <w:spacing w:after="0" w:line="172" w:lineRule="exact"/>
        <w:rPr>
          <w:sz w:val="20"/>
          <w:szCs w:val="20"/>
          <w:color w:val="auto"/>
        </w:rPr>
      </w:pPr>
    </w:p>
    <w:p>
      <w:pPr>
        <w:ind w:right="140" w:firstLine="648"/>
        <w:spacing w:after="0" w:line="311" w:lineRule="auto"/>
        <w:rPr>
          <w:sz w:val="20"/>
          <w:szCs w:val="20"/>
          <w:color w:val="auto"/>
        </w:rPr>
      </w:pPr>
      <w:r>
        <w:rPr>
          <w:rFonts w:ascii="Arial" w:cs="Arial" w:eastAsia="Arial" w:hAnsi="Arial"/>
          <w:sz w:val="16"/>
          <w:szCs w:val="16"/>
          <w:color w:val="auto"/>
        </w:rPr>
        <w:t>On October 23, 2015, the MOC (later superseded by the MOCT) issued its Notice on Further Strengthening and Improving the Management of Online Music Content. According to this notice, entities should examine and verify the content of online music by themselves, while the culture management administration should supervise compliance upon and following the content’s publication.</w:t>
      </w:r>
    </w:p>
    <w:p>
      <w:pPr>
        <w:spacing w:after="0" w:line="1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August 7, 2014, SCIO issued the Interim Provisions on Managing the Development of Public Information Services on Instant Messaging Tools, or the Instant Messaging Interim Provisions, which stipulate that instant messaging tool service providers must enter into an agreement with their users during account registration to require them to abide by “Seven Principals,” including, without limitation, compliance with applicable laws and social ethics.</w:t>
      </w:r>
    </w:p>
    <w:p>
      <w:pPr>
        <w:spacing w:after="0" w:line="187"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December 29, 2011, MII (later superseded by the MIIT) issued Several Provisions on Regulating the Market Order for Internet Information Services, or the Market Order Provisions. According to the provisions, internet information service providers, or IISPs, are prohibited from a wide range of activities that would infringe upon rights and interests of users or other IISPs, including but not limited to maliciously forcing incompatibility on services and products provided by other IISPs, deceiving, misleading or forcing users to use or not to use services and products provided by other IISPs, changing users’ browser configurations or other configurations without notifying and obtaining permission from the users, and bundling their terminal software with other software without providing clear notice to users. In addition, IISPs are prohibited from collecting information that is related to users and can serve to identify users’ identities solely or in conjunction with other information without the users’ consent or providing other people with the information, unless otherwise permitted or required under laws or administrative regulations.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April 17, 2015, the National Copyright Administration issued the Circular on Regulating the Order of Internet Reproduction of Copyrighted Works. Under this circular, in order to reproduce the work of others, internet media must comply with relevant provisions of the copyright laws and regulations and, unless otherwise provided by law or regulation, must obtain permission from and pay remuneration to the owner of the copyrighted work, and must indicate the name of the author as well as the title and the source of the work, and may not infringe any other rights or interests of the copyright owner. Moreover, when reproducing the works of others, internet media must not make material alterations to the content of the work.</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June 28, 2016, the CAC published the first regulation of mobile applications in the PRC, the Administrative Provisions on Information Services for Mobile Internet Applications, or the App Administrative Provisions. These provisions expressly require mobile application providers to obtain the relevant operation licenses and hold the mobile application providers strictly responsible for the implementation of information security management regarding the applications they distribute or operate. The App Administrative Provisions also require mobile application providers to: (i) verify the identity and contact information of their registered users,</w:t>
      </w:r>
    </w:p>
    <w:p>
      <w:pPr>
        <w:spacing w:after="0" w:line="2" w:lineRule="exact"/>
        <w:rPr>
          <w:sz w:val="20"/>
          <w:szCs w:val="20"/>
          <w:color w:val="auto"/>
        </w:rPr>
      </w:pPr>
    </w:p>
    <w:p>
      <w:pPr>
        <w:ind w:right="40" w:firstLine="8"/>
        <w:spacing w:after="0" w:line="281" w:lineRule="auto"/>
        <w:tabs>
          <w:tab w:leader="none" w:pos="265" w:val="left"/>
        </w:tabs>
        <w:numPr>
          <w:ilvl w:val="0"/>
          <w:numId w:val="31"/>
        </w:numPr>
        <w:rPr>
          <w:rFonts w:ascii="Arial" w:cs="Arial" w:eastAsia="Arial" w:hAnsi="Arial"/>
          <w:sz w:val="16"/>
          <w:szCs w:val="16"/>
          <w:color w:val="auto"/>
        </w:rPr>
      </w:pPr>
      <w:r>
        <w:rPr>
          <w:rFonts w:ascii="Arial" w:cs="Arial" w:eastAsia="Arial" w:hAnsi="Arial"/>
          <w:sz w:val="16"/>
          <w:szCs w:val="16"/>
          <w:color w:val="auto"/>
        </w:rPr>
        <w:t>establish an appropriate mechanism to protect its users’ personal data, (iii) develop an adequate censorship mechanism for any information published through their applications, (iv) protect their users’ rights to be informed if their applications need to gain access to the users’ personal details and refrain from accessing the functions unrelated to the relevant applications without the users’ consent,</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protect their users’ intellectual property rights, and (vi) maintain internal records of users’ activities for 60 days.</w:t>
      </w:r>
    </w:p>
    <w:p>
      <w:pPr>
        <w:spacing w:after="0" w:line="21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December 15, 2019, the CAC issued the Provisions on the Ecological Governance of Network Information Content, which took effect on March 1, 2020. For the purpose of these provisions, the term “ecological governance of network information contents” refers to the relevant activities carried out by governments, enterprises, society, internet users and other parties to promote positive energy, and dispose of illegal and harmful information. According to these provisions, a network information content service platform has a duty to act as the information content administrator, to strengthen the ecological governance of the network information content on the platform and to promote the formation of positive cyber culture towards kindness. Network information content service platforms are required to set up the mechanism of ecological governance of the network information content, develop detailed rules for ecological governance of network information content on the platform, and improve the systems for user registration, account management, information release and examination, post and comments examination, ecological page management, real-time inspection, emergency response, and disposal of cyber rumors and black industry chain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Information Security and Censorship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Regulations governing information security and censorship include:</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Law of the PRC on the Preservation of State Secrets (1988, revised in 2010) and its Implementation Rules (2014);</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Counter-espionage Law of the PRC (2014);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Rules of the PRC for Protecting the Security of Computer Information Systems (1994, revised in 2011);</w:t>
      </w:r>
    </w:p>
    <w:p>
      <w:pPr>
        <w:spacing w:after="0" w:line="225" w:lineRule="exact"/>
        <w:rPr>
          <w:rFonts w:ascii="Arial" w:cs="Arial" w:eastAsia="Arial" w:hAnsi="Arial"/>
          <w:sz w:val="18"/>
          <w:szCs w:val="18"/>
          <w:color w:val="auto"/>
        </w:rPr>
      </w:pPr>
    </w:p>
    <w:p>
      <w:pPr>
        <w:ind w:left="1000" w:right="380" w:hanging="317"/>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Administrative Measures for Protection of the Security of International Internetworking of Computer Information Networks (1997, revised in 2011);</w:t>
      </w:r>
    </w:p>
    <w:p>
      <w:pPr>
        <w:spacing w:after="0" w:line="170" w:lineRule="exact"/>
        <w:rPr>
          <w:rFonts w:ascii="Arial" w:cs="Arial" w:eastAsia="Arial" w:hAnsi="Arial"/>
          <w:sz w:val="18"/>
          <w:szCs w:val="18"/>
          <w:color w:val="auto"/>
        </w:rPr>
      </w:pPr>
    </w:p>
    <w:p>
      <w:pPr>
        <w:ind w:left="1000" w:right="580" w:hanging="317"/>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Provisions for the Administration of Keeping Secrets in the International Internetworking of Computer Information Systems (2000);</w:t>
      </w:r>
    </w:p>
    <w:p>
      <w:pPr>
        <w:spacing w:after="0" w:line="170" w:lineRule="exact"/>
        <w:rPr>
          <w:rFonts w:ascii="Arial" w:cs="Arial" w:eastAsia="Arial" w:hAnsi="Arial"/>
          <w:sz w:val="18"/>
          <w:szCs w:val="18"/>
          <w:color w:val="auto"/>
        </w:rPr>
      </w:pPr>
    </w:p>
    <w:p>
      <w:pPr>
        <w:ind w:left="980" w:right="240" w:hanging="324"/>
        <w:spacing w:after="0" w:line="263"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Notice issued by the Ministry of Public Security of the PRC Regarding Issues Relating to the Implementation of the Administrative Measure for the Security Protection of International Connections to Computer Information Networks (2000);</w:t>
      </w:r>
    </w:p>
    <w:p>
      <w:pPr>
        <w:spacing w:after="0" w:line="183"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Regarding the Safeguarding of Internet Security (2000, revised in 2009);</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Provisions on the Technical Measures for the Protection of the Security of the Internet (2006);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Administrative Regulations for the Classified Protection of Information Security (2007);</w:t>
      </w:r>
    </w:p>
    <w:p>
      <w:pPr>
        <w:spacing w:after="0" w:line="211"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Decision of the Standing Committee of the National People’s Congress on Strengthening Network Information Protection (2012);</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on Protection of Personal Information of Telecommunication and Internet Users (2013);</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Internet User Account Name Management Regulations (2015);</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Cyber Security Law of the PRC (2017 Edition);</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Provisions on the Cyber Protection of Children’s Personal Information (2019);</w:t>
      </w:r>
    </w:p>
    <w:p>
      <w:pPr>
        <w:spacing w:after="0" w:line="211" w:lineRule="exact"/>
        <w:rPr>
          <w:rFonts w:ascii="Arial" w:cs="Arial" w:eastAsia="Arial" w:hAnsi="Arial"/>
          <w:sz w:val="18"/>
          <w:szCs w:val="18"/>
          <w:color w:val="auto"/>
        </w:rPr>
      </w:pPr>
    </w:p>
    <w:p>
      <w:pPr>
        <w:jc w:val="both"/>
        <w:ind w:left="980" w:right="260" w:hanging="324"/>
        <w:spacing w:after="0" w:line="286"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Interpretation of the Supreme People’s Court and the Supreme People’s Procuratorate on Several Issues Concerning the Application of Law in the Handling of Criminal Cases Involving Illegal Use of Information Networks and Assistance in Criminal Activities Committed through Information Networks (2019), or the Fa Shi No.15;</w:t>
      </w:r>
    </w:p>
    <w:p>
      <w:pPr>
        <w:spacing w:after="0" w:line="151" w:lineRule="exact"/>
        <w:rPr>
          <w:rFonts w:ascii="Arial" w:cs="Arial" w:eastAsia="Arial" w:hAnsi="Arial"/>
          <w:sz w:val="17"/>
          <w:szCs w:val="17"/>
          <w:color w:val="auto"/>
        </w:rPr>
      </w:pPr>
    </w:p>
    <w:p>
      <w:pPr>
        <w:ind w:left="980" w:right="44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Announcement of Launching Special Crackdown against Illegal Collection and Use of Personal Information by Apps (2019); and</w:t>
      </w:r>
    </w:p>
    <w:p>
      <w:pPr>
        <w:spacing w:after="0" w:line="143" w:lineRule="exact"/>
        <w:rPr>
          <w:rFonts w:ascii="Arial" w:cs="Arial" w:eastAsia="Arial" w:hAnsi="Arial"/>
          <w:sz w:val="18"/>
          <w:szCs w:val="18"/>
          <w:color w:val="auto"/>
        </w:rPr>
      </w:pPr>
    </w:p>
    <w:p>
      <w:pPr>
        <w:ind w:left="1000" w:hanging="317"/>
        <w:spacing w:after="0"/>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Measures for Cybersecurity Censorship (2020).</w:t>
      </w:r>
    </w:p>
    <w:p>
      <w:pPr>
        <w:spacing w:after="0" w:line="212"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Under the Administrative Regulations for the Protection of Secrecy on Computer Information System Connected to International Networks and various other laws and regulations, ICP operators and internet publishers are prohibited from posting or displaying any content that:</w:t>
      </w:r>
    </w:p>
    <w:p>
      <w:pPr>
        <w:spacing w:after="0" w:line="17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opposes the fundamental principles set out in China’s Constitution;</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compromises state security, divulges state secrets, subverts state power or damages national unity;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harms the dignity or interests of the state;</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incites ethnic hatred or racial discrimination or damages inter-ethnic unity;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sabotages China’s religious policy or propagates heretical teachings or feudal superstitions;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disseminates rumors, disturbs social order or disrupts social stability;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propagates obscenity, pornography, gambling, violence, murder or fear or incites the commission of crimes;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insults or slanders a third party or infringes upon the lawful rights and interests of a third party; or</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other content prohibited by laws or administrative regulations.</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Failure to comply with the content censorship requirements may result in the revocation of licenses and the closing down of the concerned websites or other online and mobile platforms. In addition, it is mandatory for internet companies in the PRC to complete security-filing procedures and regularly update information security and censorship systems for their websites and other online and mobile platforms with the local public security bureau.</w:t>
      </w:r>
    </w:p>
    <w:p>
      <w:pPr>
        <w:spacing w:after="0" w:line="17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22, 2007, the Ministry of Public Security, the State Secrecy Bureau, the State Cryptography Administration Bureau and the State Council Information Office jointly issued the Administrative Regulations for the Classified Protection of Information Security, according to which websites should determine the protection classification of their information systems pursuant to a classification guideline and file such classification with the Ministry of Public Security or its bureaus at or above the municipal level with subordinate districts.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December 28, 2012, the Standing Committee of the National People’s Congress issued the Decision on Strengthening Network Information Protection, or the Information Protection Decision, which provides that electronic information through which a citizen’s identity can be identified or in which a citizen’s privacy is involved, or Personal Information, is protected and no person shall steal, illegally obtain, sell or illegally provide to others any Personal Information. Also, according to the Information Protection Decision, where a network service provider provides website access service, or handles network access formalities for fixed-line telephones or mobile phones, or provides information publication services to its users, it shall require users to provide authentic identity information when concluding agreements or confirming provisions of its service with the users.</w:t>
      </w:r>
    </w:p>
    <w:p>
      <w:pPr>
        <w:spacing w:after="0" w:line="17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July 16, 2013, MII (later superseded by the MIIT) issued the Provisions on Protection of Personal Information of Telecommunication and Internet Users, which defines “Personal Information” as information that can identify the user either on its own or in combination with other information that is collected in the course of providing services by telecommunication business operators and internet information service providers, and sets out detailed provisions concerning the collection and utilization of Personal Information.</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February 4, 2015, the SCIO issued the Internet User Account Name Management Regulations, which defines “Internet User Account Name” as an account name registered or used in internet information services, including, without limitation, blogs, micro-blogs, instant communication tools, forums and thread comments. In addition, according to the Internet User Account Name Management Regulations, internet information service providers must prohibit their users from using any illegal or harmful information in their account name, avatar, profile or other registration information.</w:t>
      </w:r>
    </w:p>
    <w:p>
      <w:pPr>
        <w:spacing w:after="0" w:line="18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On November 7, 2016, the Standing Committee of the National People’s Congress promulgated the Cyber Security Law, which became effective on June 1, 2017. In accordance with the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In addition, network operators must not collect personal information irrelevant to their services. In the event of any unauthorized disclosure, damage or loss of collected personal information, network operators must take immediate remedial measures, notify the affected users and report the incidents to the relevant authorities in a timely manner.</w:t>
      </w:r>
    </w:p>
    <w:p>
      <w:pPr>
        <w:spacing w:after="0" w:line="16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April 11, 2017, the CAC released the Draft Measures on Security Assessment of the Cross-Border Transfer of Personal Information and Important Data, or the Draft Cross-Border Transfer Measures, which require personal information and important data collected or produced by network operators during their operations in China to be stored within China. According to the Draft Cross-Border Transfer Measures, assessment by relevant regulatory authority or the national cyberspace authority under certain circumstances must be completed before transferring the data overseas. Furthermore, data may not be transferred overseas without consent from the concerned individual(s), or if the transfer endangers the interests of individuals or public security. The CAC completed the solicitation of comments on the Draft Cross-Border Transfer Measures in May 2017, but there remain substantial uncertainties with respect to its final content and enactment timetable.</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Administrative Provisions on the Information Services Provided through Official Accounts of Internet Users, the Administrative Provisions on the Administration of Information Services Provided through Chat Groups on the Internet, the Administrative Provisions on Internet Follow-up Comment Services, and the Administrative Provisions on Internet Forum and Community Services each requires that providers of the aforesaid services shall, under the principle of requiring “mandatory registration of legal name of users and encouraged voluntary use of real name as screen name,” authenticate the identity of each of their registered users and take necessary measures to protect their users’ personal identity.</w:t>
      </w:r>
    </w:p>
    <w:p>
      <w:pPr>
        <w:spacing w:after="0" w:line="192"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On April 13, 2020, the CAC and several other government authorities jointly promulgated the Measures for Cybersecurity Censorship, or the Censorship Measures, which will take effect on June 1, 2020. In accordance with the Censorship Measures, any purchase of network products and services by critical information infrastructure operators, which affects or may affect state security, shall be subject to cybersecurity censorship.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As we expand our operations internationally, we may be also subject to privacy laws and data security laws of other jurisdictions in which we operate, including the GDPR. The GDPR applies directly in all European Union member states from May 25, 2018 and applies to companies with an establishment in the European Economic Area, or EEA, and to certain other companies not in the EEA that offer or provide goods or services to individuals located in the EEA or monitor individuals located in the EEA. The GDPR implements stringent operational requirements for controllers of personal data, including, for example, expanded disclosures on how personal information is to be used, limitations on retention of information and pseudonymized data, increased cyber security requirements, mandatory data breach notification requirements and higher standards for controllers to demonstrate that they have obtained a valid legal basis for certain data processing activities. Failure to comply with European Union laws, including failure under the GDPR and other laws relating to the security of personal data may result in fines up to €20,000,000 or up to 4% of the total worldwide annual turnover of the preceding financial year, if greater, and other administrative penalties including criminal liability.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Games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Pursuant to the Provisional Regulations for the Administration of Online Culture promulgated by the MOC (later superseded by the MOCT) in May 2003 and last revised in December 2017, online game operators are required to obtain an Internet Culture Operating License from the MOC (later superseded by the MOCT). On May 14, 2019, the General Office of the MOCT issued the Circular on Adjusting the Scope of Examination and Approval of Online Culture Business Permit and Further Regulating the Work Concerning Examination and Approval, or the MOCT Notice 81, pursuant to which, the MOCT is no longer responsible for the administration and supervision of online games, and local counterparts of the MOCT may no longer approve Internet Culture Operating Licenses that involve online game operation via information networks (with or without distribution of virtual currency of online games) and virtual currency of online games trading operation via information networks. Internet Culture Operating Licenses that are already issued and only contain the foregoing business scope will remain effective until their expiration. As of the date of the annual report, no laws, regulations or official guidelines have been promulgated on whether the responsibility of MCT for regulating online games will be undertaken by another governmental department.</w:t>
      </w:r>
    </w:p>
    <w:p>
      <w:pPr>
        <w:spacing w:after="0" w:line="18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June 4, 2009, the MOC (later superseded by the MOCT) and the Ministry of Commerce jointly issued the Notice on Strengthening Administration on Online Game Virtual Currency, or the Online Game Virtual Currency Notice. According to the Online Game Virtual Currency Notice, online game virtual currency should only be used to exchange virtual services provided by the issuing enterprise for a designated extent and time, and is strictly prohibited from being used to purchase tangible products or any service or product of another enterprise. In addition, the Online Game Virtual Currency Notice requires the issuing enterprise to give users 60 days prior notice and refund in the form of legal tender or other forms acceptable to users in case it plans to terminate the provision of its products or services.</w:t>
      </w:r>
    </w:p>
    <w:p>
      <w:pPr>
        <w:spacing w:after="0" w:line="195"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16"/>
          <w:szCs w:val="16"/>
          <w:color w:val="auto"/>
        </w:rPr>
        <w:t>The publication of online games also requires approval from SAPPRFT (later superseded by the NRTA) in accordance with the Rules for the Administration of Online Publishing Service. Starting from March 2018, the SART (later superseded by the NRTA) at the national level temporarily suspended its approval of online games, which was later resumed in December 2018. Since the first quarter of 2019, the SART (later superseded by the NRTA) has kept publishing the Online Game Approval Lists on its website.</w:t>
      </w:r>
    </w:p>
    <w:p>
      <w:pPr>
        <w:spacing w:after="0" w:line="15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in April 2007, GAPP and several other government authorities jointly promulgated the Notice Concerning the Protection of Minors’ Physical and Mental Well-being and Implementation of Anti-addiction System on Online Games (the “Anti-Addiction Notice”), which confirms the real-name verification scheme and anti-addiction system standard made by GAPP in previous years and requires online game operators to develop and test their anti-addiction systems from April 2007 to July 2007, after which no online games can be registered or operated without an anti-addiction system in accordance with the Anti-Addiction Notice. On January 15, 2011, the MOC (later superseded by the MOCT) and several other government authorities jointly issued the Notice on Implementation Program of Online Game Monitoring System of the Guardians of Minors, or the Monitoring System Notice, which requires online game operators to adopt various measures to maintain an interactive system for the protection of minors, through communication with online game operators, to monitor and restrict online game activities by minors, including restriction of playtime. On July 1, 2011, GAPP and several other government authorities jointly issued the Notice Regarding the Initiation of Work on the Online Games Real-Name Verification System to Prevent Online Gaming Addiction, which requires that online game operators be responsible for data registration and identification of online game users, and that online game operators shall duly submit user identification information for verification with the Ministry of Public Security’s National Citizen Identity Information Center, or NCIIC, which will be in charge of real-name verification for the national anti-addiction system. In addition, online game operators must ensure that via the NCIIC real-name verification, users with fraudulent identification data be enrolled in the operators’ anti-addiction systems.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On July 25, 2014, the SARFT (later superseded by the NRTA) issued the Notice Regarding the Implementation of the Anti-Addiction and Real-Name Verification System in Online Games, which requires online game operators to submit their real-name verification procedure for online games when applying for publication of online games. On August 30, 2018, the Implementation Scheme on Comprehensive Prevention and Control of Adolescent Myopia, or the Implementation Scheme, was issued jointly by eight PRC regulatory authorities at the national level, including the GAPP and the SART (later superseded by the NRTA). The Implementation Scheme provides that as a part of the plan to prevent myopia among children, the GAPP will control the number of new online games and take steps to restrict the amount of time children spend on playing online games. On October 25, 2019, the State Administration of Press and Publication promulgated the Notice on Preventing Minors from Indulging in Online Games, according to which the length of minors’ use of online games should be strictly controlled. It requires all online game users to register their identification information. The total length of time for minors to access online games must be limited on a daily basis. Every day from 22:00 to 8:00 the next day, online game companies are not permitted to provide game services to minors in any form. Game services provided to minors must not exceed 3 hours per day on public holidays and 1.5 hours on other days. In addition, online transactions are capped monthly at RMB200 or RMB400, depending on a minor's age.</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September 7, 2009, the Office of the Central Institutional Organization Commission issued the Notice on Interpretation of the Office of the Central Institutional Organization Commission on Several Provisions relating to Animation, Online Games and Comprehensive Law Enforcement in the Culture Market in the “Three Provisions”, or Circular 35, jointly promulgated by the MOC, the SARFT (later superseded by the NRTA) and GAPP and the MOC (later superseded by the MOCT). According to this Circular 35, SAPPRFT (later superseded by the NRTA) shall be responsible for the examination and approval of online games made available on the internet, and once an online game is available on the internet, it shall be solely and completely administrated by the MOC (later superseded by the MOCT). The circular further clarifies that the SAPPRFT (later superseded by the NRTA) shall be responsible for the examination and approval of the game publications authorized by overseas copyright owners to be made available on the internet, and all other imported online games shall be examined and approved by the MOC (later superseded by the MOCT). However, according to the MOCT Notice 81, the MOCT shall no longer be responsible for administration and supervision of online games and the local counterparts of the MOCT shall no longer approve or issue online culture business permits that involve business scope such as online game operation via information network. As of the date of this annual report, Circular 35 has not been repealed and is still effective. Given that the MOCT Notice 81 is relatively new and it is unclear how these three Provisions will be amended, we are unable to fully assess what impact, if any, these new requirements may have on our business.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September 28, 2009, GAPP, the National Copyright Administration and the National Office of Combating Pornography and Illegal Publications jointly published Circular 13. According to Circular 13, no entity should engage in the operation of online games without receiving an Internet Publishing License and the pre-approval from SAPPRFT (later superseded by the NRTA). Circular 13 expressly prohibits foreign investors from participating in online game operating business via wholly owned, equity joint venture or cooperative joint venture investments in China, and from controlling and participating in these businesses directly or indirectly through contractual or technical support arrangements. Moreover, for online games that have been approved by SAPPRFT (later superseded by the NRTA), when the operational entity changes, or when new versions, expansion packs or new content is implemented, the operating entity shall once again undertake the same procedures for examination and approval by SAPPRFT (later superseded by the NRTA) of the changed operating entity, new versions, expansion packs or new content. On May 24, 2016, SAPPRFT (later superseded by the NRTA) issued the Circular on the Administration over Mobile Game Publishing Services, or Circular 44, which came into effect on July 1, 2016, and provides that no mobile game shall be published and operated online without the approval of the SAPPRFT (later superseded by the NRTA).</w:t>
      </w:r>
    </w:p>
    <w:p>
      <w:pPr>
        <w:spacing w:after="0" w:line="17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Online Games Measures were issued by the MOC (later superseded by the MOCT) in June 2010 and repealed on July 10, 2019. The Online Games Measures set forth certain requirements regarding online games, including requirements that game operators follow certain registration procedures, publicize information about the content and suitability of their games, prevent access by minors to inappropriate games, avoid certain types of content in games targeted at minors, avoid game content that compels players to kill other players, manage virtual currency in certain ways and register users with their real identities. Accordingly, the Notice on Implementing Interim Measures for the Administration of Online Games, in which several provisions of the Online Games Measures are supplemented, has also been repealed. As of the date of this annual report, no government authority has issued or promulgated any provisions to replace the above-mentioned regulations.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February 18, 1994, the State Council promulgated the Rules of the PRC for Protecting the Security of Computer Information Systems, and amended in 2011, which define Security Products for Computer Information Systems as software and hardware products designed for the protection of computer information security and stipulate that a license must be obtained before selling Security Products for Computer Information Systems. The Ministry of Public Security issued the Measures for the Administration of Security Products for Computer Information Systems Examination and Sales License on December 12, 1997 confirming that a license for the sale of security products for computer information systems must be obtained as a precondition for sales of these products.</w:t>
      </w:r>
    </w:p>
    <w:p>
      <w:pPr>
        <w:spacing w:after="0" w:line="16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Regulations for the Administration of Audio and Video Products, which was released by the State Council on December 25, 2001 and last amended in February 2016, requires that the publication, production, duplication, importation, wholesale, retail and renting of audio and video products are subject to a license issued by competent authorities.</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June 19, 2018, the MOCT issued the National Cultural Market Blacklist Management Measures, according to which the cultural administrative department or the comprehensive law enforcement agency of the cultural market shall list the entities and persons in the cultural market that have seriously violated laws and have broken their trust in the national cultural market blacklist, and shall make it public, and adopt credit constraints and joint punishment.</w:t>
      </w:r>
    </w:p>
    <w:p>
      <w:pPr>
        <w:spacing w:after="0" w:line="187" w:lineRule="exact"/>
        <w:rPr>
          <w:sz w:val="20"/>
          <w:szCs w:val="20"/>
          <w:color w:val="auto"/>
        </w:rPr>
      </w:pPr>
    </w:p>
    <w:p>
      <w:pPr>
        <w:ind w:right="60" w:firstLine="637"/>
        <w:spacing w:after="0" w:line="259" w:lineRule="auto"/>
        <w:rPr>
          <w:sz w:val="20"/>
          <w:szCs w:val="20"/>
          <w:color w:val="auto"/>
        </w:rPr>
      </w:pPr>
      <w:r>
        <w:rPr>
          <w:rFonts w:ascii="Arial" w:cs="Arial" w:eastAsia="Arial" w:hAnsi="Arial"/>
          <w:sz w:val="18"/>
          <w:szCs w:val="18"/>
          <w:color w:val="auto"/>
        </w:rPr>
        <w:t>The CAC issued the Children’s Provisions, which took effect on October 1, 2019. According to the Children’s Provisions, no organization or individual is allowed to produce, release or disseminate information that infringes upon the personal information security of children under 14. Network operators collecting, storing, using, transferring or disclosing children’s personal information are required to enact special protections for this information.</w:t>
      </w:r>
    </w:p>
    <w:p>
      <w:pPr>
        <w:spacing w:after="0" w:line="18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Recently, there has been an increased focus on ensuring that mobile apps comply with privacy regulations. The Announcement of Launching Special Crackdown Against Illegal Collection and Use of Personal Information by Apps was issued with effect on January 23, 2019 and commenced a coordinated effort among the CAC, the MIIT, the Ministry of Public Security and the State Administration for Market Regulation to combat the illegal collection and use of personal information by mobile apps throughout the PRC. On October 31, 2019, the MIIT issued the Notice on the Special Rectification of Apps Infringing Users’ Rights and Interests, pursuant to which app providers were required to promptly rectify issues the MIIT designated as infringing app users’ rights such as collecting personal information in violation of PRC regulations and setting obstacles for user account deactivation.</w:t>
      </w:r>
    </w:p>
    <w:p>
      <w:pPr>
        <w:spacing w:after="0" w:line="17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October 21, 2019, the Supreme People’s Court and the Supreme People’s Procuratorate jointly issued the Fa Shi No.15, which became effective on November 1, 2019. The Fa Shi No.15 interpreted several issues concerning the application of law in handling criminal cases such as refusing to fulfil the obligation of managing the security of information networks, illegally using information networks and assisting in criminal activities committed through information networks, in accordance with the Criminal Law of the PRC and the Criminal Procedure Law of the PRC.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Private Education</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PRC Education Law, or the Education Law, sets forth provisions relating to the fundamental education systems of the PRC, including a school system of pre-school education, primary education, secondary education and higher education, a system of nine-year compulsory education and a system of education certificates. The Education Law stipulates that the government formulates plans for the development of education, establishes and operates schools and other types of educational institutions, and in principle, enterprises, institutions, social organizations and individuals are encouraged to operate schools and other types of educational organizations in accordance with PRC laws and regulations.</w:t>
      </w:r>
    </w:p>
    <w:p>
      <w:pPr>
        <w:spacing w:after="0" w:line="19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December 28, 2002, the Standing Committee of the National People’s Congress promulgated the Private Education Law, which was last amended on December 29, 2018. Under the amended Private Education Law, sponsors of private schools may choose to establish non-profit or for-profit private schools at their own discretion and the establishment of the private schools shall be subject to approvals granted by relevant government authorities and registered with relevant registration authorities.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August 10, 2018, the Ministry of Justice, or MOJ, published the draft amendment to the Regulations on the Implementation of the Law for Promoting Private Education of the PRC, or MOJ Draft, for public comment. As of the date of this annual report, this MOJ Draft is still pending for final approval and is not in effect. The MOJ Draft stipulates that private schools using internet technology to provide online diploma-awarding educational courses shall obtain the private school operating permit of similar academic education at the same level, as well as the internet operating permit. Institutions that use internet technology to provide training and educational activities, vocational qualification and vocational skills training, or providing an internet technology service platform for the above activities, would need to obtain the corresponding internet operating permit and file with the administrative department for education or the department of human resources and social security at the provincial level where the institution is domiciled, and these institutions shall not provide educational and teaching activities that require the private school operating permit. The internet technology service platform that provides the training and educational activities shall review and register the identity information of institutions or individuals applying for access to the platform.</w:t>
      </w:r>
    </w:p>
    <w:p>
      <w:pPr>
        <w:spacing w:after="0" w:line="18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The MOJ Draft further stipulates that the establishment of private training and educational organizations enrolling students of kindergarten, primary school, middle and high school age and providing activities relating to cultural and educational courses at school, or examination-related and further education-related tutoring and other cultural and educational activities, shall obtain a private school operating permit from the administrative departments for education at or above the county level. The establishment of private training and educational organizations that provide activities aiming at quality promotion, personality development in the areas of linguistic competence, arts, physical activities, technology, and activities targeting at cultural education for adults and non-degree continuing education, can apply to register as the legal person directly, however, such private training and/or educational organizations shall not carry out the cultural and educational activities mentioned above, which requires a private school operating permit. In addition, entities implementing group-based education shall not control non-profit schools by merger, acquisition, franchise or contractual arrangements.</w:t>
      </w:r>
    </w:p>
    <w:p>
      <w:pPr>
        <w:spacing w:after="0" w:line="166"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Uncertainties exist with respect to the interpretation and application of the existing and future laws and regulations governing the online private education industry, as well as when and how the MOJ Draft would come into effect and how the local government would promulgate implementing rules relating to the specific requirements applicable to online education service providers.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After-school Tutoring and Educational Apps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February 13, 2018, the Ministry of Education, or the MOE, the Ministry of Civil Affairs, the Ministry of Human Resources and Social Security and the State Administration for Industry and Commerce, or the SAIC (currently known as the SAMR) jointly promulgated the Circular on Alleviating After-school Burden on Elementary and Secondary School Students and Implementing Inspections on After-school Training Institutions, or Circular 3. Pursuant to Circular 3, the above government authorities will carry out a series of inspections on after-school training institutions and order those with material potential safety risks to suspend business for self-inspection and rectification and those without proper establishment licenses or school operating permits to apply for relevant qualifications and certificates under the guidance of competent government authorities. Moreover, after-school training institutions must file with the local education authorities and make public the classes, courses, target students, class hours and other information relating to their academic training courses (including primarily courses on Chinese and mathematics). After-school training institutions are prohibited from providing academic training services beyond the scope or above the level of school textbooks, or organizing any academic competitions or level tests for students of elementary or middle schools. In addition, elementary or middle schools may not reference a student’s performance in the after-school training institutions as part of their admission criteria.</w:t>
      </w:r>
    </w:p>
    <w:p>
      <w:pPr>
        <w:spacing w:after="0" w:line="16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August 6, 2018, the State Council issued the Opinion on the Regulation of the Development of After-school Training Institutions, or State Council Circular 80, which primarily regulates after-school training institutions targeting K-12 students. State Council Circular 80 reiterates prior guidance that after-school training institutions must obtain a private school operating permit, and further requires these institutions to meet certain minimum requirements. According to State Council Circular 80, after-school training institutions are required to disclose and file relevant information regarding the institution, including their training content, schedule, targeted students and school timetable to the relevant education authority, and their training classes may not end later than 8:30 p.m. each day or otherwise conflict with the teaching time of local primary and secondary schools. In relation to online education service providers, State Council Circular 80 generally provides that regulatory authorities of networking, culture, information technology, radio and television industries shall cooperate with the education department in supervising online education within their relevant industry.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November 20, 2018, the General Office of the MOE, the General Office of the SAMR of the PRC and the General Office of the Ministry of Emergency Management of the PRC jointly issued the Notice on Improving the Specific Governance and Rectification Mechanisms of After-school Education Institutions, or Circular 10, which provides that provincial education departments shall be responsible for the filing of training institutions that uses internet technology to provide online training for primary and middle school students. Provincial education departments shall regulate the online after-school training institutions based on the management policies governing offline after-school training institutions. In addition, online after-school education institutions shall file the information of their courses, such as names, contents, target students, syllabi and schedules with the provincial education departments and shall publish the name, photo, class schedule and certificate number of the teacher qualification license of each teacher on their websites.</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December 25, 2018, the General Office of the MOE issued the Notice on Strictly Forbidding Harmful APP Entering Primary and Secondary Schools, which stipulates, among other things, that: (i) local primary schools, secondary schools and education departments, shall conduct comprehensive investigation on apps used on campus, and shall call off using apps that contain harmful content such as commercial advertisements and internet games, or increase the burden on students, and (ii) the filing and reviewing system of learning apps shall be established.</w:t>
      </w:r>
    </w:p>
    <w:p>
      <w:pPr>
        <w:spacing w:after="0" w:line="188"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The Central Committee of the Communist Party and the State Council jointly issued the Opinions on the Further Reform of Education and Teaching and Comprehensive Improvement on the Compulsory Education Quality, or the Opinions, which became effective on June 23, 2019. The Opinions stipulates, among other things, that: (i) the State Administration for Market Regulation and its local counterparts shall be responsible for the registrations and filings of all after-school training institutions and shall supervise and govern their operational behaviors, such as advertising, fee collecting and antitrust competitions, and (ii) the integrated application of information technology and education shall be promoted, and the “education plus internet” operation model shall be encouraged but in the meantime, the approval and supervision system for digital educational resource applied by schools shall be established.</w:t>
      </w:r>
    </w:p>
    <w:p>
      <w:pPr>
        <w:spacing w:after="0" w:line="166"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Moreover, the MOE, jointly with certain other PRC government authorities, issued the Opinions on Guiding and Regulating the Orderly and Healthy Development of Educational Mobile Apps on August 10, 2019, or the Opinions on Educational Apps, which requires, among others, mobile apps that provide services for school teaching and management, student learning and student life, or home-school interactions, with school faculty, students or parents as the main users, and with education or learning as the main application scenarios (the “Educational Apps”), be filed with competent provincial regulatory authorities for education before the end of 2019. The Opinions on Educational Apps also requires, among others, that: (i) before filing, the Educational App’s provider obtain the ICP license or complete the ICP filing and obtain the certificate and the grade evaluation report for graded protection of cybersecurity;</w:t>
      </w:r>
    </w:p>
    <w:p>
      <w:pPr>
        <w:spacing w:after="0" w:line="2" w:lineRule="exact"/>
        <w:rPr>
          <w:sz w:val="20"/>
          <w:szCs w:val="20"/>
          <w:color w:val="auto"/>
        </w:rPr>
      </w:pPr>
    </w:p>
    <w:p>
      <w:pPr>
        <w:ind w:right="100" w:firstLine="8"/>
        <w:spacing w:after="0" w:line="269"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Educational Apps whose main users are under the age of 18 must limit the use time, specify the range of suitable ages, and have strictly monitored content; (iii) before an Educational App is introduced as a mandatory app to students, the Educational App must be approved by the applicable school through its collective decision-making process and be filed with the competent education authority; and (iv) Educational Apps adopted by education authorities and schools as their uniformly used teaching or management tools shall not charge the students or parents any fee, and not offer any commercial advertisements or games. On November 11, 2019, MOE issued the Administrative Measures on Filing of Educational Mobile Apps, which requires, among other things, that filings of existing Educational Apps be completed before January 31, 2020.</w:t>
      </w:r>
    </w:p>
    <w:p>
      <w:pPr>
        <w:spacing w:after="0" w:line="18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On September 19, 2019, the MOE, jointly with certain other PRC government authorities, issued the Guidance Opinions on Promoting the Healthy Development of Online Education, which provides, among other things, that (i) social forces are encouraged to establish online education institutions, develop online education resources, and provide high quality education services; and (ii) an online education negative list shall be promulgated and industries not included in the negative list are open for all types of entities to enter into.</w:t>
      </w:r>
    </w:p>
    <w:p>
      <w:pPr>
        <w:spacing w:after="0" w:line="15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MOE, jointly with certain other PRC government authorities, promulgated the Implementation Opinions on Regulating Online After-School Training, effective on July 12, 2019. The Online After-School Training Opinions are intended to regulate academic after-school training involving internet technology provided to students in primary and secondary schools. Among other things, the Online After-School Training Opinions requires that online after-school training institutions file with the competent provincial education regulatory authorities before October 31, 2019 and that the education regulatory authorities shall, jointly with other provincial government authorities, review the filings and the qualifications of the online after-school training institutions submitting such filings.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With respect to the filing requirements, the Online After-School Training Opinions provides, among other things: (i) an online after-school training institution shall file with the competent provincial education regulatory authorities at the place of its domicile after it has obtained the ICP license and the certificate and the grade evaluation report for the graded protection of cyber security, and furthermore, shall file before October 31, 2019 if it has already conducted online after-school training; (ii) the online after-school training institutions shall file, among other things, (x) materials related to the institution itself, including information on their respective ICP licenses and other relevant licenses and the materials related to certain management systems regarding the protection of personal information and cyber security, (y) materials related to the training content, and (z) materials related to the training personnel; and (iii) the competent provincial education regulatory authorities shall promulgate local implementing rules on the filing requirements, focusing on training institutions, training content and training personnel. The Online After-School Training Opinions further provides that the competent provincial education regulatory authorities shall, jointly with other provincial government authorities, review the filings and the qualification of the online after-school training institutions submitting the filings before the end of December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E-commerce</w:t>
      </w:r>
    </w:p>
    <w:p>
      <w:pPr>
        <w:spacing w:after="0" w:line="229"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The E-Commerce Law of the PRC, which was promulgated on August 31, 2018 and became effective on January 1, 2019, set out detailed obligations for operators of e-commerce businesses and e-commerce platforms and guidelines in terms of contract performance and dispute resolutions in relation to e-commerce. Pursuant to this law, e-commerce operators shall, for example,</w:t>
      </w:r>
    </w:p>
    <w:p>
      <w:pPr>
        <w:spacing w:after="0" w:line="2" w:lineRule="exact"/>
        <w:rPr>
          <w:sz w:val="20"/>
          <w:szCs w:val="20"/>
          <w:color w:val="auto"/>
        </w:rPr>
      </w:pPr>
    </w:p>
    <w:p>
      <w:pPr>
        <w:ind w:right="100" w:firstLine="8"/>
        <w:spacing w:after="0" w:line="281"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present unbiased search results and general product recommendations that are not based on a potential customer’s particular purchase history and personal profile in addition to tailored product recommendations and services; and (ii) not cite any provision of a form contract or boiler plate provision to invalidate an agreement with a customer after it has received payment from that customer. In addition, e-commerce platform operators shall: (i) report information such as identity and tax information of third-party vendors to relevant authorities; (ii) make platform service agreement or web-links thereto prominently displayed and accessible on its homepage;</w:t>
      </w:r>
    </w:p>
    <w:p>
      <w:pPr>
        <w:spacing w:after="0" w:line="2" w:lineRule="exact"/>
        <w:rPr>
          <w:rFonts w:ascii="Arial" w:cs="Arial" w:eastAsia="Arial" w:hAnsi="Arial"/>
          <w:sz w:val="16"/>
          <w:szCs w:val="16"/>
          <w:color w:val="auto"/>
        </w:rPr>
      </w:pPr>
    </w:p>
    <w:p>
      <w:pPr>
        <w:ind w:right="140" w:firstLine="8"/>
        <w:spacing w:after="0" w:line="270"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be jointly liable in the event that the platform operator fails to take necessary measures when it has or should have the knowledge that any vendor using its platform has infringed consumers’ rights; and (iv) be jointly liable for any damage or threat to a customer’s personal health and wellbeing caused by the products sold on its platform if a platform operator fails to examine the qualifications of its vendor using its platform or fails to protect its customers’ safety in respect of goods or services that may affect a customer’s health. We are subject to this new law as both an e-commerce business operator and e-commerce platform operator. Failure to comply with the E-Commerce Law could subject us to civil liabilities or administrative penalties.</w:t>
      </w:r>
    </w:p>
    <w:p>
      <w:pPr>
        <w:spacing w:after="0" w:line="178" w:lineRule="exact"/>
        <w:rPr>
          <w:sz w:val="20"/>
          <w:szCs w:val="20"/>
          <w:color w:val="auto"/>
        </w:rPr>
      </w:pPr>
    </w:p>
    <w:p>
      <w:pPr>
        <w:ind w:right="180" w:firstLine="648"/>
        <w:spacing w:after="0" w:line="268" w:lineRule="auto"/>
        <w:rPr>
          <w:sz w:val="20"/>
          <w:szCs w:val="20"/>
          <w:color w:val="auto"/>
        </w:rPr>
      </w:pPr>
      <w:r>
        <w:rPr>
          <w:rFonts w:ascii="Arial" w:cs="Arial" w:eastAsia="Arial" w:hAnsi="Arial"/>
          <w:sz w:val="17"/>
          <w:szCs w:val="17"/>
          <w:color w:val="auto"/>
        </w:rPr>
        <w:t>The Consumer Protection Law of the People’s Republic of China, as amended on October 25, 2013, sets out the obligations of business operators and the rights and interests of consumers. Pursuant to this law, business operators must guarantee that the commodities they sell satisfy the requirements for personal or property safety, provide consumers with authentic information about the commodities, and guarantee the quality, function, usage and term of the validity of commodities. The amendment in 2013 further strengthens the protection of consumers and imposes more stringent requirements and obligations on business operators, especially on the businesses operating through the internet. For example, consumers are entitled to return the goods (except for certain specified goods) within seven days upon receipt without any reasons when they purchase the goods from business operators via the internet. When a consumer purchases products (including cosmetics and food) or accepts services via an online trading platform and his or her interests are prejudiced, if the online trading platform provider fails to provide the name, address and valid contact information of the seller, the manufacturer or the service provider, the consumer is entitled to demand compensation from the online trading platform provider. Failure to comply with the Consumer Protection Law may subject business operators to civil liabilities such as refunding purchase prices, replacement of commodities, repairing or ceasing damages, compensation, and restoring the reputation, and could subject business operators or the responsible individuals to criminal penalties when personal damages are involved or if the circumstances are severe.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January 26, 2014, SAIC issued the Administrative Measures for Online Trading, or the Online Trading Measures, which replaced its previous Interim Measures for the Administration of Online Commodities Transaction and Relevant Services. The Online Trading Measures aim to regulate online commodity trading and relevant services, setting standards for online commodity trading operators and relevant services providers, including third-party trading platform operators, concerning qualifications, after-sale services, terms of use, user privacy protection, data preservation, compliance with applicable laws in respect of intellectual property rights protection and unfair competition. On January 5, 2015, SAIC issued the Measures for the Punishment of Conduct Infringing the Rights and Interests of Consumers, or the Consumer Conduct Measures, which became effective on March 15, 2015. According to these measures, business operators are prohibited from a wide range of activities that would infringe upon the rights and interests of consumers, including but not limited to collecting and using information related to consumers without their consent, illegally providing third parties with this information in any form, or sending promotional message to consumers despite their express refusal. On September 2, 2015, SAIC issued the Interim Provisions on the Administration of Centralized Online Promotional Activities for Goods and Services, which requires the organizer of centralized online promotion activities to publish the methods, terms and rules of the activities in advance in an obvious place on its website. On January 6, 2017, SAIC issued the Interim Measures for Return of Online Purchases within seven Days without Reason, or the Online Return Measures, which became effective on March 15, 2017. According to these measures, any consumer goods purchased online could be returned without any reason, if in good condition and are returned within seven days of receipt with signature from the consumers, except for customized products, fresh or live products, perishable goods, digital products, newspapers, periodicals and the goods confirmed to be exempted from the Online Return Measures by consumers at the time of purchase. On November 21, 2019, the SAMR issued the Interim Provisions on Administration of Consumer Product Recalls, which became effective on January 1, 2020. The provisions clarify the recall obligations and responsibilities of both the producers of consumer goods and the operators selling, leasing, or repairing consumer goods. Defects are defined in the provisions as unreasonable danger found commonly in the same batch, model number or type of consumer goods due to design, manufacturing, or labeling, etc., which compromises personal safety and property safety. According to the provisions, manufacturers are accountable for the safety of consumer goods manufactured by them, and, where there are defects, the manufacturer must recall the goods.</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The Food Safety Law of the PRC, promulgated on February 28, 2009 and effective on June 1, 2009, was amended on December 29, 2018 with effect from the same date. This amendment sets out a new and stricter regulation framework for the production and circulation of food. On October 11, 2019, the State Council revised and adopted the Implementing Regulation for the Food Safety Law of the PRC, which became effective on December 1, 2019. The regulation underscores tougher supervision, requiring governments above county levels to establish a uniform and authoritative supervision mechanism to enhance supervisory capabilities. The regulation clarifies the primary responsibilities of producers and business operators in food safety, specifies the duties of major corporate leaders, regulates the storage and transportation of food products, bans false promotion of food products, and improves the management of special foods. Under the regulation, legal persons, persons in charge, managers who are directly in charge and individuals who are directly responsible will be fined if the entity they worked for was found to be intentionally committing an illegal act. However, it currently remains unclear if food distributed through the recently established cross-border e-commerce industry is required to comply with all the requirements set forth in the new Food Safety Law of the PRC and its implementing regulation.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Advertising</w:t>
      </w:r>
    </w:p>
    <w:p>
      <w:pPr>
        <w:spacing w:after="0" w:line="229"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According to the Regulations for the Administration of Advertising promulgated by the State Council, which took effect on December 1, 1987, websites engaged in advertising must apply for a business license to conduct such business.</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February 9, 2012, SAIC and several other government authorities jointly issued the Rules on Review of Advertisement Release by Public Media, or the Advertisement Review Rule, which, among other things, states that public media (including internet information service providers) shall have advertisement reviewers, who must participate in and pass trainings in relation to advertisement laws, regulations and business, after which, the reviewers should perform tasks including reviewing advertisements to be released and managing advertisement review archives.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April 24, 2015, the Standing Committee of the National People’s Congress enacted the Advertising Law of the PRC, or the New Advertising Law, and amended on October 26, 2018. The New Advertising Law, which was a major overhaul of an advertising law enacted in 1994, increases the potential legal liability of advertising services providers, and includes provisions intended to strengthen identification of false advertising and the power of regulatory authorities. The New Advertising Law forbids the usage of certain words or phrases in advertisements, such as “national,” “supreme” or “best” and provides a more detailed definition of “false advertisement.” The New Advertising Law also forbids sending advertisements to residences, vehicles, fixed or mobile telephones or personal email addresses if the advertisement is not invited or the receiver of the advertisement has rejected the advertising.</w:t>
      </w:r>
    </w:p>
    <w:p>
      <w:pPr>
        <w:spacing w:after="0" w:line="1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July 4, 2016, SAIC promulgated the Provisional Measures of Internet Advertising Management, or the Internet Advertising Management Measures, which took effect on September 1, 2016. According to these measures, (i) an internet advertisement should be identifiable and clearly labeled as “advertisement”; (ii) paid search advertisements should be clearly distinguished from natural search results; (iii) advertisements published in the form of pop-up or other forms should be clearly marked with a “Close” sign to ensure “Single Click to Close”; and (iv) no entity or individual may induce users to click on the contents of an advertisement through deception, or attach advertisements in any form to an e-mail without user’s permission.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Internet Live Streaming Services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November 4, 2016, the CAC issued Administrative Regulation on Internet Live Streaming Services, which became effective on December 1, 2016. Under the regulation, “internet live streaming” refers to the activities of continuously releasing real-time information to the public based on the internet in forms such as video, audio, images and texts, and “internet live streaming service providers” refers to the operators that provide internet live streaming platform services. In addition, the internet live streaming service providers shall take various measures when operating its services, such as examining and verifying the authenticity of the identification information and file this information for record.</w:t>
      </w:r>
    </w:p>
    <w:p>
      <w:pPr>
        <w:spacing w:after="0" w:line="19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On July 12, 2017, the CAC issued a Notice on Development of the Filing Work for Enterprises Providing Internet Live Streaming Services, which provides that all the companies providing internet live streaming services shall file with the local authority from July 15, 2017, otherwise the CAC or its local counterparts may impose administrative sanctions on such companies.</w:t>
      </w:r>
    </w:p>
    <w:p>
      <w:pPr>
        <w:spacing w:after="0" w:line="149"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Pursuant to the Circular on Tightening the Administration of Internet Live Streaming Services jointly issued by the MIIT, the MOCT, and several other government agencies, live streaming services providers are required to file with the local public security authority within 30 days after it commences the service online.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Online Music</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November 20, 2006, the Ministry of Culture issued the Several Opinions of the Ministry of Culture on the Development and Administration of Online Music, or the Online Music Opinions, which became effective on the same date. The Online Music Opinions provide that, among other things, an internet music service provider must obtain an Online Culture Operating Permit.</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2010 and 2011, the MOC greatly intensified its regulations on online music products by issuing a series of circulars regarding online music industry, such as the Circular on Regulating the Market Order of Online Music Products and Renovating Illegal Conducts of Online Music Websites and the Circular on Investigating Illegal Online Music Websites in 2010. In addition, the Ministry of Culture issued the Circular on Clearing Illegal Online Music Products in 2011, which clarified that entities engaging in any of the following conducts will be subject to relevant penalties or sanctions imposed by the Ministry of Culture: (i) providing online music products or relevant services without obtaining corresponding qualifications; (ii) importing online music products that have not been reviewed by the Ministry of Culture; or (iii) providing domestically developed online music products that have not been filed with the Ministry of Culture.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July 8, 2015, the National Copyright Administration issued the Circular regarding Ceasing Transmitting Unauthorized Music Products by Online Music Service Providers, which requires that: (i) all unauthorized music products on the platforms of online music services providers be removed prior to July 31, 2015, and (ii) the National Copyright Administration investigate and punish online music services providers who continue to transmit unauthorized music products following July 31, 2015. On October 23, 2015, the Ministry of Culture promulgated the Circular on Further Strengthening and Improving the Content Administration of Online Music, effective as of January 1, 2016, which provides that internet culture operating entities shall report through a nationwide administrative platform: (i) its content administration system, department, staffing, job responsibilities, monitoring process and specifications etc., to its local provincial cultural administrative department; and (ii) the details of its self-monitoring activities to the Ministry of Culture on a quarterly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Payment and Finance Services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May 4, 2008, the China Banking Regulatory Commission, or the CBRC (later superseded by the China Banking and Insurance Regulatory Commission, or the CBIRC) and the People’s Bank of China, or the PBOC, jointly issued the Guiding Opinions of China Banking Regulatory Commission and the People’s Bank of China on the Pilot Operation of Small Loan Companies, or the Guiding Opinions. According to the Guiding Opinions, to apply for setting up a small loan company, the applicant is required to file a formal official application with the competent department of the provincial government, and, upon approval, it shall apply to the local administrative department for industry and commerce for handling the registration formalities and to receive the business license. It is also required to file the relevant materials with the local public security bureau, the dispatch office of the CBRC (later superseded by the CBIRC) and the branch institution of the PBOC within five working days after approval. The major sources of funds of a small loan company shall be the capital paid by shareholders, donated capital and the capital borrowed from a maximum of two banking financial institutions. The balance of the capital borrowed from banking financial institutions shall not exceed 50% of the net capital within the scope as prescribed by the laws and regulations. Furthermore, the balance of loans granted by a small loan company to a single borrower shall not exceed 5% of the net capital of the company.</w:t>
      </w:r>
    </w:p>
    <w:p>
      <w:pPr>
        <w:spacing w:after="0" w:line="17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addition, on June 14, 2010, the PBOC issued the Measures for the Administration of Non-financial Institutions Engaging in Payment and Settlement Services, or the PBOC Measures, which became effective on September 1, 2010. The PBOC Measures requires that non-financial institutions engaging in the business of effecting payments and settlements before September 1, 2010 obtain a permit, the Payment Service Permit, from the PBOC by August 31, 2011 to continue operating their business. On December 1, 2010, the PBOC issued the Implementation Rules for the Measures for the Administration of Non-financial Institutions Engaging in Payment and Settlement Services, which further elaborates on the application qualification, material and procedure for the Payment Service Permit and further measures aiming at protecting the rights and interests of clients, including prominent disclosure of service rates, prior notice to clients before any modification can be made to the service rates or payment service agreement between a payment service provider and its clients. On December 28, 2015, the PBOC issued the Administrative Measures for Internet Payment Services of Non-banking Payment Institutions, which became effective on July 1, 2016, and requires that non-banking payment institutions implement the real-name verification system for payment accounts and take effective measures to verify the personal information of clients. The measures also require that if non-banking payment institutions engage in transferring money between payment accounts and bank accounts, all of these accounts shall be owned by the same client. On January 13, 2017, the PBOC issued the Notice of the PBOC on Matters concerning Implementing the Centralized Deposit of the Funds of Pending Payments of Clients of Payment Institutions, which requires that, from April 17, 2017, a payment institution shall deposit a certain percentage of the funds from its clients, pending payment from such clients, in a special deposit account with a designated financial institution where no interest on the percentage of funds shall accrue.</w:t>
      </w:r>
    </w:p>
    <w:p>
      <w:pPr>
        <w:spacing w:after="0" w:line="176" w:lineRule="exact"/>
        <w:rPr>
          <w:sz w:val="20"/>
          <w:szCs w:val="20"/>
          <w:color w:val="auto"/>
        </w:rPr>
      </w:pPr>
    </w:p>
    <w:p>
      <w:pPr>
        <w:ind w:right="240" w:firstLine="648"/>
        <w:spacing w:after="0" w:line="275" w:lineRule="auto"/>
        <w:rPr>
          <w:sz w:val="20"/>
          <w:szCs w:val="20"/>
          <w:color w:val="auto"/>
        </w:rPr>
      </w:pPr>
      <w:r>
        <w:rPr>
          <w:rFonts w:ascii="Arial" w:cs="Arial" w:eastAsia="Arial" w:hAnsi="Arial"/>
          <w:sz w:val="17"/>
          <w:szCs w:val="17"/>
          <w:color w:val="auto"/>
        </w:rPr>
        <w:t>On June 7, 2013, the PBOC issued the Measures for the Custody of Clients’ Reserves of Payment Institutions, which defines “Clients’ Reserves” as funds actually received by payment institutions when processing payments for clients and payable upon clients order, and requires payment institutions to fully deposit the Clients’ Reserves into a dedicated deposit account held in the custody of banking institutions. On June 29, 2018, the PBOC issued a further notice that required payment institutions to cause up to 100% of the customer reserve funds to be transferred to this account.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July 18, 2015, PBOC, MII (later superseded by the MIIT), Ministry of Public Security, MOF, SAIC, Legislative Affairs Office of the State Council, CBRC (later superseded by the CBIRC), CSRC, China Insurance Regulatory Commission and China Internet Information Technology Office jointly issued the Guiding Opinions on Promoting the Healthy Development of Internet Finance, which was imperative in encouraging innovation, and support the steady development of internet finance. According to the above-mentioned Guiding Opinions, internet enterprises would be supported to set up internet payment institutions, online lending platforms, equity crowd-funding platforms and online financial product sales platforms in compliance with the law, and a multi-level financial services system that serves the real economy would be established to better meet the investment and financing needs of medium, small and micro-sized enterprises and individuals, and further expand the breadth, and increase the depth, of inclusive finance. According to the above-mentioned Guiding Opinions, e-commerce enterprises would be encouraged to build and improve their own online financial services systems under the premise of compliance with financial laws and regulations, and effectively expand the supply chain operations of e-commerce enterprises.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29"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PRC has adopted comprehensive legislation governing intellectual property rights, including patents, trademarks, copyrights and domain names.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According to the Patent Law of the PRC (Revised in 2008) promulgated by the Standing Committee of the National People’s Congress, and its Implementation Rules (Revised in 2010) promulgated by the State Council, the State Intellectual Property Office of the PRC is responsible for administering patent affairs in the PRC. The patent administration departments of provincial or autonomous regions or municipal governments are responsible for administering patent affairs within their respective jurisdictions. The Patent Law of the PRC and its implementation rules provide for three types of patents, “invention”, “utility model” and “design.” Invention patents are valid for twenty years, while design patents and utility model patents are valid for ten years, commencing from the date of application. The Chinese patent system adopts a first-to-file rule, which means that where more than one person files a patent application for the same invention, the patent will be granted to the person who files the application first. To be patentable, invention or utility models must meet three criteria: novelty, inventiveness and practicability.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According to the Trademark Law of the PRC promulgated by the Standing Committee of the National People’s Congress in August 1982 and recently amended in April 2019, and its Implementation Regulation promulgated in August 2002 and amended in April 2014 by the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Standing Committee of National People’s Congress adopted the Copyright Law of the PRC in 1990 and amended it in 2001 and 2010, respectively. The amended Copyright Law extends copyright protection to internet activities, products disseminated over the internet and software products. In order to further implement the Copyright Law, the Regulations of the People’s Republic of China for the Implementation of Copyright Law were promulgated by the State Council on September 15, 2002 and amended on January 30, 2016. Pursuant to the Copyright Law and its implementation rules, creators of protected works enjoy personal and property rights, including, among others, the right of disseminating the works through information networks.</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addition, the Regulations for the Protection of Information Network Transmission Right promulgated by the State Council on July 1, 2006, and amended on January 30, 2013, specify the rules on a safe harbor for use of copyrights and copyright management technology.</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order to further implement the Regulations for the Protection of Computer Software promulgated by the State Council on December 20, 2001 and amended on January 8, 2011 and January 30, 2013, the State Copyright Bureau issued the Registration of Computer Software Copyright Procedures on February 20, 2002, which applies to software copyright registration, license contract registration and transfer contract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Domain name</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Domain names are protected under the Administrative Measures on the Internet Domain Names promulgated by the MIIT on August 24, 2017. The MIIT is the major regulatory body responsible for the administration of the PRC internet domain names. The registration of domain names adopts a first-to-file rule. On November 27, 2017, the MIIT promulgated the Notice of the Ministry of Industry and Information Technology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w:t>
      </w:r>
    </w:p>
    <w:p>
      <w:pPr>
        <w:spacing w:after="0" w:line="188" w:lineRule="exact"/>
        <w:rPr>
          <w:sz w:val="20"/>
          <w:szCs w:val="20"/>
          <w:color w:val="auto"/>
        </w:rPr>
      </w:pPr>
    </w:p>
    <w:p>
      <w:pPr>
        <w:ind w:left="640" w:hanging="632"/>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organizational structure is set forth above under Item 4.B. “Business Overview— Our Organizational Structure.”</w:t>
      </w:r>
    </w:p>
    <w:p>
      <w:pPr>
        <w:spacing w:after="0" w:line="233"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Proprty, Plants and Equipment</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principal executive offices are currently located at NetEase Building, No.599 Wangshang Road, Binjiang District, Hangzhou, People’s Republic of China 310052. In addition, as of December 31, 2019, we leased office, warehouse and store facilities with an aggregate of approximately 332,000 square meters of space at properties mainly in Beijing, Shanghai, Guangzhou and Hangzhou.</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own and occupy several research and development centers in Hangzhou and Guangzhou, China with a total floor area of approximately 304,000 and 75,000 square meters, respectively, where our online game and innovative businesses and other services developers, as well as their related sales, marketing, technology, management and administrative functions are located. We also own and occupy an office building in Beijing with an aggregate total estimated floor area of 95,000 square meters, where our advertising services and Youdao are located.</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We are in the process of constructing several new office buildings and warehouses, primarily located in Guangzhou, Hangzhou and Shanghai. As of December 31, 2019, we had incurred construction in progress costs of RMB466.0 million (US$66.9 million) for these new office buildings and warehouses, which primarily comprise costs for building construction.</w:t>
      </w:r>
    </w:p>
    <w:p>
      <w:pPr>
        <w:spacing w:after="0" w:line="16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continue to assess our needs with respect to office space and may, in the future, vacate or add additional facilities. We believe that our current facilities and those under construction will be adequate for our needs in the immediate and foreseeable future.</w:t>
      </w:r>
    </w:p>
    <w:p>
      <w:pPr>
        <w:spacing w:after="0" w:line="124"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of December 31, 2019, we owned approximately 106,000 network servers co-located mainly in the facilities of China Telecom’s affiliates, China Unicom’s affiliates and China Mobile’s affiliates for which we paid server and bandwidth service fees, and we leased dedicated lines mainly from various affiliates of China Telecom, China Unicom and China Mobile pursuant to short term contracts. Our server and bandwidth service fees were approximately RMB1,309.3 million (US$188.1 million)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within the meaning of Section 27A of the Securities Act of 1933, as amended, or the Securities Act, and Section 21E of the Exchange Act, including, without limitation, statements regarding our expectations, beliefs, intentions or future strategies that are signified by the words “expect,” “anticipate,” “intend,” “believe,” or similar language. All forward-looking statements included in this annual report are based on information available to us on the date hereof, and we assume no obligation to update any such forward-looking statements. In evaluating our business, you should carefully consider the information provided under Item 3.D. “Risk Factors.” Actual results could differ materially from those projected in the forward-looking statements. We caution you that our businesses and financial performance are subject to substantial risks and uncertainties.</w:t>
      </w:r>
    </w:p>
    <w:p>
      <w:pPr>
        <w:spacing w:after="0" w:line="177" w:lineRule="exact"/>
        <w:rPr>
          <w:sz w:val="20"/>
          <w:szCs w:val="20"/>
          <w:color w:val="auto"/>
        </w:rPr>
      </w:pPr>
    </w:p>
    <w:p>
      <w:pPr>
        <w:ind w:right="7300" w:firstLine="8"/>
        <w:spacing w:after="0" w:line="503" w:lineRule="auto"/>
        <w:tabs>
          <w:tab w:leader="none" w:pos="67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right="120" w:firstLine="648"/>
        <w:spacing w:after="0" w:line="259" w:lineRule="auto"/>
        <w:rPr>
          <w:sz w:val="20"/>
          <w:szCs w:val="20"/>
          <w:color w:val="auto"/>
        </w:rPr>
      </w:pPr>
      <w:r>
        <w:rPr>
          <w:rFonts w:ascii="Arial" w:cs="Arial" w:eastAsia="Arial" w:hAnsi="Arial"/>
          <w:sz w:val="18"/>
          <w:szCs w:val="18"/>
          <w:color w:val="auto"/>
        </w:rPr>
        <w:t>We have a successful online game business, developing and operating a rich portfolio of highly popular titles. Leveraging on our user insights and execution expertise, we have also incubated and developed in-house a pipeline of successful businesses, including our intelligent learning platform, Youdao, and other innovative businesses, ranging from music streaming and private label e-commerce to internet media and e-mail services, among others.</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We generated net revenues of RMB44,437.4 million, RMB51,178.6 million and RMB59,241.1 million (US$8,509.5 million) in 2017, 2018 and 2019, respectively. Our net income from continuing operations was RMB11,683.6 million, RMB8,616.1 million and RMB13,468.6 million (US$1,934.6 million) in 2017, 2018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Structure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company was incorporated in the Cayman Islands.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NetEase, Inc. conducts its business in China through its subsidiaries and VIEs. Under current Chinese regulations, there are restrictions and prohibitions on foreign investment in Chinese companies providing, among other things, value-added telecommunications services, internet cultural services and internet publication services, which include the provision of online game, online education and other internet content and services. In addition, the operation by foreign or foreign-invested companies of advertising businesses in China is subject to government approval. In order to comply with these restrictions and other Chinese rules and regulations, NetEase, Inc. and certain of its subsidiaries have entered into a series of contractual arrangements for the provision of such services with certain affiliated companies, including Guangzhou NetEase, Hangzhou Leihuo, Youdao Computer, Shanghai EaseNet and certain other affiliated companies. These affiliated companies are considered “variable interest entities” for accounting purposes, and are referred to collectively in this annual report as “VIEs.” These contractual arrangements allow us to exercise effective control over the VIEs and their subsidiaries. The VIEs hold ICP licenses and other regulated licenses in which foreign investment is restricted or prohibited and operate our Internet businesses and other businesses. The revenue earned by the VIEs largely flows through to NetEase, Inc. and its subsidiaries pursuant to such contractual arrangements. Based on these agreements, NetEase Hangzhou, Boguan and certain other affiliated companies provide technical consulting and related services to the VIEs. In addition, Guangzhou NetEase has a wholly-owned subsidiary, Wangyibao (the operator of our NetEase Pay online payment platform). Please also see Item 4.B. “Business Overview —Our Organizational Structure.”</w:t>
      </w:r>
    </w:p>
    <w:p>
      <w:pPr>
        <w:spacing w:after="0" w:line="18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2019, the total assets of all the consolidated VIEs of our company were RMB14.4 billion (US$2.1 billion), mainly comprising cash and cash equivalents, time deposits, accounts receivable, prepayments and other current assets and fixed assets. As of December 31, 2019, the total liabilities of the consolidated VIEs were RMB12.3 billion (US$1.8 billion), mainly comprising accounts payable, deferred revenue, accrued liabilities and other payables.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20" w:firstLine="648"/>
        <w:spacing w:after="0" w:line="293" w:lineRule="auto"/>
        <w:rPr>
          <w:sz w:val="20"/>
          <w:szCs w:val="20"/>
          <w:color w:val="auto"/>
        </w:rPr>
      </w:pPr>
      <w:r>
        <w:rPr>
          <w:rFonts w:ascii="Arial" w:cs="Arial" w:eastAsia="Arial" w:hAnsi="Arial"/>
          <w:sz w:val="16"/>
          <w:szCs w:val="16"/>
          <w:color w:val="auto"/>
        </w:rPr>
        <w:t>We believe that our present operations are structured to comply with the relevant Chinese laws. However, many Chinese regulations are subject to extensive interpretive powers of governmental agencies and commissions. We cannot be certain that the Chinese government will not take action to prohibit or restrict our business activities. Future changes in Chinese government policies affecting the provision of information services, including the provision of online games, online education, internet access, online advertising and online payment services, may impose additional regulatory requirements on us or our service providers or otherwise harm our business. Please see Item 3.D. “Risk Factors—Risks Related to Our Corporate Structure.”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our revenue by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2"/>
              </w:rPr>
              <w:t>For the year ended December 31,</w:t>
            </w:r>
          </w:p>
        </w:tc>
        <w:tc>
          <w:tcPr>
            <w:tcW w:w="840" w:type="dxa"/>
            <w:vAlign w:val="bottom"/>
            <w:tcBorders>
              <w:bottom w:val="single" w:sz="8" w:color="auto"/>
            </w:tcBorders>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92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84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5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US$</w:t>
            </w:r>
          </w:p>
        </w:tc>
      </w:tr>
      <w:tr>
        <w:trPr>
          <w:trHeight w:val="142"/>
        </w:trPr>
        <w:tc>
          <w:tcPr>
            <w:tcW w:w="5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Online game services</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36,281,642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40,190,057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46,422,640</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6,668,195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731,598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1,304,883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920" w:type="dxa"/>
            <w:vAlign w:val="bottom"/>
          </w:tcPr>
          <w:p>
            <w:pPr>
              <w:jc w:val="right"/>
              <w:spacing w:after="0"/>
              <w:rPr>
                <w:sz w:val="20"/>
                <w:szCs w:val="20"/>
                <w:color w:val="auto"/>
              </w:rPr>
            </w:pPr>
            <w:r>
              <w:rPr>
                <w:rFonts w:ascii="Arial" w:cs="Arial" w:eastAsia="Arial" w:hAnsi="Arial"/>
                <w:sz w:val="18"/>
                <w:szCs w:val="18"/>
                <w:color w:val="auto"/>
              </w:rPr>
              <w:t>7,699,967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10,256,920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11,513,622</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1,653,828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44,437,355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51,178,575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59,241,145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8,509,458</w:t>
            </w: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generate our revenues from the provision of online game services, Youdao and other innovative businesses and services. No customer individually accounted for greater than 10% of our total revenues for the years ended December 31, 2017, 2018 and 2019.</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generate our mobile game revenues primarily from the sale of in-game virtual items, including avatars, skills, privileges or other in-game consumables, features or functionality, within the games. We distribute our mobile games through partnerships with major Android- and iOS-based app stores as well as proprietary distribution channels, such as our mobile apps and websites. Users have a variety of payment options for in-game virtual items, including using prepaid points or by making online payments through app stores and other online payment channels. Our mobile game portfolio now consists of over 100 diverse games, and we expect to continue introducing new mobile games each year for the foreseeable future, which we believe will contribute to future growth in net revenues from online game services.</w:t>
      </w:r>
    </w:p>
    <w:p>
      <w:pPr>
        <w:spacing w:after="0" w:line="19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generate revenue from our PC games mainly through sales of prepaid points. Customers can purchase prepaid points on our NetEase online platforms through debit or credit cards or online payment platforms through which players can directly credit points to their accounts. Customers also can purchase virtual or physical point cards through our third-party retailers. Customers can use the points to play our PC games, either to pay for playing time or to purchase virtual items within the games, and use our other fee-based services.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Youdao’s revenue consists of two parts: learning products and services and online marketing services. We currently generate the majority of the revenues for Youdao’s learning services and products from its online courses in the form of the tuition fees received from students. We generate revenues from Youdao’s online marketing services through the provision of different formats of advertisements.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derive our innovative businesses and others revenues primarily from e-commerce, music streaming, video streaming, advertising services, premium e-mail and other value-added services.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Seasonality of Revenues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Historically, usage of our online games has generally increased around the Chinese holidays, particularly the winter and summer school holidays. Revenues from innovative businesses and others, including advertising services, have followed the same general seasonal trend throughout each year, with the first quarter of the year being the weakest quarter due to the Chinese New Year holiday and the traditional close of customers’ annual budgets, and the fourth quarter as the strongest. Our Youdao platform tends to have larger student enrollments in the second and fourth quarters when it offers more courses including, for example, test preparation courses for school exams in the spring and fall semesters and China’s national college entrance exams, national postgraduate entrance exams and college English tests, compared to the rest of the year. Our e-commerce business revenues are relatively lower during the Chinese New Year holiday season in the first quarter of each year, while sales in the fourth quarter are higher than each of the preceding three quarters due to a variety of promotional activities conducted by retail and e-commerce businesses in China.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cost of revenues by segment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Borders>
              <w:bottom w:val="single" w:sz="8" w:color="auto"/>
            </w:tcBorders>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9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550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US$</w:t>
            </w:r>
          </w:p>
        </w:tc>
      </w:tr>
      <w:tr>
        <w:trPr>
          <w:trHeight w:val="142"/>
        </w:trPr>
        <w:tc>
          <w:tcPr>
            <w:tcW w:w="5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Online game services</w:t>
            </w: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(13,473,339)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(14,617,656)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(16,974,234)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(2,438,196)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(515,133)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(934,261)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(134,198)</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980" w:type="dxa"/>
            <w:vAlign w:val="bottom"/>
          </w:tcPr>
          <w:p>
            <w:pPr>
              <w:jc w:val="right"/>
              <w:spacing w:after="0"/>
              <w:rPr>
                <w:sz w:val="20"/>
                <w:szCs w:val="20"/>
                <w:color w:val="auto"/>
              </w:rPr>
            </w:pPr>
            <w:r>
              <w:rPr>
                <w:rFonts w:ascii="Arial" w:cs="Arial" w:eastAsia="Arial" w:hAnsi="Arial"/>
                <w:sz w:val="18"/>
                <w:szCs w:val="18"/>
                <w:color w:val="auto"/>
              </w:rPr>
              <w:t>(5,627,168)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(8,699,637)</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(9,777,350)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(1,404,429)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(19,394,314)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(23,832,426)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(27,685,845)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(3,976,823)</w:t>
            </w:r>
          </w:p>
        </w:tc>
      </w:tr>
    </w:tbl>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Cost of revenues for our online game services consists primarily of revenue sharing costs paid to distribution channel providers and game developers, staff costs, royalties and consultancy fees related to our licensed games, server and bandwidth service fees, service fees related to online payments, depreciation and amortization of computers and software and other direct costs of providing these services.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cost of revenues of Youdao consists primarily of revenue sharing costs paid to Youdao’s course instructors, teaching assistants and course development personnel, staff costs, costs of course materials, costs relating to the sales of smart devices, server and bandwidth costs and traffic acquisition costs.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Cost of revenues related to our innovative businesses and others segment consists primarily of content costs, cost of merchandise sold in our e-commerce business and revenue sharing costs with broadcasters. We pay content fees to third-party partners, record labels, and newspaper and magazine publishers for the right to use proprietary content developed and licensed by them, such as copyrights of music, headline news and articles.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principal components of our operating expenses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9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4"/>
          </w:tcPr>
          <w:p>
            <w:pPr>
              <w:jc w:val="right"/>
              <w:ind w:right="88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(5,504,613)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(6,911,710)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(6,221,127)</w:t>
            </w:r>
          </w:p>
        </w:tc>
        <w:tc>
          <w:tcPr>
            <w:tcW w:w="900" w:type="dxa"/>
            <w:vAlign w:val="bottom"/>
          </w:tcPr>
          <w:p>
            <w:pPr>
              <w:jc w:val="right"/>
              <w:spacing w:after="0"/>
              <w:rPr>
                <w:sz w:val="20"/>
                <w:szCs w:val="20"/>
                <w:color w:val="auto"/>
              </w:rPr>
            </w:pPr>
            <w:r>
              <w:rPr>
                <w:rFonts w:ascii="Arial" w:cs="Arial" w:eastAsia="Arial" w:hAnsi="Arial"/>
                <w:sz w:val="18"/>
                <w:szCs w:val="18"/>
                <w:color w:val="auto"/>
              </w:rPr>
              <w:t>(893,609)</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(2,381,842)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(3,078,635)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(3,130,298)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(449,639)</w:t>
            </w:r>
          </w:p>
        </w:tc>
        <w:tc>
          <w:tcPr>
            <w:tcW w:w="20" w:type="dxa"/>
            <w:vAlign w:val="bottom"/>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(4,161,673)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(7,378,460)</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(8,413,224)</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(1,208,484)</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(12,048,128)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(17,368,805)</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(17,764,649)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(2,551,732)</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Operating expenses include selling and marketing expenses, general and administrative expenses and research and development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Selling and marketing expenses consist primarily of salary and welfare expenses, shipping and handling costs, compensation costs for our sales and marketing staff, and marketing and advertising expenses payable to third-party vendors, internet companies and agents.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right="420" w:firstLine="648"/>
        <w:spacing w:after="0" w:line="263" w:lineRule="auto"/>
        <w:rPr>
          <w:sz w:val="20"/>
          <w:szCs w:val="20"/>
          <w:color w:val="auto"/>
        </w:rPr>
      </w:pPr>
      <w:r>
        <w:rPr>
          <w:rFonts w:ascii="Arial" w:cs="Arial" w:eastAsia="Arial" w:hAnsi="Arial"/>
          <w:sz w:val="18"/>
          <w:szCs w:val="18"/>
          <w:color w:val="auto"/>
        </w:rPr>
        <w:t>General and administrative expenses consist primarily of salary and welfare expenses, compensation costs for our general administrative and management staff, office rental, legal, professional and consultancy fees, bad debt expenses, recruiting expenses, travel expenses and depreciation charges.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Research and development expenses consist principally of salary and welfare expenses and compensation costs for our research and development professionals.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Cost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allocation of our share-based compensation costs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For the year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gridSpan w:val="2"/>
          </w:tcPr>
          <w:p>
            <w:pPr>
              <w:jc w:val="right"/>
              <w:ind w:right="20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82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7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20" w:type="dxa"/>
            <w:vAlign w:val="bottom"/>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cost included in: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revenues</w:t>
            </w:r>
          </w:p>
        </w:tc>
        <w:tc>
          <w:tcPr>
            <w:tcW w:w="820" w:type="dxa"/>
            <w:vAlign w:val="bottom"/>
          </w:tcPr>
          <w:p>
            <w:pPr>
              <w:jc w:val="right"/>
              <w:spacing w:after="0"/>
              <w:rPr>
                <w:sz w:val="20"/>
                <w:szCs w:val="20"/>
                <w:color w:val="auto"/>
              </w:rPr>
            </w:pPr>
            <w:r>
              <w:rPr>
                <w:rFonts w:ascii="Arial" w:cs="Arial" w:eastAsia="Arial" w:hAnsi="Arial"/>
                <w:sz w:val="18"/>
                <w:szCs w:val="18"/>
                <w:color w:val="auto"/>
              </w:rPr>
              <w:t>818,101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757,341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758,810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108,996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102,638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Pr>
          <w:p>
            <w:pPr>
              <w:jc w:val="right"/>
              <w:spacing w:after="0"/>
              <w:rPr>
                <w:sz w:val="20"/>
                <w:szCs w:val="20"/>
                <w:color w:val="auto"/>
              </w:rPr>
            </w:pPr>
            <w:r>
              <w:rPr>
                <w:rFonts w:ascii="Arial" w:cs="Arial" w:eastAsia="Arial" w:hAnsi="Arial"/>
                <w:sz w:val="18"/>
                <w:szCs w:val="18"/>
                <w:color w:val="auto"/>
              </w:rPr>
              <w:t>576,629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787,200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797,120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114,499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824,552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109,633</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1,984,851</w:t>
            </w:r>
          </w:p>
        </w:tc>
        <w:tc>
          <w:tcPr>
            <w:tcW w:w="2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2,471,731</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2,404,089</w:t>
            </w:r>
          </w:p>
        </w:tc>
        <w:tc>
          <w:tcPr>
            <w:tcW w:w="2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345,326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NetEase 2009 and 2019 Restricted Share Unit Plans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October 2019, we adopted our 2019 Restricted Share Unit Plan, or the 2019 RSU Plan, for our employees, directors and consultants. We have reserved 322,458,300 ordinary shares for issuance under this plan. The 2019 RSU Plan was adopted by a resolution of the board of directors and became effective on October 15, 2019 for a term of ten years unless sooner terminated.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In November 2009, we adopted our 2009 Restricted Share Unit Plan, or the 2009 RSU Plan, for our employees, directors and consultants. We reserved 323,694,050 ordinary shares for issuance under this plan. The 2009 RSU Plan expired on November 16, 2019 in accordance with its terms.</w:t>
      </w:r>
    </w:p>
    <w:p>
      <w:pPr>
        <w:spacing w:after="0" w:line="184"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For the years ended December 31, 2017, 2018 and 2019, we recorded share-based compensation cost of approximately RMB1,984.9 million, RMB2,471.7 million and RMB2,404.1 million (US$345.3 million), respectively, for awards granted under the</w:t>
      </w:r>
    </w:p>
    <w:p>
      <w:pPr>
        <w:ind w:right="20"/>
        <w:spacing w:after="0" w:line="323" w:lineRule="auto"/>
        <w:rPr>
          <w:sz w:val="20"/>
          <w:szCs w:val="20"/>
          <w:color w:val="auto"/>
        </w:rPr>
      </w:pPr>
      <w:r>
        <w:rPr>
          <w:rFonts w:ascii="Arial" w:cs="Arial" w:eastAsia="Arial" w:hAnsi="Arial"/>
          <w:sz w:val="16"/>
          <w:szCs w:val="16"/>
          <w:color w:val="auto"/>
        </w:rPr>
        <w:t>2009 RSU Plan and 2019 RSU Plan. This cost has been allocated to (i) cost of revenues, (ii) selling and marketing expenses, (iii) general and administrative expenses, and (iv) research and development expenses, depending on the responsibilities of the relevant employees.</w:t>
      </w:r>
    </w:p>
    <w:p>
      <w:pPr>
        <w:spacing w:after="0" w:line="13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of December 31, 2019, total unrecognized compensation cost related to unvested awards granted under the 2009 RSU Plan and 2019 RSU Plan, adjusted for estimated forfeitures, was RMB2,291.8 million (US$329.2 million), which is expected to be recognized through the remaining vesting period of each grant. As of December 31, 2019, the weighted average remaining vesting period was 2.22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Share Incentive Plans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Beginning in 2014, certain of our subsidiaries granted options exercisable for ordinary shares to certain of our employees. The options expire five to ten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 For the years ended December 31, 2018 and 2019, we recorded RMB32.0 million and RMB56.2 million (US$8.1 million) in compensation expenses for the share options granted under these plans.</w:t>
      </w:r>
    </w:p>
    <w:p>
      <w:pPr>
        <w:spacing w:after="0" w:line="192"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While certain share options which have been granted will become vested or would commence vesting upon their applicable vesting commencement date, the occurrence of the applicable vesting conditions is not within our control and is not deemed probable to occur for accounting purposes until the vesting commencement date. For such share options, zero compensation expenses were recorded. As of December 31, 2019, there were RMB307.4 million (US$44.2 million) in unrecognized share-based compensation expenses related to such share options which are expected to be recognized when the relevant vesting conditions are met.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Under the current laws of the Cayman Islands, we and our intermediate holding companies which are incorporated in the Cayman Islands, are not subject to tax on income or capital gain. Additionally, upon payments of dividends by us to our shareholders or by our intermediate holding companies in the Cayman Islands to us, no Cayman Islands withholding tax will be imposed.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subsidiaries in the BVI are exempted from income tax on its foreign-derived income in the BVI. There are no withholding taxes in the BVI.</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subsidiaries in Hong Kong were subject to income tax on their taxable income generated from operations in Hong Kong at a rate of 16.5% in 2017. For the years 2018 and 2019, the first HK$2 million of profits earned by one of our subsidiaries incorporated in Hong Kong is taxed at a rate of 8.25%, while the remaining profits will continue to be taxed at the 16.5% tax rate. The payments of dividends by these companies to us are not subject to any Hong Kong withholding tax.</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PRC Enterprise Income Tax Law subjects Foreign Invested Enterprises (“FIEs”) and domestic companies to EIT at a uniform rate of 25%, and preferential tax treatments may be granted to FIEs or domestic companies which conduct businesses in certain encouraged sectors and to entities otherwise classified as “High and New Technology Enterprises,” or HNTEs, “Software Enterprises” or “Key Software Enterprises.”</w:t>
      </w:r>
    </w:p>
    <w:p>
      <w:pPr>
        <w:spacing w:after="0" w:line="18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Boguan, NetEase Hangzhou and certain of our other PRC subsidiaries and affiliated entities were qualified as HNTEs and enjoyed a preferential tax rate of 15% for 2017, 2018 and 2019. In 2017, 2018 and 2019, Boguan, Netease Hangzhou and certain of our other PRC subsidiaries and affiliated entities were each also qualified as a Key Software Enterprise and enjoyed a further reduced preferential tax rate of 10% for 2016, 2017 and 2018. The related tax benefit was recorded in 2017, 2018 and 2019, respectively.</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preferential income tax rates, however, are subject to periodic review and renewal by PRC authorities.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Tax</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Pursuant to the Provisional Regulation of the PRC on Value Added Tax, or VAT, and its implementation rules, or Provisional VAT Regulation, our PRC subsidiaries and VIEs are generally subject to VAT at a rate of 6% for revenues earned from rendering services. Our sales of general goods to our customers in the PRC are also subject to VAT, which was 17% until May 1, 2018, 16% from May 1, 2018 to April 1, 2019 and 13% thereafter.</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also subject to cultural development fees on the provision of advertising services in China. The applicable tax rate was 3% of our advertising services revenues until July 1, 2019 when it was reduced to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Segment Reporting</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Effective in the third quarter of 2019, we changed our segment disclosure to add the financial results of certain advertising services and Yanxuan into “innovative businesses and others.” We sold our Kaola e-commerce business in September 2019. In addition, we have commenced separately reporting the results of our majority-controlled subsidiary Youdao which completed its initial public offering and listing on the New York Stock Exchange in October 2019. As a result, we now report three segments: (1) online game services, (2) Youdao and (3) innovative businesses and others. This change in segment reporting aligns with the manner in which our chief operating decision maker, or CODM, currently receives and uses financial information to allocate resources and evaluate the performance of reporting segments. We retrospectively revised prior period segment information to conform to current period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preparation of our consolidated financial statements requires our management to make estimates and assumptions that affect the amounts reported in the consolidated financial statements. Our management periodically re-evaluates these estimates and assumptions based on historical experience and other factors, including expectations of future events that they believe to be reasonable under the circumstances. Actual results may differ significantly from those estimates and assumptions. We have identified the following accounting policies and estimates as the most critical to an understanding of our financial position and results of operations, because the application of these policies requires significant and complex management estimates, assumptions and judgment, and the reporting of materially different amounts could result if different estimates or assumptions were used or different judgments were made.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Our consolidated financial statements include the financial statements of our subsidiaries and VIEs for which we are the primary beneficiary with the ownership interests of minority shareholders reported as noncontrolling interests. All significant transactions and balances among the Company, our subsidiaries and VIEs have been eliminated upon consolidation. We consolidate a VIE if we have the power to direct matters that most significantly impact the activities of the VIE, and have the obligation to absorb losses or the right to receive benefits of the VIE that could potentially be significant to the VIE.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right="320" w:firstLine="648"/>
        <w:spacing w:after="0" w:line="311" w:lineRule="auto"/>
        <w:rPr>
          <w:sz w:val="20"/>
          <w:szCs w:val="20"/>
          <w:color w:val="auto"/>
        </w:rPr>
      </w:pPr>
      <w:r>
        <w:rPr>
          <w:rFonts w:ascii="Arial" w:cs="Arial" w:eastAsia="Arial" w:hAnsi="Arial"/>
          <w:sz w:val="16"/>
          <w:szCs w:val="16"/>
          <w:color w:val="auto"/>
        </w:rPr>
        <w:t>On January 1, 2018, we adopted Topic 606 using the modified retrospective method applied to all contracts which were not completed as of January 1, 2018. Results for reporting periods beginning after January 1, 2018 are presented under Topic 606, while prior period amounts are not adjusted and continue to be reported in accordance with our historic accounting under Topic 605.</w:t>
      </w:r>
    </w:p>
    <w:p>
      <w:pPr>
        <w:spacing w:after="0" w:line="149" w:lineRule="exact"/>
        <w:rPr>
          <w:sz w:val="20"/>
          <w:szCs w:val="20"/>
          <w:color w:val="auto"/>
        </w:rPr>
      </w:pPr>
    </w:p>
    <w:p>
      <w:pPr>
        <w:ind w:right="260" w:firstLine="648"/>
        <w:spacing w:after="0" w:line="254" w:lineRule="auto"/>
        <w:rPr>
          <w:sz w:val="20"/>
          <w:szCs w:val="20"/>
          <w:color w:val="auto"/>
        </w:rPr>
      </w:pPr>
      <w:r>
        <w:rPr>
          <w:rFonts w:ascii="Arial" w:cs="Arial" w:eastAsia="Arial" w:hAnsi="Arial"/>
          <w:sz w:val="18"/>
          <w:szCs w:val="18"/>
          <w:color w:val="auto"/>
        </w:rPr>
        <w:t>Under Topic 606, revenues from contracts with customers are recognized when control of the promised goods or services is transferred to our customers, in an amount that reflects the consideration we expect to be entitled to in exchange for those goods or services, reduced by estimates for return allowances, promotional discounts, rebates and VAT. 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and the volume of sales rebates. The amount and timing of our revenues can be different if management made different judgments or utilized different estimates.</w:t>
      </w:r>
    </w:p>
    <w:p>
      <w:pPr>
        <w:spacing w:after="0" w:line="19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operate mobile games and PC games. We are the principal of all games we operate, including both in-house developed games and licensed games. As all these games are hosted on our servers, we have the pricing discretion, and are responsible for the sale and marketing of the games as well as any related customer services. Fees paid to game developers, distribution channels (for example, app stores) and payment channels are recorded as cost of revenues.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generate mobile game revenues from the sale of in-game virtual items, including avatars, skills, privileges or other in-game consumables, features or functionality, within the games. The performance obligation is to provide on-going game services to the game players who have purchased such virtual items and is satisfied over the average playing period of the paying players. Accordingly, we recognize the revenues ratably over the estimated average playing period of these paying players.</w:t>
      </w:r>
    </w:p>
    <w:p>
      <w:pPr>
        <w:spacing w:after="0" w:line="17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consider the average period that players typically play the games and other game player behavior patterns, as well as various other factors to arrive at the best estimates for the estimated playing period of the paying players for each game based on players’ historical churn rate. If a new game is launched and only a limited period of paying player data is available, then we consider other qualitative factors, such as the playing patterns for paying users for other games with similar characteristics and playing patterns of paying players, such as targeted players and purchasing frequency. While we believe our estimates to be reasonable based on available game player information, we may revise such estimates based on new information indicating a change in the game player behavior patterns and any adjustments are applied prospectively.</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PC Games</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We sell prepaid points to players of our PC games. Customers can purchase “virtual” prepaid points online or from the vendors who register the points in our system via debit and credit cards or bank transfers via the online payment services platforms, and receive the prepaid point information over the internet. Our game players can use the points to play our PC games, pay for in-game items and use other fee-based services. Proceeds received from the sales of prepaid points to players are recorded as deferred revenues.</w:t>
      </w:r>
    </w:p>
    <w:p>
      <w:pPr>
        <w:spacing w:after="0" w:line="157"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We earn revenue through providing PC game services to players under two types of revenue models: the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14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consider the average period that players typically play the games and other game player behavior patterns, as well as various other factors, including the acceptance and popularity of expansion packs, promotional events launched and market conditions to arrive at the best estimates of the estimated average playing period of the paying players for the permanent in-game items of each PC game based on players’ historical churn rate. This estimate is re-assessed on a quarterly basis. Adjustments arising from changes in the estimated playing period of paying players are applied prospectively as such changes result from new information indicating a change in the game player behavior patterns.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Youdao’s Online Courses Services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Youdao’s services consist of online courses delivered via live streaming, other activities during the online live streaming period and content playback services. The aforementioned services are highly interdependent and interrelated in the context of the contract and are only considered accessory services to the online live streaming courses, and therefore are not distinct and are not sold standalone. As a result, a live streaming course is accounted for as a single performance obligation which is satisfied over its learning period. The revenues generated from our live streaming courses are recognized ratably over an average of the learning periods of our live streaming courses. We consider the average length of period during which students typically spend time on viewing the courses, as well as other learning behavior patterns, to arrive at the best estimates for the length of the period during the students view playback of the course recordings.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Advertising services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derive our advertising revenues principally from short-term online advertising contracts. Advertising service contracts may consist of multiple performance obligations with a typical term of less than three months. In arrangements where we have multiple performance obligations, the transaction price is allocated to each performance obligation using the relative stand-alone selling price. We generally determine standalone selling prices based on the prices charged to customers. If the performance obligation has not been sold separately, we estimate the standalone selling price by taking into consideration of the pricing for advertising areas of our platform with a similar advertisement with similar formats and quoted prices from competitors as well as other market conditions. The price allocated to each performance obligation is recognized as revenue over the advertisement display period, which is usually within three months.</w:t>
      </w:r>
    </w:p>
    <w:p>
      <w:pPr>
        <w:spacing w:after="0" w:line="166"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We also enter into performance-based advertising arrangements with customers. For cost per mile or cost per thousand impressions advertising arrangements with customers, we recognize revenues based on the number of times that the advertisement has been displayed; and for cost per action advertising arrangements with customers, including Youdao online marketing services, we recognize revenues based on the number of actions completed through the advertisements, e.g., when users click on links.</w:t>
      </w:r>
    </w:p>
    <w:p>
      <w:pPr>
        <w:spacing w:after="0" w:line="15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Certain customers may receive volume rebates, which are accounted for as variable consideration. We estimate annual expected revenue volume with reference to their historical results and reduce revenues recognized.</w:t>
      </w:r>
    </w:p>
    <w:p>
      <w:pPr>
        <w:spacing w:after="0" w:line="170"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We recognize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we are not able to reliably determine the fair value of noncash consideration, the value of the noncash consideration received is measured indirectly by reference to the standalone selling price of advertising services provided by us.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E-commerce</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e-commerce revenue is primarily from our private label e-commerce platform Yanxuan. We are the principal for the online direct sales, as we control the inventory before the goods are transferred to customers. We have the primary responsibility for fulfilling the contracts, bear the inventory risk, and have sole discretion in establishing the prices. E-commerce revenues from online direct sales are recognized when control of the goods is transferred to the customer, which generally occurs upon delivery to the customer. We also provide discount coupons to our customers for use in purchases on the Yanxuan platform, which are treated as a reduction of revenue when the related transaction is recognized.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Return allowances, which reduce revenue and cost of sales, are estimated using historical experience. Liabilities for return allowances and rights to recover products from customers associated with our liabilities are recorded as “Accrue liabilities and other payables” and “Inventories, net”, respectively, on our consolidated balance sheets.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Fee-Based Premium Services</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Fee-based premium services revenues, mostly operated on either consumption-basis or a monthly subscription basis, are derived principally from providing premium live streaming services, online music services, online reading, e-mail and other innovative services. Prepaid subscription fees collected from customers are deferred and are recognized as revenue on a straight-line basis by us over the subscription period, during which customers can access the premium online services provided by us. Fees collected from customer to be consumed to purchase online services are recognized as revenue when related services are rendered.</w:t>
      </w:r>
    </w:p>
    <w:p>
      <w:pPr>
        <w:spacing w:after="0" w:line="16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generate revenue from the operation of its live streaming platforms whereby users can enjoy live performances provided by the hosts and interact with the hosts. Most of the hosts host the performance on their own. We create and sell virtual items to users so that the users present them simultaneously to hosts to show their support. The virtual items sold by us comprise of either (i) consumable items or (ii) time-based item, such as privilege titles etc. Under the arrangements with the hosts, we share with them a portion of the revenues derived from the sales of virtual items. Revenues derived from the sale of virtual items are recorded on a gross basis as we act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the following practical expedients as allowed under ASC 606:</w:t>
      </w:r>
    </w:p>
    <w:p>
      <w:pPr>
        <w:spacing w:after="0" w:line="225" w:lineRule="exact"/>
        <w:rPr>
          <w:sz w:val="20"/>
          <w:szCs w:val="20"/>
          <w:color w:val="auto"/>
        </w:rPr>
      </w:pPr>
    </w:p>
    <w:p>
      <w:pPr>
        <w:ind w:right="380" w:firstLine="656"/>
        <w:spacing w:after="0" w:line="263" w:lineRule="auto"/>
        <w:tabs>
          <w:tab w:leader="none" w:pos="11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a significant financing component are not taken into account for contracts if we expect, at contract inception, that the period between when we transfer a promised good or service to the customer and when the customer pays for that good or service will be one year or less.</w:t>
      </w:r>
    </w:p>
    <w:p>
      <w:pPr>
        <w:spacing w:after="0" w:line="183" w:lineRule="exact"/>
        <w:rPr>
          <w:rFonts w:ascii="Arial" w:cs="Arial" w:eastAsia="Arial" w:hAnsi="Arial"/>
          <w:sz w:val="18"/>
          <w:szCs w:val="18"/>
          <w:color w:val="auto"/>
        </w:rPr>
      </w:pPr>
    </w:p>
    <w:p>
      <w:pPr>
        <w:ind w:right="20" w:firstLine="656"/>
        <w:spacing w:after="0" w:line="259" w:lineRule="auto"/>
        <w:tabs>
          <w:tab w:leader="none" w:pos="1166"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apply the portfolio approach in determining the commencement date of consumption of permanent virtual items and the estimated average playing period of paying players for our PC games and mobile games for the recognition of online game revenue given that the effect of applying a portfolio approach to a group game players’ behaviors does not differ materially from considering each one of them individually.</w:t>
      </w:r>
    </w:p>
    <w:p>
      <w:pPr>
        <w:spacing w:after="0" w:line="186" w:lineRule="exact"/>
        <w:rPr>
          <w:rFonts w:ascii="Arial" w:cs="Arial" w:eastAsia="Arial" w:hAnsi="Arial"/>
          <w:sz w:val="18"/>
          <w:szCs w:val="18"/>
          <w:color w:val="auto"/>
        </w:rPr>
      </w:pPr>
    </w:p>
    <w:p>
      <w:pPr>
        <w:ind w:left="1180" w:hanging="524"/>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elect to expense the costs to obtain a contract as incurred when the expected amortization period is one year or less.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Timing of revenue recognition may differ from the timing of invoicing to customers. Accounts receivables represent amounts invoiced and revenue recognized prior to invoicing, when we have satisfied our performance obligations and have the unconditional right to payment. We closely monitor the collection of our accounts receivables and record a reserve for doubtful accounts against aged accounts and for specifically identified non-recoverable amounts. If the economic situation and the financial condition of the customer deteriorates resulting in an impairment of the customer’s ability to make payments, additional allowances might be required. Accounts receivables balances are written off when they are determined to be uncollectible.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and investments that we intend, and have the ability, to hold to maturity.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In accordance with ASC 825, for investments in financial instruments with a variable interest rate indexed to performance of underlying assets, we elected the fair value method at the date of initial recognition and carried these investments at fair value. Changes in the fair value are reflected in the consolidated statements of operations and comprehensive income as other income/(expense). Fair value is estimated based on quoted prices of similar products provided by banks at the end of each period. We classify the valuation techniques that use these inputs as Level 2 of fair value measurements.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Investments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Long-term investments are comprised of equity investments in publicly traded companies, privately-held companies and limited partnerships.</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Equity investments in publicly traded companies are reported at fair value. Prior to January 1, 2018, they were classified as available-for-sale equity securities under long-term investments, with unrealized gains or losses, if any, recorded in accumulated other comprehensive income/(loss) in shareholders’ equity. The treatment of a decline in the fair value of an individual security is based on whether the decline is other-than-temporary. We assess available-for-sale equity securities for other-than-temporary impairment by considering factors including, but not limited to, our ability and intent to hold the individual security, severity of the impairment, expected duration of the impairment and forecasted recovery of fair value. If we determine a decline in fair value is other-than-temporary, the cost basis of the individual security is then written down to fair value as a new cost basis and the amount of the write-down is accounted for as a realized loss charged to the consolidated statements of comprehensive income. The fair value of the investment would then become the new cost basis of the investment and is not adjusted for subsequent recoveries in fair value. Starting January 1, 2018, upon the adoption of ASU 2016-01, unrealized gains and losses during the year of 2018 are recognized in other income/(expense).</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Prior to January 1, 2018, for investments in common stock or in-substance commons stocks issued by privately-held companies over which we did not have significant influence, and investments in privately-held companies’ equity securities that are not common stock or in-substance common stocks, as these securities do not have readily determinable fair value, we carried such investments at cost and only adjusted for other-than-temporary declines in fair value and distributions of earnings that exceeded our share of earnings since our investment. Starting January 1, 2018, upon the adoption of ASU 2016-01, we have elected to measure these investments in equity securities without readily determinable fair value at cost, less impairment, if any, plus or minus changes resulting from observable price changes in orderly transactions for the same or a similar investment in the same issuer (referred to as the measurement alternative). All gains and losses on these equity securities, realized and unrealized, are recognized in other income (expense), net.</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Investments in common stock or in-substance common stock of investees and limited partnership investments in which we are in a position to exercise significant influence by participating in, but not controlling or jointly controlling, the financial and operating policies are accounted for using the equity method.</w:t>
      </w:r>
    </w:p>
    <w:p>
      <w:pPr>
        <w:spacing w:after="0" w:line="18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Management regularly evaluates the impairment of the investments in privately-held companies without readily determinable fair value and equity method investments at each balance sheet date, or more frequently if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 of comprehensive income to the extent the carrying amount exceeds the fair value. Significant judgments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judgments as to whether a decline in value of equity method investments was other than temporary. For equity method investments, management considers an investment impaired when events or circumstances suggest the carrying amount may not be recoverable and recognizes any impairment charge in the consolidated statement of comprehensive income for a decline in value that is determined to be other than temporary.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40" w:firstLine="648"/>
        <w:spacing w:after="0" w:line="301" w:lineRule="auto"/>
        <w:rPr>
          <w:sz w:val="20"/>
          <w:szCs w:val="20"/>
          <w:color w:val="auto"/>
        </w:rPr>
      </w:pPr>
      <w:r>
        <w:rPr>
          <w:rFonts w:ascii="Arial" w:cs="Arial" w:eastAsia="Arial" w:hAnsi="Arial"/>
          <w:sz w:val="16"/>
          <w:szCs w:val="16"/>
          <w:color w:val="auto"/>
        </w:rPr>
        <w:t>The following table sets forth a summary of our audited consolidated statements of operations for the periods indicated both in Renminbi and as a percentage of total revenues. In September 2019, we sold our Kaola e-commerce business to Alibaba. As a result, Kaola has been deconsolidated and Kaola’s historical financial results are reflected in our audited consolidated financial statements as discontinued operations accordingly. Unless otherwise stated, financial results discussed herein refer to our continuing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For the 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142"/>
        </w:trPr>
        <w:tc>
          <w:tcPr>
            <w:tcW w:w="45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RMB</w:t>
            </w:r>
          </w:p>
        </w:tc>
        <w:tc>
          <w:tcPr>
            <w:tcW w:w="5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RMB</w:t>
            </w:r>
          </w:p>
        </w:tc>
        <w:tc>
          <w:tcPr>
            <w:tcW w:w="50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840" w:type="dxa"/>
            <w:vAlign w:val="bottom"/>
            <w:tcBorders>
              <w:bottom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r>
      <w:tr>
        <w:trPr>
          <w:trHeight w:val="142"/>
        </w:trPr>
        <w:tc>
          <w:tcPr>
            <w:tcW w:w="4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ind w:left="7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and Comprehensive Income Data:</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Net revenues: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44,437,355</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51,178,575</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59,241,145</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8,509,458</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r>
      <w:tr>
        <w:trPr>
          <w:trHeight w:val="148"/>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revenues:</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(19,394,314)</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(43.6)</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(23,832,426)</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(27,685,845)</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(3,976,823)</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r>
      <w:tr>
        <w:trPr>
          <w:trHeight w:val="149"/>
        </w:trPr>
        <w:tc>
          <w:tcPr>
            <w:tcW w:w="454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Gross profit</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25,043,041</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27,346,149</w:t>
            </w:r>
          </w:p>
        </w:tc>
        <w:tc>
          <w:tcPr>
            <w:tcW w:w="1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31,555,300</w:t>
            </w: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4,532,635</w:t>
            </w:r>
          </w:p>
        </w:tc>
        <w:tc>
          <w:tcPr>
            <w:tcW w:w="1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53.3</w:t>
            </w:r>
          </w:p>
        </w:tc>
      </w:tr>
      <w:tr>
        <w:trPr>
          <w:trHeight w:val="142"/>
        </w:trPr>
        <w:tc>
          <w:tcPr>
            <w:tcW w:w="45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Operating expenses:</w:t>
            </w: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4540" w:type="dxa"/>
            <w:vAlign w:val="bottom"/>
          </w:tcPr>
          <w:p>
            <w:pPr>
              <w:ind w:left="340"/>
              <w:spacing w:after="0" w:line="149" w:lineRule="exact"/>
              <w:rPr>
                <w:sz w:val="20"/>
                <w:szCs w:val="20"/>
                <w:color w:val="auto"/>
              </w:rPr>
            </w:pPr>
            <w:r>
              <w:rPr>
                <w:rFonts w:ascii="Arial" w:cs="Arial" w:eastAsia="Arial" w:hAnsi="Arial"/>
                <w:sz w:val="14"/>
                <w:szCs w:val="14"/>
                <w:color w:val="auto"/>
              </w:rPr>
              <w:t>Selling and marketing expenses</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(5,504,613)</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(6,911,710)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(6,221,127)</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(893,609)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r>
      <w:tr>
        <w:trPr>
          <w:trHeight w:val="148"/>
        </w:trPr>
        <w:tc>
          <w:tcPr>
            <w:tcW w:w="4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General and administrative expenses</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(2,381,842)</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(3,078,635)</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(3,130,298)</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(449,639)</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r>
      <w:tr>
        <w:trPr>
          <w:trHeight w:val="149"/>
        </w:trPr>
        <w:tc>
          <w:tcPr>
            <w:tcW w:w="4540" w:type="dxa"/>
            <w:vAlign w:val="bottom"/>
          </w:tcPr>
          <w:p>
            <w:pPr>
              <w:ind w:left="340"/>
              <w:spacing w:after="0" w:line="149" w:lineRule="exact"/>
              <w:rPr>
                <w:sz w:val="20"/>
                <w:szCs w:val="20"/>
                <w:color w:val="auto"/>
              </w:rPr>
            </w:pPr>
            <w:r>
              <w:rPr>
                <w:rFonts w:ascii="Arial" w:cs="Arial" w:eastAsia="Arial" w:hAnsi="Arial"/>
                <w:sz w:val="14"/>
                <w:szCs w:val="14"/>
                <w:color w:val="auto"/>
              </w:rPr>
              <w:t>Research and development expenses</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(4,161,673)</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(7,378,460)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w:t>
            </w:r>
          </w:p>
        </w:tc>
        <w:tc>
          <w:tcPr>
            <w:tcW w:w="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(8,413,224)</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(1,208,484)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r>
      <w:tr>
        <w:trPr>
          <w:trHeight w:val="148"/>
        </w:trPr>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(12,048,128)</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(27.2)</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(17,368,805)</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(33.9)</w:t>
            </w: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(17,764,649)</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(2,551,732)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r>
      <w:tr>
        <w:trPr>
          <w:trHeight w:val="142"/>
        </w:trPr>
        <w:tc>
          <w:tcPr>
            <w:tcW w:w="4540" w:type="dxa"/>
            <w:vAlign w:val="bottom"/>
          </w:tcPr>
          <w:p>
            <w:pPr>
              <w:ind w:left="220"/>
              <w:spacing w:after="0" w:line="142" w:lineRule="exact"/>
              <w:rPr>
                <w:sz w:val="20"/>
                <w:szCs w:val="20"/>
                <w:color w:val="auto"/>
              </w:rPr>
            </w:pPr>
            <w:r>
              <w:rPr>
                <w:rFonts w:ascii="Arial" w:cs="Arial" w:eastAsia="Arial" w:hAnsi="Arial"/>
                <w:sz w:val="14"/>
                <w:szCs w:val="14"/>
                <w:color w:val="auto"/>
              </w:rPr>
              <w:t>Operating profit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12,994,913</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29.2</w:t>
            </w: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9,977,344</w:t>
            </w:r>
          </w:p>
        </w:tc>
        <w:tc>
          <w:tcPr>
            <w:tcW w:w="16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19.5</w:t>
            </w: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13,790,651</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1,980,903</w:t>
            </w: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23.3</w:t>
            </w:r>
          </w:p>
        </w:tc>
      </w:tr>
      <w:tr>
        <w:trPr>
          <w:trHeight w:val="148"/>
        </w:trPr>
        <w:tc>
          <w:tcPr>
            <w:tcW w:w="45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8"/>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Other income/(expenses)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Investment income/(losses), net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362,113</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(22,383)</w:t>
            </w:r>
          </w:p>
        </w:tc>
        <w:tc>
          <w:tcPr>
            <w:tcW w:w="6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1,306,320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187,641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r>
      <w:tr>
        <w:trPr>
          <w:trHeight w:val="148"/>
        </w:trPr>
        <w:tc>
          <w:tcPr>
            <w:tcW w:w="4540" w:type="dxa"/>
            <w:vAlign w:val="bottom"/>
          </w:tcPr>
          <w:p>
            <w:pPr>
              <w:ind w:left="340"/>
              <w:spacing w:after="0" w:line="149" w:lineRule="exact"/>
              <w:rPr>
                <w:sz w:val="20"/>
                <w:szCs w:val="20"/>
                <w:color w:val="auto"/>
              </w:rPr>
            </w:pPr>
            <w:r>
              <w:rPr>
                <w:rFonts w:ascii="Arial" w:cs="Arial" w:eastAsia="Arial" w:hAnsi="Arial"/>
                <w:sz w:val="14"/>
                <w:szCs w:val="14"/>
                <w:color w:val="auto"/>
              </w:rPr>
              <w:t>Interest income, net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666,616</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586,671</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821,774</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118,040</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8"/>
        </w:trPr>
        <w:tc>
          <w:tcPr>
            <w:tcW w:w="4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Exchange (losses) / gains</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(455,948)</w:t>
            </w: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(51,799)</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25,166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540" w:type="dxa"/>
            <w:vAlign w:val="bottom"/>
          </w:tcPr>
          <w:p>
            <w:pPr>
              <w:ind w:left="340"/>
              <w:spacing w:after="0" w:line="149" w:lineRule="exact"/>
              <w:rPr>
                <w:sz w:val="20"/>
                <w:szCs w:val="20"/>
                <w:color w:val="auto"/>
              </w:rPr>
            </w:pPr>
            <w:r>
              <w:rPr>
                <w:rFonts w:ascii="Arial" w:cs="Arial" w:eastAsia="Arial" w:hAnsi="Arial"/>
                <w:sz w:val="14"/>
                <w:szCs w:val="14"/>
                <w:color w:val="auto"/>
              </w:rPr>
              <w:t>Other, net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271,885</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586,916</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439,422</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63,119</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r>
      <w:tr>
        <w:trPr>
          <w:trHeight w:val="148"/>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before tax</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13,839,579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11,076,749</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16,383,333</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2,353,318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r>
      <w:tr>
        <w:trPr>
          <w:trHeight w:val="149"/>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Income tax</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(2,155,988)</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(2,460,650)</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(2,914,726)</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(418,674)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r>
      <w:tr>
        <w:trPr>
          <w:trHeight w:val="148"/>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 from continuing operations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11,683,591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8,616,099</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13,468,607</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1,934,644</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r>
      <w:tr>
        <w:trPr>
          <w:trHeight w:val="148"/>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Net(loss)/income from discontinued operations</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(834,454)</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(2,138,682)</w:t>
            </w: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7,962,519</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1,143,744</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13.4</w:t>
            </w:r>
          </w:p>
        </w:tc>
      </w:tr>
      <w:tr>
        <w:trPr>
          <w:trHeight w:val="148"/>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10,849,137</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6,477,417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21,431,126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3,078,388</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r>
      <w:tr>
        <w:trPr>
          <w:trHeight w:val="130"/>
        </w:trPr>
        <w:tc>
          <w:tcPr>
            <w:tcW w:w="4540" w:type="dxa"/>
            <w:vAlign w:val="bottom"/>
          </w:tcPr>
          <w:p>
            <w:pPr>
              <w:ind w:left="220"/>
              <w:spacing w:after="0" w:line="130" w:lineRule="exact"/>
              <w:rPr>
                <w:sz w:val="20"/>
                <w:szCs w:val="20"/>
                <w:color w:val="auto"/>
              </w:rPr>
            </w:pPr>
            <w:r>
              <w:rPr>
                <w:rFonts w:ascii="Arial" w:cs="Arial" w:eastAsia="Arial" w:hAnsi="Arial"/>
                <w:sz w:val="14"/>
                <w:szCs w:val="14"/>
                <w:color w:val="auto"/>
              </w:rPr>
              <w:t>Accretion and deemed dividends in connection with repurchase of</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4540" w:type="dxa"/>
            <w:vAlign w:val="bottom"/>
          </w:tcPr>
          <w:p>
            <w:pPr>
              <w:ind w:left="2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(248,098)</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(271,543)</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(39,005)</w:t>
            </w:r>
          </w:p>
        </w:tc>
        <w:tc>
          <w:tcPr>
            <w:tcW w:w="5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30"/>
        </w:trPr>
        <w:tc>
          <w:tcPr>
            <w:tcW w:w="45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Net (income)/loss attributable to noncontrolling interests and</w:t>
            </w: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4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redeemable noncontrolling interests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(141,198)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(76,912)</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w:t>
            </w: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77,933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48"/>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Net income attributable to NetEase, Inc.’s shareholders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9"/>
              </w:rPr>
              <w:t>10,707,939</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24.0</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6,152,407</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6"/>
              </w:rPr>
              <w:t>21,237,516</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3,050,577</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35.7</w:t>
            </w: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income</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10,849,137</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6,477,417</w:t>
            </w:r>
          </w:p>
        </w:tc>
        <w:tc>
          <w:tcPr>
            <w:tcW w:w="1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21,431,126</w:t>
            </w:r>
          </w:p>
        </w:tc>
        <w:tc>
          <w:tcPr>
            <w:tcW w:w="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3,078,388</w:t>
            </w:r>
          </w:p>
        </w:tc>
        <w:tc>
          <w:tcPr>
            <w:tcW w:w="1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36.1</w:t>
            </w:r>
          </w:p>
        </w:tc>
      </w:tr>
      <w:tr>
        <w:trPr>
          <w:trHeight w:val="142"/>
        </w:trPr>
        <w:tc>
          <w:tcPr>
            <w:tcW w:w="4540" w:type="dxa"/>
            <w:vAlign w:val="bottom"/>
          </w:tcPr>
          <w:p>
            <w:pPr>
              <w:ind w:left="220"/>
              <w:spacing w:after="0" w:line="142" w:lineRule="exact"/>
              <w:rPr>
                <w:sz w:val="20"/>
                <w:szCs w:val="20"/>
                <w:color w:val="auto"/>
              </w:rPr>
            </w:pPr>
            <w:r>
              <w:rPr>
                <w:rFonts w:ascii="Arial" w:cs="Arial" w:eastAsia="Arial" w:hAnsi="Arial"/>
                <w:sz w:val="14"/>
                <w:szCs w:val="14"/>
                <w:color w:val="auto"/>
              </w:rPr>
              <w:t>Share-based compensation cost included in: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revenues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818,101</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757,341</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758,810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108,996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48"/>
        </w:trPr>
        <w:tc>
          <w:tcPr>
            <w:tcW w:w="4540" w:type="dxa"/>
            <w:vAlign w:val="bottom"/>
          </w:tcPr>
          <w:p>
            <w:pPr>
              <w:ind w:left="220"/>
              <w:spacing w:after="0" w:line="149" w:lineRule="exact"/>
              <w:rPr>
                <w:sz w:val="20"/>
                <w:szCs w:val="20"/>
                <w:color w:val="auto"/>
              </w:rPr>
            </w:pPr>
            <w:r>
              <w:rPr>
                <w:rFonts w:ascii="Arial" w:cs="Arial" w:eastAsia="Arial" w:hAnsi="Arial"/>
                <w:sz w:val="14"/>
                <w:szCs w:val="14"/>
                <w:color w:val="auto"/>
              </w:rPr>
              <w:t>Selling and marketing expenses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90,271</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102,638</w:t>
            </w: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84,920</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12,198</w:t>
            </w: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0.1</w:t>
            </w:r>
          </w:p>
        </w:tc>
      </w:tr>
      <w:tr>
        <w:trPr>
          <w:trHeight w:val="148"/>
        </w:trPr>
        <w:tc>
          <w:tcPr>
            <w:tcW w:w="45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General and administrative expenses</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576,629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787,200</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797,120</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114,499</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82"/>
        </w:trPr>
        <w:tc>
          <w:tcPr>
            <w:tcW w:w="4540" w:type="dxa"/>
            <w:vAlign w:val="bottom"/>
          </w:tcPr>
          <w:p>
            <w:pPr>
              <w:ind w:left="220"/>
              <w:spacing w:after="0"/>
              <w:rPr>
                <w:sz w:val="20"/>
                <w:szCs w:val="20"/>
                <w:color w:val="auto"/>
              </w:rPr>
            </w:pPr>
            <w:r>
              <w:rPr>
                <w:rFonts w:ascii="Arial" w:cs="Arial" w:eastAsia="Arial" w:hAnsi="Arial"/>
                <w:sz w:val="14"/>
                <w:szCs w:val="14"/>
                <w:color w:val="auto"/>
              </w:rPr>
              <w:t>Research and development expenses</w:t>
            </w:r>
          </w:p>
        </w:tc>
        <w:tc>
          <w:tcPr>
            <w:tcW w:w="780" w:type="dxa"/>
            <w:vAlign w:val="bottom"/>
          </w:tcPr>
          <w:p>
            <w:pPr>
              <w:jc w:val="right"/>
              <w:spacing w:after="0"/>
              <w:rPr>
                <w:sz w:val="20"/>
                <w:szCs w:val="20"/>
                <w:color w:val="auto"/>
              </w:rPr>
            </w:pPr>
            <w:r>
              <w:rPr>
                <w:rFonts w:ascii="Arial" w:cs="Arial" w:eastAsia="Arial" w:hAnsi="Arial"/>
                <w:sz w:val="14"/>
                <w:szCs w:val="14"/>
                <w:color w:val="auto"/>
              </w:rPr>
              <w:t>499,850</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824,552</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763,239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109,633</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Year Ended December 31, 2018</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We have organized our operations into three segments: online game services, Youdao and innovative businesses and others. These segments reflect the way we evaluate, view and run our business operations. The following table sets forth the net revenues and cost of revenues by segment for the period presented as derived from our audited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314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98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980" w:type="dxa"/>
            <w:vAlign w:val="bottom"/>
          </w:tcPr>
          <w:p>
            <w:pPr>
              <w:jc w:val="right"/>
              <w:ind w:right="235"/>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90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Online game services</w:t>
            </w:r>
          </w:p>
        </w:tc>
        <w:tc>
          <w:tcPr>
            <w:tcW w:w="980" w:type="dxa"/>
            <w:vAlign w:val="bottom"/>
          </w:tcPr>
          <w:p>
            <w:pPr>
              <w:jc w:val="right"/>
              <w:spacing w:after="0"/>
              <w:rPr>
                <w:sz w:val="20"/>
                <w:szCs w:val="20"/>
                <w:color w:val="auto"/>
              </w:rPr>
            </w:pPr>
            <w:r>
              <w:rPr>
                <w:rFonts w:ascii="Arial" w:cs="Arial" w:eastAsia="Arial" w:hAnsi="Arial"/>
                <w:sz w:val="18"/>
                <w:szCs w:val="18"/>
                <w:color w:val="auto"/>
              </w:rPr>
              <w:t>40,190,057</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46,422,640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6,668,195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1,304,883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Innovative businesses and others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10,256,920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11,513,622</w:t>
            </w: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51,178,575</w:t>
            </w:r>
          </w:p>
        </w:tc>
        <w:tc>
          <w:tcPr>
            <w:tcW w:w="1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59,241,145</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Online game services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(14,617,656)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(16,974,234)</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(2,438,196)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(515,133)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(934,261)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(8,699,637)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(9,777,350)</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(1,404,429)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(23,832,426)</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(27,685,845)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(3,976,823)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Total net revenues increased by 15.8% to RMB59,241.1 million (US$8,509.5 million) in 2019 from RMB51,178.6 million in 2018. Net revenues from online game services, Youdao and innovative businesses and others constituted 78.4%, 2.2% and 19.4%, respectively, of our total net revenues in 2019, compared with 78.5%, 1.4% and 20.1%, respectively, in 2018.</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Net revenues from online game services increased by 15.5% to RMB46,422.6 million (US$6,668.2 million) in 2019 from RMB40,190.1 million in 2018. The increase was principally attributable to higher net revenues from our mobile games which totaled RMB33,160.1 million (US$4,763.1 million) in 2019 compared to RMB28,536.9 million in 2018. The growth in net revenues from mobile games mainly resulted from mobile games such as </w:t>
      </w:r>
      <w:r>
        <w:rPr>
          <w:rFonts w:ascii="Arial" w:cs="Arial" w:eastAsia="Arial" w:hAnsi="Arial"/>
          <w:sz w:val="18"/>
          <w:szCs w:val="18"/>
          <w:i w:val="1"/>
          <w:iCs w:val="1"/>
          <w:color w:val="auto"/>
        </w:rPr>
        <w:t>Life-After, Invincible</w:t>
      </w:r>
      <w:r>
        <w:rPr>
          <w:rFonts w:ascii="Arial" w:cs="Arial" w:eastAsia="Arial" w:hAnsi="Arial"/>
          <w:sz w:val="18"/>
          <w:szCs w:val="18"/>
          <w:color w:val="auto"/>
        </w:rPr>
        <w:t xml:space="preserve"> and </w:t>
      </w:r>
      <w:r>
        <w:rPr>
          <w:rFonts w:ascii="Arial" w:cs="Arial" w:eastAsia="Arial" w:hAnsi="Arial"/>
          <w:sz w:val="18"/>
          <w:szCs w:val="18"/>
          <w:i w:val="1"/>
          <w:iCs w:val="1"/>
          <w:color w:val="auto"/>
        </w:rPr>
        <w:t>Identity V</w:t>
      </w:r>
      <w:r>
        <w:rPr>
          <w:rFonts w:ascii="Arial" w:cs="Arial" w:eastAsia="Arial" w:hAnsi="Arial"/>
          <w:sz w:val="18"/>
          <w:szCs w:val="18"/>
          <w:color w:val="auto"/>
        </w:rPr>
        <w:t>, which gained popularity over the course of 2019. Our mobile game portfolio now consists of over 100 diverse games. Net revenues from mobile games and PC games represented 71.4% and 28.6% of total net revenues from online game services in 2019, respectively, compared to 71.0% and 29.0% in 2018, respectively.</w:t>
      </w:r>
    </w:p>
    <w:p>
      <w:pPr>
        <w:spacing w:after="0" w:line="195" w:lineRule="exact"/>
        <w:rPr>
          <w:sz w:val="20"/>
          <w:szCs w:val="20"/>
          <w:color w:val="auto"/>
        </w:rPr>
      </w:pPr>
    </w:p>
    <w:p>
      <w:pPr>
        <w:jc w:val="both"/>
        <w:ind w:right="220" w:firstLine="648"/>
        <w:spacing w:after="0" w:line="273" w:lineRule="auto"/>
        <w:rPr>
          <w:sz w:val="20"/>
          <w:szCs w:val="20"/>
          <w:color w:val="auto"/>
        </w:rPr>
      </w:pPr>
      <w:r>
        <w:rPr>
          <w:rFonts w:ascii="Arial" w:cs="Arial" w:eastAsia="Arial" w:hAnsi="Arial"/>
          <w:sz w:val="17"/>
          <w:szCs w:val="17"/>
          <w:color w:val="auto"/>
        </w:rPr>
        <w:t xml:space="preserve">Net revenues from our in-house developed games increased by 15.4% to RMB41,965.6 million (US$6,028.0 million) in 2019 from RMB36,363.6 million in 2018 as a result of the expansion in our offering of in-house developed games, in particular our mobile games. Net revenues from licensed games increased by 16.5% to RMB4,457.0 million (US$640.2 million) in 2019 from RMB3,826.5 million in 2018, which was mainly attributable to the increased revenue as a result of the release of </w:t>
      </w:r>
      <w:r>
        <w:rPr>
          <w:rFonts w:ascii="Arial" w:cs="Arial" w:eastAsia="Arial" w:hAnsi="Arial"/>
          <w:sz w:val="17"/>
          <w:szCs w:val="17"/>
          <w:i w:val="1"/>
          <w:iCs w:val="1"/>
          <w:color w:val="auto"/>
        </w:rPr>
        <w:t>World of Warcraft Classic</w:t>
      </w:r>
      <w:r>
        <w:rPr>
          <w:rFonts w:ascii="Arial" w:cs="Arial" w:eastAsia="Arial" w:hAnsi="Arial"/>
          <w:sz w:val="17"/>
          <w:szCs w:val="17"/>
          <w:color w:val="auto"/>
        </w:rPr>
        <w:t xml:space="preserve"> licensed from Blizzard in August 2019, as well as certain other licensed games. Net revenues generated from licensed games represented 7.5% and 7.5% of our total net revenues in 2019 and 2018,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jc w:val="both"/>
        <w:ind w:right="760" w:firstLine="648"/>
        <w:spacing w:after="0" w:line="342" w:lineRule="auto"/>
        <w:rPr>
          <w:sz w:val="20"/>
          <w:szCs w:val="20"/>
          <w:color w:val="auto"/>
        </w:rPr>
      </w:pPr>
      <w:r>
        <w:rPr>
          <w:rFonts w:ascii="Arial" w:cs="Arial" w:eastAsia="Arial" w:hAnsi="Arial"/>
          <w:sz w:val="16"/>
          <w:szCs w:val="16"/>
          <w:color w:val="auto"/>
        </w:rPr>
        <w:t>Net revenues from our Youdao segment increased by 78.4% to RMB1,304.9 million (US$187.4 million) in 2019 from RMB731.6 million in 2018. The increase was mainly attributable to increased revenue from its learning services and products.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Net revenues from the innovative businesses and others segment increased by 12.3% to RMB11,513.6 million (US$1,653.8 million) in 2019 from RMB10,256.9 million in 2018. This increase mainly resulted from increases in revenue contribution by our NetEase Cloud Music, NetEase CC live streaming and Yanxuan e-commerce businesses.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cost of revenues increased by 16.2% to RMB27,685.8 million (US$3,976.8 million) in 2019 from RMB23,832.4 million in 2018. The year-over-year increase was mainly due to an increase in revenue sharing costs with distribution channel providers, game developers and other third parties and content costs. In 2019, costs relating to online game services, Youdao and innovative businesses and others represented 61.3%, 3.4% and 35.3% of total cost of revenues, respectively, as compared with 61.3%, 2.2% and 36.5% of the total cost of revenues, respectively, in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Cost of revenues from our online game services increased by 16.1% to RMB16,974.2 million (US$2,438.2 million) in 2019 from RMB14,617.7 million in 2018. The increase in cost of revenues in 2019 was primarily due to an increase in revenue sharing costs with distribution channel providers, game developers and other third parties related to mobile games, which was primarily due to the launch of various in-house developed and licensed mobile games in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Cost of revenues from Youdao increased by 81.4% to RMB934.3 million (US$134.2 million) in 2019 from RMB515.1 million in 2018, which was primarily attributable to increased traffic acquisition costs and revenue sharing costs with key instructors to support the promotion and expansion of Youdao’s online course offerings.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Cost of revenues from our innovative businesses and others increased by 12.4% to RMB9,777.4 million (US$1,404.4 million) in 2019 from RMB8,699.6 million in 2018. The increase in cost of revenues in 2019 was primarily due to increased content costs and revenue sharing costs related to our NetEase CC live streaming and NetEase Cloud Music platforms.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gross profit increased by 15.4% to RMB31,555.3 million (US$4,532.6 million) in 2019 from RMB27,346.1 million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2018 and 2019 were calculated by dividing our gross profits over our net revenues for the corresponding type of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1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For the Year Ended December 31,</w:t>
            </w:r>
          </w:p>
        </w:tc>
      </w:tr>
      <w:tr>
        <w:trPr>
          <w:trHeight w:val="142"/>
        </w:trPr>
        <w:tc>
          <w:tcPr>
            <w:tcW w:w="6780" w:type="dxa"/>
            <w:vAlign w:val="bottom"/>
          </w:tcPr>
          <w:p>
            <w:pPr>
              <w:spacing w:after="0"/>
              <w:rPr>
                <w:sz w:val="12"/>
                <w:szCs w:val="12"/>
                <w:color w:val="auto"/>
              </w:rPr>
            </w:pPr>
          </w:p>
        </w:tc>
        <w:tc>
          <w:tcPr>
            <w:tcW w:w="920" w:type="dxa"/>
            <w:vAlign w:val="bottom"/>
            <w:tcBorders>
              <w:top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2018</w:t>
            </w:r>
          </w:p>
        </w:tc>
        <w:tc>
          <w:tcPr>
            <w:tcW w:w="1080" w:type="dxa"/>
            <w:vAlign w:val="bottom"/>
            <w:tcBorders>
              <w:top w:val="single" w:sz="8" w:color="auto"/>
            </w:tcBorders>
            <w:gridSpan w:val="2"/>
          </w:tcPr>
          <w:p>
            <w:pPr>
              <w:jc w:val="right"/>
              <w:ind w:right="24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r>
      <w:tr>
        <w:trPr>
          <w:trHeight w:val="119"/>
        </w:trPr>
        <w:tc>
          <w:tcPr>
            <w:tcW w:w="6780" w:type="dxa"/>
            <w:vAlign w:val="bottom"/>
          </w:tcPr>
          <w:p>
            <w:pPr>
              <w:spacing w:after="0"/>
              <w:rPr>
                <w:sz w:val="10"/>
                <w:szCs w:val="10"/>
                <w:color w:val="auto"/>
              </w:rPr>
            </w:pPr>
          </w:p>
        </w:tc>
        <w:tc>
          <w:tcPr>
            <w:tcW w:w="920" w:type="dxa"/>
            <w:vAlign w:val="bottom"/>
            <w:tcBorders>
              <w:top w:val="single" w:sz="8" w:color="auto"/>
            </w:tcBorders>
          </w:tcPr>
          <w:p>
            <w:pPr>
              <w:jc w:val="right"/>
              <w:ind w:right="218"/>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222"/>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82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US$</w:t>
            </w:r>
          </w:p>
        </w:tc>
        <w:tc>
          <w:tcPr>
            <w:tcW w:w="16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Online game services</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25,572,401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29,448,406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4,229,999</w:t>
            </w:r>
          </w:p>
        </w:tc>
        <w:tc>
          <w:tcPr>
            <w:tcW w:w="16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370,622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53,237</w:t>
            </w: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920" w:type="dxa"/>
            <w:vAlign w:val="bottom"/>
          </w:tcPr>
          <w:p>
            <w:pPr>
              <w:jc w:val="right"/>
              <w:spacing w:after="0"/>
              <w:rPr>
                <w:sz w:val="20"/>
                <w:szCs w:val="20"/>
                <w:color w:val="auto"/>
              </w:rPr>
            </w:pPr>
            <w:r>
              <w:rPr>
                <w:rFonts w:ascii="Arial" w:cs="Arial" w:eastAsia="Arial" w:hAnsi="Arial"/>
                <w:sz w:val="18"/>
                <w:szCs w:val="18"/>
                <w:color w:val="auto"/>
              </w:rPr>
              <w:t>1,557,283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1,736,272</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249,399</w:t>
            </w:r>
          </w:p>
        </w:tc>
        <w:tc>
          <w:tcPr>
            <w:tcW w:w="160" w:type="dxa"/>
            <w:vAlign w:val="bottom"/>
          </w:tcPr>
          <w:p>
            <w:pPr>
              <w:spacing w:after="0"/>
              <w:rPr>
                <w:sz w:val="18"/>
                <w:szCs w:val="18"/>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27,346,149</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31,555,300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4,532,635</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margin:</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Online game services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63.6 %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63.4 %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63.4 %</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28.4 %</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15.2 %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15.1 %</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Our gross profit margin for online game services, Youdao and innovative businesses and others in 2019 remained stable compared to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operating expenses increased by 2.3% to RMB17,764.6 million (US$2,551.7 million) in 2019 from RMB17.368.8 million in 2018 as a result of an increase in general and administrative expenses and research and development expenses, which was partially offset by a decrease in selling and marketing expenses. The following table sets forth our operating expenses for the periods indicated as derived from our audited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6660" w:type="dxa"/>
            <w:vAlign w:val="bottom"/>
          </w:tcPr>
          <w:p>
            <w:pPr>
              <w:spacing w:after="0"/>
              <w:rPr>
                <w:sz w:val="12"/>
                <w:szCs w:val="12"/>
                <w:color w:val="auto"/>
              </w:rPr>
            </w:pPr>
          </w:p>
        </w:tc>
        <w:tc>
          <w:tcPr>
            <w:tcW w:w="1000" w:type="dxa"/>
            <w:vAlign w:val="bottom"/>
            <w:tcBorders>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660" w:type="dxa"/>
            <w:vAlign w:val="bottom"/>
          </w:tcPr>
          <w:p>
            <w:pPr>
              <w:spacing w:after="0"/>
              <w:rPr>
                <w:sz w:val="12"/>
                <w:szCs w:val="12"/>
                <w:color w:val="auto"/>
              </w:rPr>
            </w:pPr>
          </w:p>
        </w:tc>
        <w:tc>
          <w:tcPr>
            <w:tcW w:w="100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US$</w:t>
            </w:r>
          </w:p>
        </w:tc>
      </w:tr>
      <w:tr>
        <w:trPr>
          <w:trHeight w:val="142"/>
        </w:trPr>
        <w:tc>
          <w:tcPr>
            <w:tcW w:w="6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9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Selling and marketing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(6,911,710)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(6,221,127)</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(893,609)</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(3,078,635)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(3,130,298)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(449,639)</w:t>
            </w:r>
          </w:p>
        </w:tc>
      </w:tr>
      <w:tr>
        <w:trPr>
          <w:trHeight w:val="216"/>
        </w:trPr>
        <w:tc>
          <w:tcPr>
            <w:tcW w:w="666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(7,378,460)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(8,413,224)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(1,208,484)</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(17,368,805)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(17,764,649)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(2,551,732)</w:t>
            </w:r>
          </w:p>
        </w:tc>
      </w:tr>
    </w:tbl>
    <w:p>
      <w:pPr>
        <w:spacing w:after="0" w:line="202"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Selling and marketing expenses decreased by 10.0% to RMB6,221.1 million (US$893.6 million) in 2019 from RMB6,911.7 million in 2018, primarily due to the decreased marketing spending on our online games, as well as media and outdoor branding promotion for our innovative businesses and others, which was partially offset by increased marketing spending on Youdao.</w:t>
      </w:r>
    </w:p>
    <w:p>
      <w:pPr>
        <w:spacing w:after="0" w:line="14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General and administrative expenses increased slightly by 1.7% to RMB3,130.3 million (US$449.6 million) in 2019 from RMB3,078.6 million in 2018, primarily due to an increase in staff-related costs driven by higher compensation levels.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Research and development expenses increased by 14.0% to RMB8,413.2 million (US$1,208.5 million) in 2019 from RMB7,378.5 million in 2018, primarily due to an increase in staff-related costs, mainly as a result of increased headcount for our online game services and Youdao and higher salaries, bonuses and other benefits paid to our research and development teams during 2019, including share-based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our other income/(expenses) for the periods indicated as derived from our audited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9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6980" w:type="dxa"/>
            <w:vAlign w:val="bottom"/>
          </w:tcPr>
          <w:p>
            <w:pPr>
              <w:spacing w:after="0"/>
              <w:rPr>
                <w:sz w:val="12"/>
                <w:szCs w:val="12"/>
                <w:color w:val="auto"/>
              </w:rPr>
            </w:pPr>
          </w:p>
        </w:tc>
        <w:tc>
          <w:tcPr>
            <w:tcW w:w="840" w:type="dxa"/>
            <w:vAlign w:val="bottom"/>
          </w:tcPr>
          <w:p>
            <w:pPr>
              <w:jc w:val="right"/>
              <w:ind w:right="178"/>
              <w:spacing w:after="0" w:line="142" w:lineRule="exact"/>
              <w:rPr>
                <w:sz w:val="20"/>
                <w:szCs w:val="20"/>
                <w:color w:val="auto"/>
              </w:rPr>
            </w:pPr>
            <w:r>
              <w:rPr>
                <w:rFonts w:ascii="Arial" w:cs="Arial" w:eastAsia="Arial" w:hAnsi="Arial"/>
                <w:sz w:val="14"/>
                <w:szCs w:val="14"/>
                <w:b w:val="1"/>
                <w:bCs w:val="1"/>
                <w:color w:val="auto"/>
              </w:rPr>
              <w:t>2018</w:t>
            </w:r>
          </w:p>
        </w:tc>
        <w:tc>
          <w:tcPr>
            <w:tcW w:w="13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2"/>
                <w:szCs w:val="12"/>
                <w:color w:val="auto"/>
              </w:rPr>
            </w:pPr>
          </w:p>
        </w:tc>
      </w:tr>
      <w:tr>
        <w:trPr>
          <w:trHeight w:val="142"/>
        </w:trPr>
        <w:tc>
          <w:tcPr>
            <w:tcW w:w="6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US$</w:t>
            </w:r>
          </w:p>
        </w:tc>
      </w:tr>
      <w:tr>
        <w:trPr>
          <w:trHeight w:val="142"/>
        </w:trPr>
        <w:tc>
          <w:tcPr>
            <w:tcW w:w="6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Investment income/(losses), net</w:t>
            </w:r>
          </w:p>
        </w:tc>
        <w:tc>
          <w:tcPr>
            <w:tcW w:w="840" w:type="dxa"/>
            <w:vAlign w:val="bottom"/>
          </w:tcPr>
          <w:p>
            <w:pPr>
              <w:jc w:val="right"/>
              <w:spacing w:after="0"/>
              <w:rPr>
                <w:sz w:val="20"/>
                <w:szCs w:val="20"/>
                <w:color w:val="auto"/>
              </w:rPr>
            </w:pPr>
            <w:r>
              <w:rPr>
                <w:rFonts w:ascii="Arial" w:cs="Arial" w:eastAsia="Arial" w:hAnsi="Arial"/>
                <w:sz w:val="18"/>
                <w:szCs w:val="18"/>
                <w:color w:val="auto"/>
              </w:rPr>
              <w:t>(22,383)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1,306,320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187,641</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net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821,774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118,040</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Exchange (losses) / gains</w:t>
            </w:r>
          </w:p>
        </w:tc>
        <w:tc>
          <w:tcPr>
            <w:tcW w:w="840" w:type="dxa"/>
            <w:vAlign w:val="bottom"/>
          </w:tcPr>
          <w:p>
            <w:pPr>
              <w:jc w:val="right"/>
              <w:spacing w:after="0"/>
              <w:rPr>
                <w:sz w:val="20"/>
                <w:szCs w:val="20"/>
                <w:color w:val="auto"/>
              </w:rPr>
            </w:pPr>
            <w:r>
              <w:rPr>
                <w:rFonts w:ascii="Arial" w:cs="Arial" w:eastAsia="Arial" w:hAnsi="Arial"/>
                <w:sz w:val="18"/>
                <w:szCs w:val="18"/>
                <w:color w:val="auto"/>
              </w:rPr>
              <w:t>(51,799)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25,166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586,916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439,422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63,119</w:t>
            </w:r>
          </w:p>
        </w:tc>
      </w:tr>
    </w:tbl>
    <w:p>
      <w:pPr>
        <w:spacing w:after="0" w:line="20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Other income/(expenses) in 2019 mainly consisted of investment income related to short-term investments, interest income, foreign exchange gain and government incentives, offset in part by foreign exchange losses, impairment provisions related to certain equity investments, net investment gain in equity method investees and fair value change related to our equity investments with readily determinable fair value and other financial instruments.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Investment income was RMB1,306.3 million (US$187.6 million) in 2019 compared to investment loss of RMB22.4 million in 2018, consisting primarily of (i) a gain from fair value change of RMB751.7 million (US$108.0 million) related to the equity investments with readily determinable fair value and other financial instruments in 2019 compared to a loss from fair value change of RMB248.2 million in 2018 and (ii) investment income related to short-term investments of RMB657.6 million (US$94.5 million) in 2019, compared to RMB463.5 million in 2018, which was offset in part by impairment provisions related to certain investments of RMB176.4 million (US$25.3 million) in 2019, compared to RMB159.7 million in 2018.</w:t>
      </w:r>
    </w:p>
    <w:p>
      <w:pPr>
        <w:spacing w:after="0" w:line="192"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income increased to RMB821.8 million (US$118.0 million) in 2019 from RMB586.7 million in 2018, primarily due to an increase of RMB16.4 billion (US$2.4 billion) in our net cash balance, which includes total cash and cash equivalents, time deposits and restricted cash balance minus short-term loans. We incurred interest expenses of RMB419.1 million (US$60.2 million) in 2019 related to our short-term loans.</w:t>
      </w:r>
    </w:p>
    <w:p>
      <w:pPr>
        <w:spacing w:after="0" w:line="187"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Other, net decreased to RMB439.4 million (US$63.1 million) in 2019 from RMB586.9 million in 2018. We received and recognized unconditional government incentives of approximately RMB368.2 million (US$52.9 million) in 2019, compared to RMB316.7 million in 2018.</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also incurred net foreign exchange gains of RMB25.2 million (US$3.6 million) in 2019, compared to net foreign exchange losses of RMB51.8 million in 2018, both of which are primarily due to the translation gains and losses arising from our U.S. dollar-denominated bank deposit and short-term loan balances as the exchange rate of the U.S. dollar against the RMB fluctuated over these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Income tax increased to RMB2,914.7 million (US$418.7 million) in 2019 from RMB2,460.7 million in 2018. Our effective tax rate in 2019 was 17.8% compared with 22.2% in 2018. The change in the effective tax rate was mainly due to the fact that certain of our subsidiaries experienced smaller operating losses in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Net income attributable to our shareholders in 2019 comprised of a net income from continuing operations of RMB13,275.0 million (US$1,906.8 million) and net income from discontinued operations of RMB7,962.5 million (US$1,143.7 million, which includes a one-time net gain on disposal of discontinued operations of US$1,257.0 million) related to the sale of our Kaola e-commerce business, offset in part by its net loss prior to such sale, compared to a net income from continuing operations of RMB8,291.1 million and a net loss from discontinued operations of RMB2,138.7 million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To facilitate the comparison of our operating results and trends in 2017 and 2018, the financial results of our Kaola e-commerce platform in 2017 and 2018 are reflected in our consolidated financial statements as discontinued operations, to present such results on the same basis as they are presented for 2019.</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 sets forth the net revenues and cost of revenues by segment for the period presented as derived from our audited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980" w:type="dxa"/>
            <w:vAlign w:val="bottom"/>
          </w:tcPr>
          <w:p>
            <w:pPr>
              <w:jc w:val="right"/>
              <w:ind w:right="236"/>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80" w:type="dxa"/>
            <w:vAlign w:val="bottom"/>
          </w:tcPr>
          <w:p>
            <w:pPr>
              <w:jc w:val="right"/>
              <w:ind w:right="234"/>
              <w:spacing w:after="0" w:line="11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Online game services</w:t>
            </w:r>
          </w:p>
        </w:tc>
        <w:tc>
          <w:tcPr>
            <w:tcW w:w="980" w:type="dxa"/>
            <w:vAlign w:val="bottom"/>
          </w:tcPr>
          <w:p>
            <w:pPr>
              <w:jc w:val="right"/>
              <w:spacing w:after="0"/>
              <w:rPr>
                <w:sz w:val="20"/>
                <w:szCs w:val="20"/>
                <w:color w:val="auto"/>
              </w:rPr>
            </w:pPr>
            <w:r>
              <w:rPr>
                <w:rFonts w:ascii="Arial" w:cs="Arial" w:eastAsia="Arial" w:hAnsi="Arial"/>
                <w:sz w:val="18"/>
                <w:szCs w:val="18"/>
                <w:color w:val="auto"/>
              </w:rPr>
              <w:t>36,281,642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40,190,057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455,746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Innovative businesses and others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7,699,967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10,256,920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44,437,355</w:t>
            </w:r>
          </w:p>
        </w:tc>
        <w:tc>
          <w:tcPr>
            <w:tcW w:w="1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51,178,575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Online game services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(13,473,339)</w:t>
            </w: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(14,617,656)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(293,807)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(5,627,168)</w:t>
            </w:r>
          </w:p>
        </w:tc>
        <w:tc>
          <w:tcPr>
            <w:tcW w:w="980" w:type="dxa"/>
            <w:vAlign w:val="bottom"/>
          </w:tcPr>
          <w:p>
            <w:pPr>
              <w:jc w:val="right"/>
              <w:spacing w:after="0"/>
              <w:rPr>
                <w:sz w:val="20"/>
                <w:szCs w:val="20"/>
                <w:color w:val="auto"/>
              </w:rPr>
            </w:pPr>
            <w:r>
              <w:rPr>
                <w:rFonts w:ascii="Arial" w:cs="Arial" w:eastAsia="Arial" w:hAnsi="Arial"/>
                <w:sz w:val="18"/>
                <w:szCs w:val="18"/>
                <w:color w:val="auto"/>
              </w:rPr>
              <w:t>(8,699,637)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(19,394,314)</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(23,832,426)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2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Total net revenues increased by 15.2% to RMB51,178.6 million in 2018 from RMB44,437.4 million in 2017. Net revenues from online game services, Youdao and innovative businesses and others constituted 78.5%, 1.4% and 20.1%, respectively, of our total net revenues in 2018, compared with 81.6%, 1.0% and 17.4%, respectively, in 2017.</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 xml:space="preserve">Net revenues from online game services increased by 10.8% to RMB40,190.1 million in 2018 from RMB36,281.6 million in 2017. The increase was principally attributable to higher net revenues from our mobile games which totaled RMB28,536.9 million in 2018 compared to RMB25,678.6 million in 2017. The growth in net revenues from mobile games mainly resulted from mobile games such as </w:t>
      </w:r>
      <w:r>
        <w:rPr>
          <w:rFonts w:ascii="Arial" w:cs="Arial" w:eastAsia="Arial" w:hAnsi="Arial"/>
          <w:sz w:val="18"/>
          <w:szCs w:val="18"/>
          <w:i w:val="1"/>
          <w:iCs w:val="1"/>
          <w:color w:val="auto"/>
        </w:rPr>
        <w:t>Knives Out</w:t>
      </w:r>
      <w:r>
        <w:rPr>
          <w:rFonts w:ascii="Arial" w:cs="Arial" w:eastAsia="Arial" w:hAnsi="Arial"/>
          <w:sz w:val="18"/>
          <w:szCs w:val="18"/>
          <w:color w:val="auto"/>
        </w:rPr>
        <w:t xml:space="preserve">, which gained popularity over the course of 2018 and the newly released game </w:t>
      </w:r>
      <w:r>
        <w:rPr>
          <w:rFonts w:ascii="Arial" w:cs="Arial" w:eastAsia="Arial" w:hAnsi="Arial"/>
          <w:sz w:val="18"/>
          <w:szCs w:val="18"/>
          <w:i w:val="1"/>
          <w:iCs w:val="1"/>
          <w:color w:val="auto"/>
        </w:rPr>
        <w:t>All About Jianghu</w:t>
      </w:r>
      <w:r>
        <w:rPr>
          <w:rFonts w:ascii="Arial" w:cs="Arial" w:eastAsia="Arial" w:hAnsi="Arial"/>
          <w:sz w:val="18"/>
          <w:szCs w:val="18"/>
          <w:color w:val="auto"/>
        </w:rPr>
        <w:t xml:space="preserve">. Our PC game, </w:t>
      </w:r>
      <w:r>
        <w:rPr>
          <w:rFonts w:ascii="Arial" w:cs="Arial" w:eastAsia="Arial" w:hAnsi="Arial"/>
          <w:sz w:val="18"/>
          <w:szCs w:val="18"/>
          <w:i w:val="1"/>
          <w:iCs w:val="1"/>
          <w:color w:val="auto"/>
        </w:rPr>
        <w:t>Justice</w:t>
      </w:r>
      <w:r>
        <w:rPr>
          <w:rFonts w:ascii="Arial" w:cs="Arial" w:eastAsia="Arial" w:hAnsi="Arial"/>
          <w:sz w:val="18"/>
          <w:szCs w:val="18"/>
          <w:color w:val="auto"/>
        </w:rPr>
        <w:t>, which was released in June 2018, also achieved a high revenue performance in 2018. Net revenues from mobile games and PC</w:t>
      </w:r>
      <w:r>
        <w:rPr>
          <w:rFonts w:ascii="Arial" w:cs="Arial" w:eastAsia="Arial" w:hAnsi="Arial"/>
          <w:sz w:val="18"/>
          <w:szCs w:val="18"/>
          <w:i w:val="1"/>
          <w:iCs w:val="1"/>
          <w:color w:val="auto"/>
        </w:rPr>
        <w:t xml:space="preserve"> </w:t>
      </w:r>
      <w:r>
        <w:rPr>
          <w:rFonts w:ascii="Arial" w:cs="Arial" w:eastAsia="Arial" w:hAnsi="Arial"/>
          <w:sz w:val="18"/>
          <w:szCs w:val="18"/>
          <w:color w:val="auto"/>
        </w:rPr>
        <w:t>games represented 71.0% and 29.0% of total net revenues from online game services in 2018, respectively, compared to 70.8% and 29.2% in 2017, respectively.</w:t>
      </w:r>
    </w:p>
    <w:p>
      <w:pPr>
        <w:spacing w:after="0" w:line="19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Net revenues from our in-house developed games increased by 12.3% to RMB36,363.6 million in 2018 from RMB32,371.4 million in 2017 as a result of the expansion in our offering of in-house developed games, in particular our mobile games. Net revenues from licensed games decreased slightly by 2.1% to RMB3,826.5 million in 2018 from RMB3,910.2 million in 2017, which was mainly attributable to the decrease in net revenues from games licensed from Blizzard. Net revenues generated from licensed games represented 7.5% and 8.8% of our total net revenues in 2018 and 2017,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revenues from our Youdao segment increased by 60.5% to RMB731.6 million in 2018 from RMB455.7 million in 2017. The increase was mainly attributable to increased revenues from online courses, which was driven by a combination factors, including an increase in the number of paid student enrollments for certain online courses, a relatively higher level of gross billings per paid student enrollment, as well as a higher tuition fees for certain popular courses.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Net revenues from the innovative businesses and others segment increased by 33.2% to RMB10,256.9 million in 2018 from RMB7,700.0 million in 2017. This increase mainly resulted from increases in revenue contribution by our NetEase Cloud Music streaming and Yanxuan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cost of revenues increased by 22.9% to RMB23,832.4 million in 2018 from RMB19,394.3 million in 2017. The year-over-year increase was mainly due to an increase in both the cost of revenue sharing with distribution channel providers, game developers and other third parties and content costs. In 2018, costs relating to online game services, Youdao and innovative businesses and others represented 61.3%, 2.2% and 36.5% of total cost of revenues, respectively, as compared with 69.5%, 1.5% and 29.0% of the total cost of revenues, respectively, in 2017.</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Online Game Services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revenues from our online game services increased by 8.5% to RMB14,617.7 million in 2018 from RMB13,473.3 million in 2017. The increase in cost of revenues in 2018 was primarily due to an increase in revenue sharing costs with distribution channel providers, game developers and other third parties related to mobile games, which was primarily due to the launch of various in-house developed and licensed mobile games in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Youdao</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Cost of revenues from Youdao increased by 75.3% to RMB515.1 million in 2018 from RMB293.8 million in 2017, which was primarily attributable to increased revenue sharing costs with key instructors and payroll related expenses to support the expansion of Youdao’s online course offerings.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Innovative Businesses and Others</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Cost of revenues from our innovative businesses and others segment increased by 54.6% to RMB8,699.6 million in 2018 from RMB5,627.2 million in 2017. The increase in cost of revenues in 2018 was primarily due to increased content costs related to our NetEase Cloud Music and advertising businesses and increased costs of merchandise sold, which were in line with the increase revenue of our Yanxuan e-commerce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gross profit increased by 9.2% to RMB27,346.1 million in 2018 from RMB25,043.0 million in 2017.</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The following table sets forth the consolidated gross profits and gross profit margins of our business activities for the periods indicated as derived from our audited financial statements. The gross profit margins in 2017 and 2018 were calculated by dividing our gross profits over our net revenues for the corresponding type of services.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76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9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2120" w:type="dxa"/>
            <w:vAlign w:val="bottom"/>
            <w:gridSpan w:val="3"/>
          </w:tcPr>
          <w:p>
            <w:pPr>
              <w:jc w:val="right"/>
              <w:ind w:right="536"/>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Online game services</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22,808,303</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25,572,401</w:t>
            </w:r>
          </w:p>
        </w:tc>
        <w:tc>
          <w:tcPr>
            <w:tcW w:w="16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216,465</w:t>
            </w:r>
          </w:p>
        </w:tc>
        <w:tc>
          <w:tcPr>
            <w:tcW w:w="160" w:type="dxa"/>
            <w:vAlign w:val="bottom"/>
            <w:shd w:val="clear" w:color="auto" w:fill="CCEEFF"/>
          </w:tcPr>
          <w:p>
            <w:pPr>
              <w:spacing w:after="0"/>
              <w:rPr>
                <w:sz w:val="18"/>
                <w:szCs w:val="18"/>
                <w:color w:val="auto"/>
              </w:rPr>
            </w:pPr>
          </w:p>
        </w:tc>
      </w:tr>
      <w:tr>
        <w:trPr>
          <w:trHeight w:val="216"/>
        </w:trPr>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Innovative businesses and others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2,072,799</w:t>
            </w: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1,557,283</w:t>
            </w:r>
          </w:p>
        </w:tc>
        <w:tc>
          <w:tcPr>
            <w:tcW w:w="160" w:type="dxa"/>
            <w:vAlign w:val="bottom"/>
            <w:tcBorders>
              <w:bottom w:val="single" w:sz="8" w:color="CCEEFF"/>
            </w:tcBorders>
          </w:tcPr>
          <w:p>
            <w:pPr>
              <w:spacing w:after="0"/>
              <w:rPr>
                <w:sz w:val="18"/>
                <w:szCs w:val="18"/>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25,043,041</w:t>
            </w:r>
          </w:p>
        </w:tc>
        <w:tc>
          <w:tcPr>
            <w:tcW w:w="2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27,346,149</w:t>
            </w:r>
          </w:p>
        </w:tc>
        <w:tc>
          <w:tcPr>
            <w:tcW w:w="160" w:type="dxa"/>
            <w:vAlign w:val="bottom"/>
            <w:shd w:val="clear" w:color="auto" w:fill="CCEEFF"/>
          </w:tcPr>
          <w:p>
            <w:pPr>
              <w:spacing w:after="0"/>
              <w:rPr>
                <w:sz w:val="18"/>
                <w:szCs w:val="18"/>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margin:</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Online game services</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62.9 %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63.6 %</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35.5 %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29.6 %</w:t>
            </w: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26.9 %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 margin</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increase of gross profit margin for online game services was mainly due to the increased revenues contribution from our in-house developed PC games, which have relatively higher gross profit margin, as a percentage of our total online game revenues. The decrease of gross profit margin for Youdao was mainly due to increased revenues from learning services and products which had a lower margin than online marketing services. The decrease in gross profit margin for innovative businesses and others was mainly due to increased content and information sourcing costs related to our music and advertising businesses.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Total operating expenses increased by 44.2% to RMB17,368.8 million in 2018 from RMB12,048.1 million in 2017 as a result of an increase in selling and marketing expenses, general and administrative expenses and research and development expenses.The following table sets forth our operating expenses for the periods indicated as derived from our audited financial statements.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42"/>
        </w:trPr>
        <w:tc>
          <w:tcPr>
            <w:tcW w:w="774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7740" w:type="dxa"/>
            <w:vAlign w:val="bottom"/>
          </w:tcPr>
          <w:p>
            <w:pPr>
              <w:spacing w:after="0"/>
              <w:rPr>
                <w:sz w:val="12"/>
                <w:szCs w:val="12"/>
                <w:color w:val="auto"/>
              </w:rPr>
            </w:pPr>
          </w:p>
        </w:tc>
        <w:tc>
          <w:tcPr>
            <w:tcW w:w="100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RMB</w:t>
            </w:r>
          </w:p>
        </w:tc>
      </w:tr>
      <w:tr>
        <w:trPr>
          <w:trHeight w:val="142"/>
        </w:trPr>
        <w:tc>
          <w:tcPr>
            <w:tcW w:w="7740" w:type="dxa"/>
            <w:vAlign w:val="bottom"/>
          </w:tcPr>
          <w:p>
            <w:pPr>
              <w:spacing w:after="0"/>
              <w:rPr>
                <w:sz w:val="12"/>
                <w:szCs w:val="12"/>
                <w:color w:val="auto"/>
              </w:rPr>
            </w:pPr>
          </w:p>
        </w:tc>
        <w:tc>
          <w:tcPr>
            <w:tcW w:w="2180" w:type="dxa"/>
            <w:vAlign w:val="bottom"/>
            <w:gridSpan w:val="3"/>
          </w:tcPr>
          <w:p>
            <w:pPr>
              <w:jc w:val="right"/>
              <w:ind w:right="576"/>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7740" w:type="dxa"/>
            <w:vAlign w:val="bottom"/>
          </w:tcPr>
          <w:p>
            <w:pPr>
              <w:ind w:left="120"/>
              <w:spacing w:after="0"/>
              <w:rPr>
                <w:sz w:val="20"/>
                <w:szCs w:val="20"/>
                <w:color w:val="auto"/>
              </w:rPr>
            </w:pPr>
            <w:r>
              <w:rPr>
                <w:rFonts w:ascii="Arial" w:cs="Arial" w:eastAsia="Arial" w:hAnsi="Arial"/>
                <w:sz w:val="18"/>
                <w:szCs w:val="18"/>
                <w:color w:val="auto"/>
              </w:rPr>
              <w:t>Selling and marketing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(5,504,613)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(6,911,710)</w:t>
            </w:r>
          </w:p>
        </w:tc>
      </w:tr>
      <w:tr>
        <w:trPr>
          <w:trHeight w:val="216"/>
        </w:trPr>
        <w:tc>
          <w:tcPr>
            <w:tcW w:w="7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(2,381,842)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(3,078,635)</w:t>
            </w:r>
          </w:p>
        </w:tc>
      </w:tr>
      <w:tr>
        <w:trPr>
          <w:trHeight w:val="216"/>
        </w:trPr>
        <w:tc>
          <w:tcPr>
            <w:tcW w:w="7740" w:type="dxa"/>
            <w:vAlign w:val="bottom"/>
          </w:tcPr>
          <w:p>
            <w:pPr>
              <w:ind w:left="120"/>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(4,161,673)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(7,378,460)</w:t>
            </w:r>
          </w:p>
        </w:tc>
      </w:tr>
      <w:tr>
        <w:trPr>
          <w:trHeight w:val="216"/>
        </w:trPr>
        <w:tc>
          <w:tcPr>
            <w:tcW w:w="7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(12,048,128)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(17,368,805)</w:t>
            </w:r>
          </w:p>
        </w:tc>
      </w:tr>
    </w:tbl>
    <w:p>
      <w:pPr>
        <w:spacing w:after="0" w:line="202" w:lineRule="exact"/>
        <w:rPr>
          <w:sz w:val="20"/>
          <w:szCs w:val="20"/>
          <w:color w:val="auto"/>
        </w:rPr>
      </w:pPr>
    </w:p>
    <w:p>
      <w:pPr>
        <w:ind w:right="480" w:firstLine="648"/>
        <w:spacing w:after="0" w:line="279" w:lineRule="auto"/>
        <w:rPr>
          <w:sz w:val="20"/>
          <w:szCs w:val="20"/>
          <w:color w:val="auto"/>
        </w:rPr>
      </w:pPr>
      <w:r>
        <w:rPr>
          <w:rFonts w:ascii="Arial" w:cs="Arial" w:eastAsia="Arial" w:hAnsi="Arial"/>
          <w:sz w:val="17"/>
          <w:szCs w:val="17"/>
          <w:color w:val="auto"/>
        </w:rPr>
        <w:t>Selling and marketing expenses increased by 25.6% to RMB6,911.7 million in 2018 from RMB5,504.6 million in 2017, primarily due to (i) the increased marketing spending on our various online games, Youdao, as well as media and outdoor branding promotion for our innovative businesses and others, and (ii) an increase in staff-related costs of our sales team, primarily driven by increased headcount and higher compensation levels and performance-related bonus accruals.</w:t>
      </w:r>
    </w:p>
    <w:p>
      <w:pPr>
        <w:spacing w:after="0" w:line="17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General and administrative expenses increased by 29.3% to RMB3,078.6 million in 2018 from RMB2,381.8 million in 2017, primarily due to an increase in staff-related costs driven by increased headcount and higher compensation levels.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firstLine="648"/>
        <w:spacing w:after="0" w:line="296" w:lineRule="auto"/>
        <w:rPr>
          <w:sz w:val="20"/>
          <w:szCs w:val="20"/>
          <w:color w:val="auto"/>
        </w:rPr>
      </w:pPr>
      <w:r>
        <w:rPr>
          <w:rFonts w:ascii="Arial" w:cs="Arial" w:eastAsia="Arial" w:hAnsi="Arial"/>
          <w:sz w:val="16"/>
          <w:szCs w:val="16"/>
          <w:color w:val="auto"/>
        </w:rPr>
        <w:t>Research and development expenses increased by 77.3% to RMB7,378.5 million in 2018 from RMB4,161.7 million in 2017, primarily due to (i) an increase in staff-related costs mainly as a result of increased headcount for our online game services and innovative businesses and others and higher salaries, bonuses and other benefits paid to our research and development teams during 2018, including share-based compensation, (ii) an increase in technology costs mainly for game content design and (iii) an increase in other miscellaneous cost such as depreciation and amortization costs, rental and utilities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sets forth our other income/(expenses) for the periods indicated as derived from our audited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2018</w:t>
            </w:r>
          </w:p>
        </w:tc>
      </w:tr>
      <w:tr>
        <w:trPr>
          <w:trHeight w:val="142"/>
        </w:trPr>
        <w:tc>
          <w:tcPr>
            <w:tcW w:w="7540" w:type="dxa"/>
            <w:vAlign w:val="bottom"/>
          </w:tcPr>
          <w:p>
            <w:pPr>
              <w:spacing w:after="0"/>
              <w:rPr>
                <w:sz w:val="12"/>
                <w:szCs w:val="12"/>
                <w:color w:val="auto"/>
              </w:rPr>
            </w:pPr>
          </w:p>
        </w:tc>
        <w:tc>
          <w:tcPr>
            <w:tcW w:w="10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RMB</w:t>
            </w:r>
          </w:p>
        </w:tc>
      </w:tr>
      <w:tr>
        <w:trPr>
          <w:trHeight w:val="142"/>
        </w:trPr>
        <w:tc>
          <w:tcPr>
            <w:tcW w:w="7540" w:type="dxa"/>
            <w:vAlign w:val="bottom"/>
          </w:tcPr>
          <w:p>
            <w:pPr>
              <w:spacing w:after="0"/>
              <w:rPr>
                <w:sz w:val="12"/>
                <w:szCs w:val="12"/>
                <w:color w:val="auto"/>
              </w:rPr>
            </w:pPr>
          </w:p>
        </w:tc>
        <w:tc>
          <w:tcPr>
            <w:tcW w:w="1640" w:type="dxa"/>
            <w:vAlign w:val="bottom"/>
            <w:gridSpan w:val="3"/>
          </w:tcPr>
          <w:p>
            <w:pPr>
              <w:jc w:val="center"/>
              <w:ind w:left="659"/>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740" w:type="dxa"/>
            <w:vAlign w:val="bottom"/>
          </w:tcPr>
          <w:p>
            <w:pPr>
              <w:spacing w:after="0"/>
              <w:rPr>
                <w:sz w:val="12"/>
                <w:szCs w:val="12"/>
                <w:color w:val="auto"/>
              </w:rPr>
            </w:pPr>
          </w:p>
        </w:tc>
      </w:tr>
      <w:tr>
        <w:trPr>
          <w:trHeight w:val="216"/>
        </w:trPr>
        <w:tc>
          <w:tcPr>
            <w:tcW w:w="7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income/(expenses)</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Investment income/(losses), net</w:t>
            </w:r>
          </w:p>
        </w:tc>
        <w:tc>
          <w:tcPr>
            <w:tcW w:w="1060" w:type="dxa"/>
            <w:vAlign w:val="bottom"/>
          </w:tcPr>
          <w:p>
            <w:pPr>
              <w:jc w:val="right"/>
              <w:spacing w:after="0"/>
              <w:rPr>
                <w:sz w:val="20"/>
                <w:szCs w:val="20"/>
                <w:color w:val="auto"/>
              </w:rPr>
            </w:pPr>
            <w:r>
              <w:rPr>
                <w:rFonts w:ascii="Arial" w:cs="Arial" w:eastAsia="Arial" w:hAnsi="Arial"/>
                <w:sz w:val="18"/>
                <w:szCs w:val="18"/>
                <w:color w:val="auto"/>
              </w:rPr>
              <w:t>362,113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(22,383)</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 net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666,616</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586,671</w:t>
            </w:r>
          </w:p>
        </w:tc>
      </w:tr>
      <w:tr>
        <w:trPr>
          <w:trHeight w:val="216"/>
        </w:trPr>
        <w:tc>
          <w:tcPr>
            <w:tcW w:w="7540" w:type="dxa"/>
            <w:vAlign w:val="bottom"/>
          </w:tcPr>
          <w:p>
            <w:pPr>
              <w:ind w:left="340"/>
              <w:spacing w:after="0"/>
              <w:rPr>
                <w:sz w:val="20"/>
                <w:szCs w:val="20"/>
                <w:color w:val="auto"/>
              </w:rPr>
            </w:pPr>
            <w:r>
              <w:rPr>
                <w:rFonts w:ascii="Arial" w:cs="Arial" w:eastAsia="Arial" w:hAnsi="Arial"/>
                <w:sz w:val="18"/>
                <w:szCs w:val="18"/>
                <w:color w:val="auto"/>
              </w:rPr>
              <w:t>Exchange (losses) / gains</w:t>
            </w:r>
          </w:p>
        </w:tc>
        <w:tc>
          <w:tcPr>
            <w:tcW w:w="1060" w:type="dxa"/>
            <w:vAlign w:val="bottom"/>
          </w:tcPr>
          <w:p>
            <w:pPr>
              <w:jc w:val="right"/>
              <w:spacing w:after="0"/>
              <w:rPr>
                <w:sz w:val="20"/>
                <w:szCs w:val="20"/>
                <w:color w:val="auto"/>
              </w:rPr>
            </w:pPr>
            <w:r>
              <w:rPr>
                <w:rFonts w:ascii="Arial" w:cs="Arial" w:eastAsia="Arial" w:hAnsi="Arial"/>
                <w:sz w:val="18"/>
                <w:szCs w:val="18"/>
                <w:color w:val="auto"/>
              </w:rPr>
              <w:t>(455,948)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(51,799)</w:t>
            </w:r>
          </w:p>
        </w:tc>
      </w:tr>
      <w:tr>
        <w:trPr>
          <w:trHeight w:val="216"/>
        </w:trPr>
        <w:tc>
          <w:tcPr>
            <w:tcW w:w="7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271,885</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586,916</w:t>
            </w: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income/(expenses) in 2018 mainly consisted of investment income related to short-term investments, interest income, foreign exchange gain and government incentives, offset in part by foreign exchange losses, impairment provisions related to certain equity investments, net investment losses in equity method investees and fair value change related to our equity investments with readily determinable fair value and other financial instruments.</w:t>
      </w:r>
    </w:p>
    <w:p>
      <w:pPr>
        <w:spacing w:after="0" w:line="18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Investment loss was RMB22.4 million in 2018 compared to investment income of RMB362.1 million in 2017, consisting primarily of (i) investment income related to short-term investments of RMB463.5 million in 2018, compared to RMB389.5 million in 2017, and (ii) cash dividend of RMB17.1 million from equity investments in 2018, compared to RMB29.6 million in 2017, which was offset in part by (i) impairment provisions related to certain investments and a net investment loss in equity method investees totaling RMB258.0 million in 2018, compared to RMB70.7 million in 2017, and (ii) a fair value change of RMB248.2 million related to the equity investments with readily determinable fair value and other financial instruments in 2018 compared to zero in 2017.</w:t>
      </w:r>
    </w:p>
    <w:p>
      <w:pPr>
        <w:spacing w:after="0" w:line="164"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Interest income decreased to RMB586.7 million in 2018 from RMB666.6 million in 2017, primarily due to a decrease of RMB3.4 billion in our net cash balance, which includes total cash and cash equivalents, time deposits and restricted cash balance minus short-term loans. We incurred interest expense of RMB315.9 million in 2018 related to our short-term loans.</w:t>
      </w:r>
    </w:p>
    <w:p>
      <w:pPr>
        <w:spacing w:after="0" w:line="16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net increased to RMB586.9 million in 2018 from RMB271.9 million in 2017. We received and recognized unconditional government incentives of approximately RMB316.7 million in 2018, compared to RMB242.8 million in 2017.</w:t>
      </w:r>
    </w:p>
    <w:p>
      <w:pPr>
        <w:spacing w:after="0" w:line="170"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We also incurred net foreign exchange losses of RMB51.8 million in 2018, compared to net foreign exchange losses of RMB455.9 million in 2017, both of which are primarily due to the translation gains and losses arising from our U.S. dollar-denominated bank deposit and short-term loan balances as the exchange rate of the U.S. dollar against the RMB fluctuated over these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Income tax increased to RMB2,460.7 million in 2018 from RMB2,156.0 million in 2017. Our effective tax rate in 2018 was 22.2% compared with 15.6% in 2017. The change in the effective tax rate was mainly due to the fact that certain of our subsidiaries experienced higher operating losses in 2018.</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Net income attributable to our shareholders in 2018 comprised net income from our continuing operations attributable to our shareholders of RMB8,291.1 million and net loss from discontinued operations of RMB2,138.7 million, compared to net income from our continuing operation of RMB11,542.4 million and net loss from discontinued operations of RMB834.5 million in 2017.</w:t>
      </w:r>
    </w:p>
    <w:p>
      <w:pPr>
        <w:spacing w:after="0" w:line="14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To date, we have financed our operations primarily through operating cash flows and existing capital resources. As of December 31, 2019, we had RMB3,246.4 million (US$466.3 million) in cash and cash equivalents, RMB55,847.1 million (US$8,021.9 million) in time deposits and RMB15,312.6 million (US$2,199.5 million) in short-term investments. Net cash provided by continuing operating activities was RMB16,911.0 million (US$2,429.1 million) in 2019. We had short-term borrowings of RMB16,828.2 million (US$2,417.2 million) as of December 31, 2019. On August 9, 2018, we entered into a three-year US$500.0 million revolving loan facility agreement with a group of four arrangers. The facility was priced at 95 basis points over LIBOR and has a commitment fee of</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0.20% on the undrawn portion. As of December 31, 2019, we had an undrawn balance of US$300.0 million under this credit facility. We also entered into several uncommitted loan credit facility agreements provided by certain financial institution. As at December 31, 2019, US$1,015.7 million of such credit facilities has not been utilized.</w:t>
      </w:r>
    </w:p>
    <w:p>
      <w:pPr>
        <w:spacing w:after="0" w:line="1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We believe that our current levels of cash and cash equivalents, cash flows from operations and short-term investments will be sufficient to meet our anticipated cash needs for at least the next 12 months. However, we may need additional cash resources if we experience changed business conditions or other developments. We may also need additional cash resources if we find and wish to pursue opportunities for investment, acquisition, strategic cooperation or other similar action. If we determine that our cash requirements exceed our amounts of cash and cash equivalents on hand, we may seek to issue debt or equity securities or obtain a credit facility. Any issuance of equity securities could cause dilution for our shareholders. Any incurrence of indebtedness could increase our debt service obligations and cause us to be subject to restrictive operating and finance covenants. It is possible that, when we need additional cash resources, financing will only be available to us in amounts or on terms that would not be acceptable to us or financing will not be available at all.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following table sets forth summary consolidated cash flow data for the periods indicated as derived from our audited financial statements. We sold our Kaola e-commerce business in September 2019, and Kaola’s historical financial results are reflected in our audited consolidated financial statements as discontinued operations accordingly. Unless otherwise stated, cash flows discussed herein refer to our continuing activities only.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1"/>
              </w:rPr>
              <w:t>For the year ended December 31,</w:t>
            </w: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9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9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US$</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4"/>
          </w:tcPr>
          <w:p>
            <w:pPr>
              <w:jc w:val="center"/>
              <w:ind w:right="2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14,864,452</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14,659,843</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16,910,971</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2,429,110</w:t>
            </w:r>
          </w:p>
        </w:tc>
        <w:tc>
          <w:tcPr>
            <w:tcW w:w="20" w:type="dxa"/>
            <w:vAlign w:val="bottom"/>
          </w:tcPr>
          <w:p>
            <w:pPr>
              <w:spacing w:after="0"/>
              <w:rPr>
                <w:sz w:val="18"/>
                <w:szCs w:val="18"/>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continuing investing activities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(15,956,509)</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(14,999,696)</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(21,304,489)</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(3,060,197)</w:t>
            </w:r>
          </w:p>
        </w:tc>
        <w:tc>
          <w:tcPr>
            <w:tcW w:w="2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(1,302,728)</w:t>
            </w:r>
          </w:p>
        </w:tc>
        <w:tc>
          <w:tcPr>
            <w:tcW w:w="14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1,587,419</w:t>
            </w:r>
          </w:p>
        </w:tc>
        <w:tc>
          <w:tcPr>
            <w:tcW w:w="1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1,082,525</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155,494</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Operating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Cash provided by continuing operating activities was RMB16,911.0 million (US$2,429.1 million), RMB14,659.8 million and RMB14,864.5 million for the years ended December 31, 2019, 2018 and 2017,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the year ended December 31, 2019, cash provided by continuing operating activities consisted primarily of (i) our net income from continuing operations of RMB13,468.6 million (US$1,934.6 million), (ii) depreciation and amortization charges of RMB2,613.8 million (US$375.4 million), (iii) share-based compensation cost of RMB2,404.1 million (US$345.3 million), (iv) an increase in deferred revenue of RMB883.7 million (US$126.9 million), (v) a decrease in inventories of RMB415.1 million (US$59.6 million), and (vi) impairment loss for investment of RMB177.6 million (US$25.5 million), partially offset by (A) an increase in accounts receivable, prepayments and other current assets of RMB1,499.9 million (US$215.4 million), (B) fair value change of equity security investments and other financial instruments of RMB751.7 million (US$108.0 million), and (C) fair value changes of short-term investments of RMB657.6 million (US$94.5 million).</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For the year ended December 31, 2018, cash provided by continuing operating activities consisted primarily of (i) our net income from continuing operations of RMB8,616.1 million, (ii) share-based compensation cost of RMB2,471.7 million, (iii) depreciation and amortization charges of RMB2,060.1 million, (iv) an increase in deferred revenue of RMB1,757.9 million, (v) an increase in accounts payable and other liabilities of RMB641.8 million, including content fees, bandwidth cost, bonuses, marketing expenses and sales of game cards, (vi) an increase in taxes payable of RMB685.0 million, (vii) fair value change of equity security investments and other financial instruments of RMB248.2 million, and (viii) impairment loss for investment of RMB159.7 million, partially offset by</w:t>
      </w:r>
    </w:p>
    <w:p>
      <w:pPr>
        <w:spacing w:after="0" w:line="4" w:lineRule="exact"/>
        <w:rPr>
          <w:sz w:val="20"/>
          <w:szCs w:val="20"/>
          <w:color w:val="auto"/>
        </w:rPr>
      </w:pPr>
    </w:p>
    <w:p>
      <w:pPr>
        <w:ind w:firstLine="8"/>
        <w:spacing w:after="0" w:line="323" w:lineRule="auto"/>
        <w:tabs>
          <w:tab w:leader="none" w:pos="2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 increase in accounts receivable, prepayments and other current assets of RMB1,331.7 million, (B) fair value changes of short-term investments of RMB463.5 million, and (C) gains on disposal of long-term investments, business and subsidiaries of RMB213.3 million.</w:t>
      </w:r>
    </w:p>
    <w:p>
      <w:pPr>
        <w:spacing w:after="0" w:line="138"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color w:val="auto"/>
        </w:rPr>
        <w:t>For the year ended December 31, 2017, cash provided by continuing operating activities consisted primarily of (i) our net income from continuing operations of RMB11,683.6 million, (ii) an increase in accounts payable and other liabilities of RMB2,167.6 million, including content fees, bandwidth cost, bonuses, marketing expenses and sales of game cards, (iii) share-based compensation cost of RMB1,984.9 million, (iv) depreciation and amortization charges of RMB791.8 million, (v) a decrease in accounts receivable, prepayments and other current assets of RMB798.0 million, (vi) unrealized exchange losses of RMB440.5 million, and (vii) allowance for provision for doubtful debts of RMB60.8 million, partially offset by (A) an increase in inventories of RMB754.9 million, (B) a decrease in deferred revenue of RMB1,375.8 million, (C) deferred income taxes of RMB438.3 million, (D) fair value changes of short-term investments of RMB389.8 million, and (E) a decrease in taxes payable of RMB170.1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Investing Activities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Cash used in continuing investing activities was RMB21,304.5 million (US$3,060.2 million), RMB14,999.7 million and RMB15,956.5 million for the years ended December 31, 2019, 2018 and 2017, respectively.</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the year ended December 31, 2019, cash used in continuing investing activities mainly consisted of (i) placement/rollover of matured time deposits of RMB77,083.4 million (US$11,072.3 million), (ii) purchase of short-term investments of RMB22,370.0 million (US$3,213.2 million), (iii) purchase of intangible assets and licensed copyrights of video content of RMB2,119.3 million (US$304.4 million), (iv) purchase of property, equipment and software of RMB1,209.5 million (US$173.7 million), (v) acquisitions of other long-term investments of RMB1,111.5 million (US$159.7 million), (vi) net change in short-term investments with terms of three months or less of RMB1,023.2 million (US$147.0 million), and (vii) investment in equity investees of RMB450.7 million (US$64.7 million), partially offset by (A) proceeds from maturity of time deposits of RMB54,381.6 million (US$7,811.4 million), (B) proceeds from maturity of short-term investments of RMB20,225.3 million (US$2,905.2 million), (C) proceeds received from discontinued operations of RMB9,031.1 million (US$1,297.2 million) and (D) proceeds from disposals of investment in equity method investees and other equity investments of RMB406.7 million (US$58.4 million).</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For the year ended December 31, 2018, cash used in continuing investing activities mainly consisted of (i) placement/rollover of matured time deposits of RMB41,553.4 million, (ii) purchase of short-term investments of RMB13,393.0 million, (iii) purchase of property, equipment, software and land use rights of RMB5,096.2 million, (iv) acquisitions of other long-term investments of RMB2,751.0 million, (v) amounts paid to discontinued operations of RMB1,889.6 million, (vi) purchase of intangible assets and licensed copyrights of video content of RMB1,741.2 million, (vii) net change in short-term investments with terms of three months or less of RMB1,172.3 million, and (viii) investment in equity investees of RMB272.5 million, partially offset by (A) proceeds from maturity of time deposits of RMB39,924.5 million, and (B) proceeds from maturity of short-term investments of RMB13,071.4 million.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 the year ended December 31, 2017, cash used in continuing investing activities mainly consisted of (i) placement/rollover of matured time deposits of RMB33,984.1 million, (ii) purchase of short-term investments of RMB12,491.0 million, (iii) amounts paid to discontinued operations of RMB3,296.4 million, (iv) purchase of property, equipment, software and land use rights of RMB1,661.0 million, (v) acquisitions of other long-term investments of RMB900.7 million, (vi) net change in short-term investments with terms of three months or less of RMB895.3 million, (vii) purchase of intangible assets and licensed copyrights of video content of RMB791.6 million, and (viii) investment in associated companies of RMB235.8 million, partially offset by (A) proceeds from maturity of time deposits of RMB22,429.6 million, (B) proceeds from maturity of short-term investments of RMB15,615.5 million, and (C) proceeds from disposal of equity investment of RMB350.4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For the years ended December 31, 2017, 2018 and 2019, cash provided by or used in financing activities was all from continuing operations. There were no financing activities from discontinued operations for these years.</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Cash provided by continuing financing activities was RMB1,082.5 million (US$155.5 million) and RMB1,587.4 million for the years ended December 31, 2019 and 2018, respectively, and cash used in continuing financing activities was RMB1,302.7 for the year ended December 31, 2017.</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For the year ended December 31, 2019, cash provided by continuing financing activities mainly resulted from (i) proceeds from issuance of redeemable noncontrolling shareholder interests and noncontrolling interests, net of issuance costs of RMB6,941.0 million (US$997.0 million) and (ii) net proceeds in short-term loan of RMB2,971.5 million (US$426.8 million), partially offset by dividends paid in the amount of RMB8,840.6 million (US$1,269.9 million).</w:t>
      </w:r>
    </w:p>
    <w:p>
      <w:pPr>
        <w:spacing w:after="0" w:line="187"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For the year ended December 31, 2018, cash provided by continuing financing activities mainly resulted from (i) net proceeds in short-term loan of RMB6,209.6 million and (ii) proceeds from issurance of redeemable noncontrolling shareholder interests, net of issuance cost of RMB5,294.2 million, partially offset by repurchase of shares of RMB7,516.7 million, dividends paid in the amount of RMB1,440.2 million, and repurchase of noncontrolling interest and redeemable noncontrolling interests of RMB975.0 million.</w:t>
      </w:r>
    </w:p>
    <w:p>
      <w:pPr>
        <w:spacing w:after="0" w:line="15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For the year ended December 31, 2017, cash used in continuing financing activities mainly resulted from dividends paid in the amount of RMB3,257.6 million and repurchase of shares of RMB2,061.6 million, partially offset by net proceeds of short-term bank loan of RMB3,105.0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Capital Resources</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managing our capital, we seek to maintain a reasonable amount of liquidity to support new business growth and maximize returns on our capital resources, while at the same time focusing on the preservation of capital and complying with applicable legal requirements. Our capital resources include primarily cash on hand, demand deposits and time deposits mainly placed with banks in Hong Kong and China and short-term investments. Although we consolidate the results of our subsidiaries and VIEs in our consolidated financial statements, we do not have direct access to the cash and cash equivalents or future earnings of our subsidiaries and VIEs. As of December 31, 2019, these subsidiaries and VIEs had RMB59.0 billion (US$8.5 billion) in cash and cash equivalents, demand deposits and short-term and long-term time deposits. Our cash and cash equivalents, demand deposits, time deposits and short-term investments held outside of China are mainly denominated in U.S. dollars, Renminbi and HK dollars.</w:t>
      </w:r>
    </w:p>
    <w:p>
      <w:pPr>
        <w:spacing w:after="0" w:line="16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fund any cash requirements we may have, we may need to rely on dividends and other distributions on equity paid by our subsidiaries. Since substantially all of our operations are conducted through our PRC subsidiaries and VIEs, our subsidiaries may need to rely on dividends, loans or advances made by another PRC subsidiary or VIE. Certain of these payments are subject to PRC taxes, including sales taxes, which effectively reduce the received amount. In addition, the PRC government could impose restrictions on such payments or change the tax rates applicable to such payments. In 2017, 2018 and 2019, we accrued RMB707.1 million, RMB679.4 million and RMB846.6 million (US$121.6 million) withholding tax liabilities, respectively, associated with our quarterly dividends and cash expected to be distributed from our PRC subsidiaries to companies in our corporate group outside of China for general corporate purposes. We repatriated a portion of these earnings and paid related withholding income tax in 2017, 2018 and 2019. For the foreseeable future, we intend to reinvest all remaining undistributed earnings as at December 31, 2019 in our PRC subsidiaries, and accordingly no other withholding tax is expected to be incurred.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As a result of these and other restrictions under PRC laws and regulations, our PRC subsidiaries and VIEs are restricted in their ability to transfer a portion of their net assets to us either in the form of dividends, loans or advances, which restricted portion amounted to approximately RMB14.1 billion, or 23% of our total consolidated net assets, as of December 31, 2019. In addition, if any of our PRC subsidiaries incurs debt on its own behalf in the future, the instruments governing the debt may restrict its ability to pay dividends or make other distributions to us.</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Furthermore, any transfer of funds from us to any of our PRC subsidiaries or VIEs, either as a shareholder loan or as an increase in registered capital, is subject to certain statutory limit requirements and registration or approval of the relevant PRC governmental authorities, including the relevant administration of foreign exchange and/or the relevant examining and approval authority. Therefore, it is difficult to change our capital expenditure plans once the relevant funds have been remitted from our company to our PRC subsidiaries or VIEs. These limitations on the free flow of funds between us and our PRC subsidiaries and VIEs could restrict our ability to act in response to changing market conditions and reallocate funds internally in a timely manner.</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additional information, see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 and Item 10D. “Exchange Controls.”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capital requirements relate primarily to financing:</w:t>
      </w:r>
    </w:p>
    <w:p>
      <w:pPr>
        <w:spacing w:after="0" w:line="225" w:lineRule="exact"/>
        <w:rPr>
          <w:sz w:val="20"/>
          <w:szCs w:val="20"/>
          <w:color w:val="auto"/>
        </w:rPr>
      </w:pPr>
    </w:p>
    <w:p>
      <w:pPr>
        <w:ind w:left="1000" w:right="540" w:hanging="317"/>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our working capital requirements, such as servers and bandwidth service fees, inventory purchase costs, content and copyrights purchase costs, staff costs, selling and marketing expenses and research and development costs; and</w:t>
      </w:r>
    </w:p>
    <w:p>
      <w:pPr>
        <w:spacing w:after="0" w:line="123" w:lineRule="exact"/>
        <w:rPr>
          <w:rFonts w:ascii="Arial" w:cs="Arial" w:eastAsia="Arial" w:hAnsi="Arial"/>
          <w:sz w:val="16"/>
          <w:szCs w:val="16"/>
          <w:color w:val="auto"/>
        </w:rPr>
      </w:pPr>
    </w:p>
    <w:p>
      <w:pPr>
        <w:ind w:left="1000" w:right="300" w:hanging="317"/>
        <w:spacing w:after="0" w:line="259"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costs incurred for the construction of our new office buildings and warehouses in Guangzhou, Hangzhou, Shanghai and Jiangxi in China, acquisition of new servers in connection with the operation of our in-house developed and licensed games, investment in the expansion packages of the aforementioned games, and upgrades of our online service infrastructure.</w:t>
      </w:r>
    </w:p>
    <w:p>
      <w:pPr>
        <w:spacing w:after="0" w:line="182" w:lineRule="exact"/>
        <w:rPr>
          <w:rFonts w:ascii="Arial" w:cs="Arial" w:eastAsia="Arial" w:hAnsi="Arial"/>
          <w:sz w:val="18"/>
          <w:szCs w:val="18"/>
          <w:color w:val="auto"/>
        </w:rPr>
      </w:pPr>
    </w:p>
    <w:p>
      <w:pPr>
        <w:ind w:left="680" w:hanging="672"/>
        <w:spacing w:after="0"/>
        <w:tabs>
          <w:tab w:leader="none" w:pos="6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believe that an integral part of our future success will depend on our ability to develop and enhance our services. Our product development efforts and strategies consist of incorporating new technologies from third parties as well as continuing to develop our own proprietary technology.</w:t>
      </w:r>
    </w:p>
    <w:p>
      <w:pPr>
        <w:spacing w:after="0" w:line="18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We have utilized and will continue to utilize the products and services of third parties to enhance our platform of technologies and services to provide competitive and diverse online game, education and other innovative services to our users. In addition, we plan to continue to expand our technologies, products and services and registered user base through diverse online community products and services developed internally, particularly with respect to our online game services. We will seek to continually improve and enhance our existing services to respond to rapidly evolving competitive and technological conditions. For the years 2019, 2018 and 2017, we spent RMB8,413.2 million (US$1,208.5 million), RMB7,378.5 million and RMB4,161.7 million, respectively, on research and development activities.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Other than as described elsewhere in this annual report, we are not aware of any trends, uncertainties, demands, commitments or events that are reasonably likely to have a material adverse effect on our revenue, income from continuing operations, profitability, liquidity or capital resources, or that would cause our reported financial information not necessarily to be indicative of future operation results or financial condition.</w:t>
      </w:r>
    </w:p>
    <w:p>
      <w:pPr>
        <w:spacing w:after="0" w:line="183"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do not have any outstanding derivative financial instruments, off-balance sheet guarantees, interest rate swap transactions or foreign currency forward contracts. We do not engage in trading activities involving non-exchange traded contracts.</w:t>
      </w:r>
    </w:p>
    <w:p>
      <w:pPr>
        <w:spacing w:after="0" w:line="142"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We have operating lease commitments, which are the lease commitments under the lease agreements for our corporate offices, warehouses and retail stores. We also have contractual obligations in respect of the construction of new office buildings and warehouse facilities in Guangzhou, Shanghai and Hangzhou, capital expenditures related to computer equipment and server and bandwidth service fee. In addition, we have contractual obligations in connection with the games licensed from Blizzard. The following sets forth our contractual obligations for server and bandwidth service fees, long-term payables, capital expenditures and office machine and other obligations related to content and services purchases, including the royalties and minimum marketing expenditure commitment for the games licensed to us by Blizzard, as of December 31,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Operating</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Server and</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Royalties and</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Office Machines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Bandwidth</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Expenditure for</w:t>
            </w:r>
          </w:p>
        </w:tc>
        <w:tc>
          <w:tcPr>
            <w:tcW w:w="11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Lease</w:t>
            </w: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Serve Fee</w:t>
            </w:r>
          </w:p>
        </w:tc>
        <w:tc>
          <w:tcPr>
            <w:tcW w:w="1040" w:type="dxa"/>
            <w:vAlign w:val="bottom"/>
            <w:gridSpan w:val="2"/>
            <w:vMerge w:val="continue"/>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Licensed Content</w:t>
            </w: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 Other</w:t>
            </w: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Commitments</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Commitments</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Commitments</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Commitments</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Commitments</w:t>
            </w: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467,344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2,057,962</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3,067,397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2021</w:t>
            </w:r>
          </w:p>
        </w:tc>
        <w:tc>
          <w:tcPr>
            <w:tcW w:w="860" w:type="dxa"/>
            <w:vAlign w:val="bottom"/>
          </w:tcPr>
          <w:p>
            <w:pPr>
              <w:jc w:val="right"/>
              <w:spacing w:after="0"/>
              <w:rPr>
                <w:sz w:val="20"/>
                <w:szCs w:val="20"/>
                <w:color w:val="auto"/>
              </w:rPr>
            </w:pPr>
            <w:r>
              <w:rPr>
                <w:rFonts w:ascii="Arial" w:cs="Arial" w:eastAsia="Arial" w:hAnsi="Arial"/>
                <w:sz w:val="18"/>
                <w:szCs w:val="18"/>
                <w:color w:val="auto"/>
              </w:rPr>
              <w:t>175,286</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368,206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578,011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2,166,368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29,304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3,317,175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1,707,765</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2,259,154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2023</w:t>
            </w:r>
          </w:p>
        </w:tc>
        <w:tc>
          <w:tcPr>
            <w:tcW w:w="860" w:type="dxa"/>
            <w:vAlign w:val="bottom"/>
          </w:tcPr>
          <w:p>
            <w:pPr>
              <w:jc w:val="right"/>
              <w:spacing w:after="0"/>
              <w:rPr>
                <w:sz w:val="20"/>
                <w:szCs w:val="20"/>
                <w:color w:val="auto"/>
              </w:rPr>
            </w:pPr>
            <w:r>
              <w:rPr>
                <w:rFonts w:ascii="Arial" w:cs="Arial" w:eastAsia="Arial" w:hAnsi="Arial"/>
                <w:sz w:val="18"/>
                <w:szCs w:val="18"/>
                <w:color w:val="auto"/>
              </w:rPr>
              <w:t>20,338</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77,616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209,284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1,311,465</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17,619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1,636,322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Beyond 2023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849,159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915,937</w:t>
            </w: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502,138</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927,876</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1,472,640</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8,092,719</w:t>
            </w:r>
          </w:p>
        </w:tc>
        <w:tc>
          <w:tcPr>
            <w:tcW w:w="1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200,712</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11,196,085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than the obligations set forth above, we do not have any long-term commitments.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exposure to market rate risk for changes in interest rates relates primarily to the interest income generated by excess cash invested in fixed-rate corporate bonds of well-known Chinese companies and financial products issued by commercial banks in China, as well as interest expenses payable on our short-term bank borrowings. All of our short-term bank borrowings as of December 31, 2019 were at fixed rates. Interest instruments carry a degree of interest rate risk. We have not been exposed nor do we anticipate being exposed to material risks due to changes in interest rates. However, our future net interest income may fall short of expectations due to changes in interest rates. Based on our interest instruments as of December 31, 2019, a 10% change in the interest rate would result in an increase or decrease of RMB82.2 million (US$11.8 million) of our total amount of net interest income or of RMB65.8 million (US$9.4 million) of our total amount of investment income from short-term investments in 2019.</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Currency Risk</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 significant majority of our revenues and expenses are denominated in Renminbi, but as noted above, a certain portion of our cash is kept in U.S. dollars, HK dollars and Euro. Although we believe that, in general, our exposure to foreign exchange risks should be limited, the value of our ADSs will be affected by the foreign exchange rate between U.S. dollars, HK dollars, Euro and Renminbi. For example, to the extent that we need to convert U.S. dollars, HK dollars or Euro into Renminbi for our operational needs and the Renminbi appreciates against the U.S. dollars, HK dollars or Euro at that time, our financial position and the price of our ADSs may be adversely affected. Conversely, if we decide to convert our Renminbi into U.S. dollars for the purpose of declaring dividends on our ADSs or otherwise and the U.S. dollar, HK dollars or Euro appreciates against the Renminbi, the U.S. dollar equivalent of our earnings from our subsidiaries and controlled entities in China would be reduced.</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conversion of Renminbi into foreign currencies, including U.S. dollars, is based on rates set by the PBOC. The PRC government allowed the Renminbi to appreciate by more than 20% against the U.S. dollar between July 2005 and July 2008. Between July 2008 and June 2010, this appreciation halted and the exchange rate between the Renminbi and the U.S. dollar remained within a narrow band. Since June 2010, Renminbi has fluctuated against the U.S. dollar, at certain times significantly and unpredictably. With the development of the foreign exchange market progressing towards interest rate liberalization and Renminbi internationalization and economic uncertainties in both China and the world,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translate our monetary assets and liabilities which are denominated in currencies other than Renminbi into Renminbi as of each accounting period end, in accordance with applicable accounting standards. As a result of this foreign currency translation, we reported net foreign exchange gain of RMB25.2 million (US$3.6 million) in 2019, compared to net foreign exchange losses of RMB51.8 million in 2018. To date, we have not entered into any hedging transactions in an effort to reduce our exposure to foreign currency exchange risk. While we may decide to enter into hedging transactions in the future, the effectiveness of these hedges may be limited and we may not be able to successfully hedge our exposure. Accordingly, we may incur economic losses in the future due to foreign exchange rate fluctuations, which could have a negative impact on our financial condition and results of operations.</w:t>
      </w:r>
    </w:p>
    <w:p>
      <w:pPr>
        <w:spacing w:after="0" w:line="16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As of December 31, 2019, we had U.S. dollar-denominated debt outstanding of US$2,178.0 million. If the U.S. dollar had appreciated/depreciated by 10% against the Renminbi, our interest payments on this debt in Renminbi terms would have increased/decreased by RMB35.7 million (US$5.1 million).</w:t>
      </w:r>
    </w:p>
    <w:p>
      <w:pPr>
        <w:spacing w:after="0" w:line="184"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As of December 31, 2019, we had U.S. dollar-denominated cash and cash equivalents and time deposits of US$4,609.5 million. If the U.S. dollar had appreciated/depreciated by 10% against the Renminbi, our U.S. dollar-denominated cash and cash equivalents and time deposits as of December 31, 2019 would have increased/decreased by RMB3,209.1million in Renminbi terms.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refer to Item 18 of Part III, “Financial Statements—Note 2(y)— Recently issued accounting pronouncements.”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225" w:lineRule="exact"/>
        <w:rPr>
          <w:sz w:val="20"/>
          <w:szCs w:val="20"/>
          <w:color w:val="auto"/>
        </w:rPr>
      </w:pPr>
    </w:p>
    <w:p>
      <w:pPr>
        <w:ind w:left="680" w:hanging="672"/>
        <w:spacing w:after="0"/>
        <w:tabs>
          <w:tab w:leader="none" w:pos="6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names of our directors and executive officers, their ages as of April 1, 2020 and the principal positions with NetEase held by them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Age</w:t>
            </w:r>
          </w:p>
        </w:tc>
        <w:tc>
          <w:tcPr>
            <w:tcW w:w="4880" w:type="dxa"/>
            <w:vAlign w:val="bottom"/>
          </w:tcPr>
          <w:p>
            <w:pPr>
              <w:ind w:left="22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Lei Ding</w:t>
            </w:r>
          </w:p>
        </w:tc>
        <w:tc>
          <w:tcPr>
            <w:tcW w:w="1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6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 and Chief Executive Officer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Charles Zhaoxuan Yang</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Alice Cheng </w:t>
            </w:r>
            <w:r>
              <w:rPr>
                <w:rFonts w:ascii="Arial" w:cs="Arial" w:eastAsia="Arial" w:hAnsi="Arial"/>
                <w:sz w:val="25"/>
                <w:szCs w:val="25"/>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Denny Lee</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Joseph Tong </w:t>
            </w:r>
            <w:r>
              <w:rPr>
                <w:rFonts w:ascii="Arial" w:cs="Arial" w:eastAsia="Arial" w:hAnsi="Arial"/>
                <w:sz w:val="25"/>
                <w:szCs w:val="25"/>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Lun Feng</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Independent Director</w:t>
            </w:r>
          </w:p>
        </w:tc>
      </w:tr>
      <w:tr>
        <w:trPr>
          <w:trHeight w:val="216"/>
        </w:trPr>
        <w:tc>
          <w:tcPr>
            <w:tcW w:w="30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Michael Leung </w:t>
            </w:r>
            <w:r>
              <w:rPr>
                <w:rFonts w:ascii="Arial" w:cs="Arial" w:eastAsia="Arial" w:hAnsi="Arial"/>
                <w:sz w:val="25"/>
                <w:szCs w:val="25"/>
                <w:color w:val="auto"/>
                <w:vertAlign w:val="superscript"/>
              </w:rPr>
              <w:t>(1)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66</w:t>
            </w:r>
          </w:p>
        </w:tc>
        <w:tc>
          <w:tcPr>
            <w:tcW w:w="16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Independent Director</w:t>
            </w: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Michael Tong</w:t>
            </w:r>
          </w:p>
        </w:tc>
        <w:tc>
          <w:tcPr>
            <w:tcW w:w="184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6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 Alice Cheng, Joseph Tong and Michael Leung are members of the audit, compensation and nominating committees.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William Lei Ding</w:t>
      </w:r>
      <w:r>
        <w:rPr>
          <w:rFonts w:ascii="Arial" w:cs="Arial" w:eastAsia="Arial" w:hAnsi="Arial"/>
          <w:sz w:val="18"/>
          <w:szCs w:val="18"/>
          <w:color w:val="auto"/>
        </w:rPr>
        <w:t>, our founder, has served as our director since July 1999 and as our Chief Executive Officer since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2005. From March 2001 until November 2005, Mr. Ding served as our Chief Architect, and, from June 2001 until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2001, he served as our Acting Chief Executive Officer and Acting Chief Operating Officer. From July 1999 until March 2001,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Mr. Ding served as Co-Chief Technology Officer, and from July 1999 until April 2000, he also served as our interim Chief Executive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Officer. Mr. Ding established Guangzhou NetEase and Shanghai EaseNet, our affiliates, in May 1997 and January 2008. Mr. Ding holds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Bachelor of Science degree in Communication Technology from the University of Electronic Science and Technology of China.</w:t>
      </w:r>
    </w:p>
    <w:p>
      <w:pPr>
        <w:spacing w:after="0" w:line="22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i w:val="1"/>
          <w:iCs w:val="1"/>
          <w:color w:val="auto"/>
        </w:rPr>
        <w:t xml:space="preserve">Charles Zhaoxuan Yang </w:t>
      </w:r>
      <w:r>
        <w:rPr>
          <w:rFonts w:ascii="Arial" w:cs="Arial" w:eastAsia="Arial" w:hAnsi="Arial"/>
          <w:sz w:val="17"/>
          <w:szCs w:val="17"/>
          <w:color w:val="auto"/>
        </w:rPr>
        <w:t>has served as our Chief Financial Officer since June 2017. Prior to joining us, Mr. Yang was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director of the China technology, media and telecommunications, and corporate finance team at J.P. Morgan Securities (Asia Pacific) Limited and based in Hong Kong for almost a decade. Mr. Yang currently serves as an independent director on the board of So-Young International Inc. (stock code: SY), a company listed on the Nasdaq Stock Exchange. Mr. Yang holds a master’s degree in Business Administration from the University of Hong Kong and a bachelor’s degree from Wesleyan University with majors in Economics and Mathematics. Mr. Yang is a Certified Public Accountant licensed in the State of Michigan.</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 xml:space="preserve">Alice Cheng </w:t>
      </w:r>
      <w:r>
        <w:rPr>
          <w:rFonts w:ascii="Arial" w:cs="Arial" w:eastAsia="Arial" w:hAnsi="Arial"/>
          <w:sz w:val="16"/>
          <w:szCs w:val="16"/>
          <w:color w:val="auto"/>
        </w:rPr>
        <w:t>has served as our director since June 2007. Ms. Cheng has been the Chief Financial Officer of BBK Electronics</w:t>
      </w:r>
      <w:r>
        <w:rPr>
          <w:rFonts w:ascii="Arial" w:cs="Arial" w:eastAsia="Arial" w:hAnsi="Arial"/>
          <w:sz w:val="16"/>
          <w:szCs w:val="16"/>
          <w:i w:val="1"/>
          <w:iCs w:val="1"/>
          <w:color w:val="auto"/>
        </w:rPr>
        <w:t xml:space="preserve"> </w:t>
      </w:r>
      <w:r>
        <w:rPr>
          <w:rFonts w:ascii="Arial" w:cs="Arial" w:eastAsia="Arial" w:hAnsi="Arial"/>
          <w:sz w:val="16"/>
          <w:szCs w:val="16"/>
          <w:color w:val="auto"/>
        </w:rPr>
        <w:t>Corp., Ltd., a PRC-based manufacturer of audio-visual equipment, since May 2005. From October 2010 to April 2013, Ms. Cheng served as a supervisor of Wistron Information Technology Corporation in Taiwan, an information technology company with operations in Taiwan, China and Japan. From January 2002 to April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Masters of Business Administration from the Thunderbird School of Global Management in Arizona in 2003. Ms. Cheng is also licensed as a certified public accountant in Taiwan and the PRC.</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i w:val="1"/>
          <w:iCs w:val="1"/>
          <w:color w:val="auto"/>
        </w:rPr>
        <w:t xml:space="preserve">Denny Lee </w:t>
      </w:r>
      <w:r>
        <w:rPr>
          <w:rFonts w:ascii="Arial" w:cs="Arial" w:eastAsia="Arial" w:hAnsi="Arial"/>
          <w:sz w:val="18"/>
          <w:szCs w:val="18"/>
          <w:color w:val="auto"/>
        </w:rPr>
        <w:t>has served as our director since April 2002. Mr. Lee previously served as our Chief Financial Officer from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2002 until June 2007 and our Financial Controller from November 2001 until April 2002. Prior to joining our company, Mr. Lee worked in the Hong Kong office of KPMG for more than ten years. Mr. Lee graduated with a Professional Diploma in Accounting from the Hong Kong Polytechnic University in November 1990 and is a member of the Hong Kong Institute of Certified Public Accountants and the Association of Chartered Certified Accountants. Mr. Lee currently serves as the chairman of the audit committees and an independent non-executive director on the boards of New Oriental Education &amp; Technology Group Inc. (stock code: EDU), Concord Medical Services Holdings Limited (stock code: CCM), NIO Inc. (stock code: NIO) and Jianpu Technology Inc. (stock code: JT), which are listed on the New York Stock Exchange, as well as China Metal Resources Utilization Limited, which is listed on the Hong Kong Stock Exchange (stock code: 1636).</w:t>
      </w:r>
    </w:p>
    <w:p>
      <w:pPr>
        <w:spacing w:after="0" w:line="19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Joseph Tong </w:t>
      </w:r>
      <w:r>
        <w:rPr>
          <w:rFonts w:ascii="Arial" w:cs="Arial" w:eastAsia="Arial" w:hAnsi="Arial"/>
          <w:sz w:val="17"/>
          <w:szCs w:val="17"/>
          <w:color w:val="auto"/>
        </w:rPr>
        <w:t>has served as our director since March 2003. Mr. Tong has been a director of Parworld Investment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Limited, which provides financial and investment advisory services, since January 2003. From December 2002 until April 2004, Mr. Tong was engaged in establishing offices and operations in Hong Kong and China, setting up accounting and internal control policies and overseeing the overall operations for TLM Apparel Co., Ltd., a garment trading company operating in Hong Kong and China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 associate member of the Hong Kong Institute of Certified Public Accountants.</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Lun Feng </w:t>
      </w:r>
      <w:r>
        <w:rPr>
          <w:rFonts w:ascii="Arial" w:cs="Arial" w:eastAsia="Arial" w:hAnsi="Arial"/>
          <w:sz w:val="17"/>
          <w:szCs w:val="17"/>
          <w:color w:val="auto"/>
        </w:rPr>
        <w:t>has served as our director since July 2005. Mr. Feng served as the Chairman and/or director of Vantone Holdings Co.,</w:t>
      </w:r>
      <w:r>
        <w:rPr>
          <w:rFonts w:ascii="Arial" w:cs="Arial" w:eastAsia="Arial" w:hAnsi="Arial"/>
          <w:sz w:val="17"/>
          <w:szCs w:val="17"/>
          <w:i w:val="1"/>
          <w:iCs w:val="1"/>
          <w:color w:val="auto"/>
        </w:rPr>
        <w:t xml:space="preserve"> </w:t>
      </w:r>
      <w:r>
        <w:rPr>
          <w:rFonts w:ascii="Arial" w:cs="Arial" w:eastAsia="Arial" w:hAnsi="Arial"/>
          <w:sz w:val="17"/>
          <w:szCs w:val="17"/>
          <w:color w:val="auto"/>
        </w:rPr>
        <w:t>Ltd., a private real estate investment company in China, from 1993 to 2017. Mr. Feng currently is the executive director of Beijing Sifang Yufeng Investment Co., Ltd, an investment firm in China. Mr. Feng is an independent non-executive director on the board of China Everbright Bank Company Limited (stock code: 6818), a company dual-listed on the Hong Kong Stock Exchange and the Shanghai Stock Exchange. Mr. Feng also serves as an independent director on the boards of Youzu Interactive Co., Ltd. (stock code: 002174), which is listed on the Shenzhen Stock Exchange, as well as Bank of Xi’An Co., Ltd. (stock code: 600928) and Shanghai Xinnanyang Only Education &amp; Technology Co., Ltd (stock code: 600661), both of which are listed on the Shanghai Stock Exchange. Mr. Feng has a Juris Doctor from the Chinese Academy of Social Sciences, a Masters of Law degree from the Party School of the Chinese Communist Party and a Bachelor of Arts in Economics from Northwest University.</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 xml:space="preserve">Michael Leung </w:t>
      </w:r>
      <w:r>
        <w:rPr>
          <w:rFonts w:ascii="Arial" w:cs="Arial" w:eastAsia="Arial" w:hAnsi="Arial"/>
          <w:sz w:val="16"/>
          <w:szCs w:val="16"/>
          <w:color w:val="auto"/>
        </w:rPr>
        <w:t>has served as our director since July 2002. Mr. Leung is currently a responsible officer of Grand Moore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since September 2019. Mr. Leung was appointed executive director of Unitas Holdings Limited (stock code: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(stock code: 1132), China Electronics Optics Valley Union Holding Company Limited (stock code: 0798) and Luye Pharma Group Ltd. (stock code: 2186), all of which are companies listed on the Hong Kong Stock Exchange. Mr. Leung also serves as an independent non-executive director on the board of China Ting Group Holdings Limited (stock code: 3398), a company listed on the Hong Kong Stock Exchange. Mr. Leung was previously an independent non-executive director and chairman of the audit committee of China Huiyuan Juice Group Limited (stock code: 1886), a company listed on the Hong Kong Stock Exchange, from 2012 to 2019. Mr. Leung received a Bachelor’s Degree in Social Sciences from the University of Hong Kong in October 1977 with a major in Accounting, Management and Statistics.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 xml:space="preserve">Michael Tong </w:t>
      </w:r>
      <w:r>
        <w:rPr>
          <w:rFonts w:ascii="Arial" w:cs="Arial" w:eastAsia="Arial" w:hAnsi="Arial"/>
          <w:sz w:val="18"/>
          <w:szCs w:val="18"/>
          <w:color w:val="auto"/>
        </w:rPr>
        <w:t>has served as our director since December 1999. Mr. Tong joined our company as an executive from 2003 to</w:t>
      </w:r>
      <w:r>
        <w:rPr>
          <w:rFonts w:ascii="Arial" w:cs="Arial" w:eastAsia="Arial" w:hAnsi="Arial"/>
          <w:sz w:val="18"/>
          <w:szCs w:val="18"/>
          <w:i w:val="1"/>
          <w:iCs w:val="1"/>
          <w:color w:val="auto"/>
        </w:rPr>
        <w:t xml:space="preserve"> </w:t>
      </w:r>
      <w:r>
        <w:rPr>
          <w:rFonts w:ascii="Arial" w:cs="Arial" w:eastAsia="Arial" w:hAnsi="Arial"/>
          <w:sz w:val="18"/>
          <w:szCs w:val="18"/>
          <w:color w:val="auto"/>
        </w:rPr>
        <w:t>2009 and served as our Co-Chief Operating Officer from 2004 to 2009. Mr. Tong is an independent non-executive director and chairman of the audit committee of Koolearn Technology Holding Limited (stock code: 1797), a company listed on the Hong Kong Stock Exchange. Mr. Tong graduated with a Bachelor of Business Administration from the University of Wisconsin, Madison with a major in Accounting and an extra concentration in Computer Science in 1993.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Among Directors or Executive Officers; Right to Nominate Directors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are no family relationships among any of the directors or executive officers of our company. None of our directors were nominated pursuant to a contractual or other right.</w:t>
      </w:r>
    </w:p>
    <w:p>
      <w:pPr>
        <w:spacing w:after="0" w:line="166"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2019, we paid our executive officers and directors aggregate cash compensation of RMB17.6 million (US$2.5 million). In 2019, we also granted restricted share unit awards under our 2009 RSU Plan (described below) to each of our independent directors which vested on March 1, 2020. ADRs, representing less than 1% of our total outstanding ordinary shares, were given to the directors in settlement of such awards upon vesting.</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2019, we also granted restricted share unit awards under our 2009 RSU Plan to our Chief Financial Officer, which will represent less than 1% of our total outstanding ordinary shares upon vesting. In addition, certain of our subsidiaries, including Youdao, granted certain options pursuant to their respective share incentive plans to our Chief Financial Officer which are exercisable for ordinary shares of those subsidiaries representing less than 1% of their total outstanding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Indemnification Agreements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All of our current directors have entered into indemnification agreements in which we agree to indemnify, to the fullest extent allowed by Cayman Islands law, our charter documents or other applicable law, those directors from any liability or expenses, unless the liability or expense arises from the director’s own willful negligence or willful default. The indemnification agreements also specify the procedures to be followed with respect to indemnification.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have service contracts with any of our directors which provide for benefits upon termination.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We have entered into employment and related agreements with each of our executive officers. These agreements include: (i) a covenant that prohibits the executive officer from engaging in any activities that compete with our business during and for one to</w:t>
      </w:r>
    </w:p>
    <w:p>
      <w:pPr>
        <w:ind w:right="160"/>
        <w:spacing w:after="0" w:line="255" w:lineRule="auto"/>
        <w:rPr>
          <w:sz w:val="20"/>
          <w:szCs w:val="20"/>
          <w:color w:val="auto"/>
        </w:rPr>
      </w:pPr>
      <w:r>
        <w:rPr>
          <w:rFonts w:ascii="Arial" w:cs="Arial" w:eastAsia="Arial" w:hAnsi="Arial"/>
          <w:sz w:val="18"/>
          <w:szCs w:val="18"/>
          <w:color w:val="auto"/>
        </w:rPr>
        <w:t>two years after their employment with us, (ii) a requirement that executive officers assign all rights in company-related inventions to us and to keep our proprietary information confidential, and (iii) provisions for severance payments in the event the executive officer is terminated without cause or resigns for good reason.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Unit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two restricted share unit plans. We refer to these collectively as our RSU Plans. Our board approved our 2009 Restricted Share Unit Plan, or 2009 RSU Plan, in November 2009. The 2009 RSU Plan expired in November 2019 in accordance with its terms, such that no new awards may be granted under this plan although outstanding awards granted previously will remain governed by it. Our board approved our 2019 Restricted Share Unit Plan, or the 2019 RSU Plan, in October 2019, as a replacement for the 2009 RSU Plan.</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purpose of our RSU Plans is to attract and retain the best available personnel, to provide additional incentive to employees, directors and consultants and to promote the success of our business. The RSU Plans provide for the granting of incentive awards of restricted share units, which may or may not be granted with dividend equivalent rights. Participants under the RSU Plans will not receive any account status reports.</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RSU Plans are not subject to the Employee Retirement Income Security Act of 1974, as amended, and neither of the RSU Plans a “qualified plan” within the meaning of Section 401(a) of the Internal Revenue Code of 1986, as amended.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Plan Administration</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Our board has designated our compensation committee to administer the RSU Plans, and it may designate one or more of our officers to exercise its authority thereunder from time to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Securities Subject to the RSU Plans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maximum aggregate number of our ordinary shares which are issuable pursuant to all awards under the 2009 RSU Plan is 323,694,050 ordinary shares.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maximum aggregate number of our ordinary shares which may be issued pursuant to all awards under the 2019 RSU Plan is 322,458,300 ordinary shares. Such ordinary shares may, in whole or in part, be authorized but unissued shares or shares that will have been or may be reacquired by us. It is anticipated that all future awards to our employees, directors and consultants will be granted pursuant to the 2019 RSU Plan or any other future plan adopted by our board and, if appropriate, our shareholders.</w:t>
      </w:r>
    </w:p>
    <w:p>
      <w:pPr>
        <w:spacing w:after="0" w:line="17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2009 RSU Plan provides that in the event of certain corporate transactions, including specified types of mergers and acquisition transactions, each outstanding award granted under the 2009 RSU Plan shall automatically become fully vested and be released from any restrictions on transfer and repurchase or forfeiture rights, immediately prior to the specified effective date of such corporate transaction, unless the award is assumed by the successor company or its parent company in connection with the corporate transaction. Upon consummation of such corporate transactions, each outstanding award shall be terminated unless the award is assumed by the successor company or its parent company in connection with the applicable corporate transaction. Our board will determine whether an award was assumed in the manner contemplated by the 2009 RSU Plan.</w:t>
      </w:r>
    </w:p>
    <w:p>
      <w:pPr>
        <w:spacing w:after="0" w:line="17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2019 RSU Plan provides that in the event of certain corporate transactions, including specified types of mergers and acquisition transactions, the administrator may (a) accelerate the vesting, in whole or in part, of any award; (b) purchase any award for an amount of cash or ordinary shares of our company equal to the value that could have been attained upon the exercise of the award or the realization of the plan participant’s rights had the award been currently exercisable or payable or fully vested; or (c) provide for the assumption, conversion or replacement of any award by the successor corporation, or a parent or subsidiary of the successor corporation, with other rights or property selected by the plan administrator in its sole discretion, or the assumption or substitution of the award by the successor or surviving corporation, or a parent or subsidiary of the surviving or successor corporation, with appropriate adjustments as to the number and kind of shares and prices as the plan administrator deems, in its sole discretion, reasonable, equitable and appropriate.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Awards can be issued to participants in the RSU Plans, which include employees, directors or consultants of us, our subsidiaries, our VIEs and certain other related entities.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Awards under the RSU Plans</w:t>
      </w:r>
    </w:p>
    <w:p>
      <w:pPr>
        <w:spacing w:after="0" w:line="22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Awards under the RSU Plans are evidenced by an award agreement which contains, among other things, such provisions concerning how the restricted share unit may be settled upon vesting and forfeiture upon termination of employment or the consulting arrangement (by reason of death, disability, retirement or otherwise) as have been determined by our board.</w:t>
      </w:r>
    </w:p>
    <w:p>
      <w:pPr>
        <w:spacing w:after="0" w:line="16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Restricted share units do not represent any actual ownership interest in us. The units granted correspond in number and value to a specified number of our ordinary shares. No actual shares are issued. Instead, the units are tracked in a bookkeeping account. The units may be subject to forfeiture provisions to replicate the treatment of restricted shares. The units can ultimately be paid in cash or ordinary shares, as our board determines and as set forth in the applicable award agreement. Dividend equivalents may be paid on the restricted share units. A dividend equivalent right entitles the participant to receive cash compensation measured by the dividends paid with respect to our ordinary shares. The dividend equivalents may be paid out at the time of the dividend or may be credited to the participant’s account and converted to additional units.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Conditions of Awards</w:t>
      </w:r>
    </w:p>
    <w:p>
      <w:pPr>
        <w:spacing w:after="0" w:line="229" w:lineRule="exact"/>
        <w:rPr>
          <w:sz w:val="20"/>
          <w:szCs w:val="20"/>
          <w:color w:val="auto"/>
        </w:rPr>
      </w:pPr>
    </w:p>
    <w:p>
      <w:pPr>
        <w:ind w:right="440" w:firstLine="648"/>
        <w:spacing w:after="0" w:line="275" w:lineRule="auto"/>
        <w:rPr>
          <w:sz w:val="20"/>
          <w:szCs w:val="20"/>
          <w:color w:val="auto"/>
        </w:rPr>
      </w:pPr>
      <w:r>
        <w:rPr>
          <w:rFonts w:ascii="Arial" w:cs="Arial" w:eastAsia="Arial" w:hAnsi="Arial"/>
          <w:sz w:val="17"/>
          <w:szCs w:val="17"/>
          <w:color w:val="auto"/>
        </w:rPr>
        <w:t>Our board, either acting directly or through our compensation committee or one or more of our officers, is authorized to determine the provisions, terms and conditions of each award, including, without limitation, the award vesting schedule, repurchase provisions, rights of first refusal, forfeiture provisions, settlement of the award, payment contingencies and satisfaction of any performance criteria established by our board. Partial achievement of the specified criteria may result in a payment or vesting corresponding to the degree of achievement as specified in the award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Amendment; Termination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Under the RSU Plans, our board may at any time terminate, suspend, or amend the RSU Plans in any respect, except that no termination, suspension or amendment will be effective without shareholder approval if such approval is required to comply with any law, regulation or stock exchange rule and no such change may adversely affect any award previously granted without the written consent of the recipient. The 2009 RSU Plan expired in November 2019 in accordance with its terms. The 2019 RSU Plan will expire in October 2029.</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Non-Transferability of Awards</w:t>
      </w:r>
    </w:p>
    <w:p>
      <w:pPr>
        <w:spacing w:after="0" w:line="229"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Under the RSU Plans, awards may not be sold, assigned, transferred, pledged, hypothecated or otherwise disposed of, except by will or by the laws of descent and distribution and during the lifetime of the participants, to the extent and in the manner provided in the award agreement. The RSU Plans permit the designation of beneficiaries by holders of awards in the event of the participant’s death. After any such transfer, the original recipient shall continue to remain subject to the withholding tax requirements described below.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Payment of Taxes</w:t>
      </w:r>
    </w:p>
    <w:p>
      <w:pPr>
        <w:spacing w:after="0" w:line="22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No ordinary shares shall be delivered under the RSU Plans to any participant or other person until such participant or other person has made arrangements acceptable to us regarding payment of Chinese, Cayman Islands, U.S. and any other federal, state, provincial, local or other taxes required by law. Alternatively, we will withhold or collect from the participant an amount sufficient to satisfy such tax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Equity Incentive Plans</w:t>
      </w:r>
    </w:p>
    <w:p>
      <w:pPr>
        <w:spacing w:after="0" w:line="229"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Youdao, our subsidiary, adopted its 2015 Share Incentive Plan, or the Youdao Plan, in February 2015 (an amended it in April 2018), under which 10,222,222 ordinary shares of Youdao are reserved for issuance. As of December 31, 2019, options to purchase a total of 8,328,900 ordinary shares of Youdao were outstanding under the Youdao Plan, and 3,583,600 of such options had vested and become exercisable.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certain of our other subsidiaries have adopted their own equity incentive plans, which allow the relevant subsidiaries to grant options or other awards to certain of our employees. The options under such plans and the Youdao Plan expire in five to ten years from the date of grant and either vest or have a vesting commencement date upon certain conditions being met. The awards can become 100% vested on the vesting commencement date, or vest in two, four or five substantially equal annual installments with the first installment vesting on the vesting commencement date.</w:t>
      </w:r>
    </w:p>
    <w:p>
      <w:pPr>
        <w:spacing w:after="0" w:line="184" w:lineRule="exact"/>
        <w:rPr>
          <w:sz w:val="20"/>
          <w:szCs w:val="20"/>
          <w:color w:val="auto"/>
        </w:rPr>
      </w:pPr>
    </w:p>
    <w:p>
      <w:pPr>
        <w:ind w:left="680" w:hanging="672"/>
        <w:spacing w:after="0"/>
        <w:tabs>
          <w:tab w:leader="none" w:pos="6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At each annual general meeting of our shareholders, our shareholders are asked to elect the directors nominated to serve for the ensuing year or until their successors are elected and duly qualified or until such director’s earlier death, bankruptcy, insanity, resignation or removal. For information regarding the period during which our officers and directors have served in their respective positions, please refer to Item 6.A. “Directors and Senior Management.” We have no specific policy with respect to director attendance at our annual general meetings of shareholders, and no director attended the annual general meeting of shareholders held on September 13, 2019.</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Our board has three committees, the audit committee, the compensation committee and the nominating committee. Alice Cheng, Joseph Tong, and Michael Leung are currently the members of each of these committees. Michael Leung is the chairperson of the audit committee.</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The board of directors has determined that Mr. Joseph Tong is an “audit committee financial expert” as defined by Item 16A of Form 20-F. The board of directors has adopted a written audit committee charter pursuant to which the audit committee is responsible for overseeing the accounting and financial reporting processes of our company, including the appointment, compensation and oversight of the work of our independent auditors, monitoring compliance with our accounting and financial policies and evaluating management’s procedures and policies relative to the adequacy of our internal accounting controls.</w:t>
      </w:r>
    </w:p>
    <w:p>
      <w:pPr>
        <w:spacing w:after="0" w:line="17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board of directors has adopted a written compensation committee charter pursuant to which the compensation committee is responsible for, among other things, annually reviewing and approving our company’s corporate goals and objectives relevant to the compensation of our chief executive officer, evaluating such officer’s performance in light of those goals and objectives, and, either as a committee or together with the other independent directors (as directed by our board), determining and approving the chief executive officer’s compensation level based on this evaluation. The committee also annually reviews and makes recommendations to the board with respect to non-chief executive officer compensation, incentive compensation plans and equity based plans, administers our incentive compensation plans and equity-based plans as in effect and as adopted from time to time by our board (the board retains, however, the authority to interpret such plans), and approves any new equity compensation plan or any material change to an existing plan where shareholders’ approval has not been obtained.</w:t>
      </w:r>
    </w:p>
    <w:p>
      <w:pPr>
        <w:spacing w:after="0" w:line="181"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The board of directors has adopted a written nominating committee charter pursuant to which the nominating committee is responsible for monitoring the size and composition of our board and considering and making recommendations to our board with respect to the nominations or elections of directors of our company.</w:t>
      </w:r>
    </w:p>
    <w:p>
      <w:pPr>
        <w:spacing w:after="0" w:line="184"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audit, compensation and nominating committees are composed solely of non-employee directors, as such term is defined in Rule 16b-3 under the Exchange Act and the board of directors has determined that all such members are “independent” as that term is defined in NASDAQ Marketplace Rule 5605(a)(2).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 interlocking relationships have existed between our board of directors or compensation committee and the board of directors or compensation committee of any other company.</w:t>
      </w:r>
    </w:p>
    <w:p>
      <w:pPr>
        <w:spacing w:after="0" w:line="166"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As of December 31, 2017, 2018 and 2019, we had 18,129, 22,726 and 20,797 full-time employees, respectively. A substantial majority of our employees are based in China. We believe that we have a good working relationship with our employees, and we have not experienced any significant labor disputes.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The following table sets forth information regarding our staff as of December 31, 2019:</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9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Online game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Youdao</w:t>
            </w:r>
          </w:p>
        </w:tc>
        <w:tc>
          <w:tcPr>
            <w:tcW w:w="78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Innovation and others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employees of our company and of our affiliated companies are employed under employment contracts which specify, among other things, the employee’s responsibilities, remuneration and grounds for termination of employment. Each employee signs a confidentiality agreement in respect of our intellectual property rights.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table in this section sets forth certain information known to us with respect to the beneficial ownership as of December 31, 2019 (unless otherwise indicated) by:</w:t>
      </w:r>
    </w:p>
    <w:p>
      <w:pPr>
        <w:spacing w:after="0" w:line="170" w:lineRule="exact"/>
        <w:rPr>
          <w:sz w:val="20"/>
          <w:szCs w:val="20"/>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persons who are beneficial owners of 5% or more of our ordinary shares,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Chief Executive Officer and Chief Financial Officer,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225"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As of December 31, 2019, 3,228,531,381 of our ordinary shares were outstanding. The amounts and percentages of ordinary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securities as to which such person has no economic interest. The shareholders listed below do not have different voting rights.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448"/>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5% Shareholder</w:t>
            </w:r>
          </w:p>
        </w:tc>
        <w:tc>
          <w:tcPr>
            <w:tcW w:w="6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80" w:type="dxa"/>
            <w:vAlign w:val="bottom"/>
            <w:gridSpan w:val="3"/>
          </w:tcPr>
          <w:p>
            <w:pPr>
              <w:spacing w:after="0" w:line="201" w:lineRule="exact"/>
              <w:rPr>
                <w:sz w:val="20"/>
                <w:szCs w:val="20"/>
                <w:color w:val="auto"/>
              </w:rPr>
            </w:pPr>
            <w:r>
              <w:rPr>
                <w:rFonts w:ascii="Arial" w:cs="Arial" w:eastAsia="Arial" w:hAnsi="Arial"/>
                <w:sz w:val="16"/>
                <w:szCs w:val="16"/>
                <w:color w:val="auto"/>
              </w:rPr>
              <w:t>Shining Globe International Limited/William Lei Ding</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c/o NetEase, Inc., NetEase Building,</w:t>
            </w: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80" w:type="dxa"/>
            <w:vAlign w:val="bottom"/>
            <w:gridSpan w:val="3"/>
          </w:tcPr>
          <w:p>
            <w:pPr>
              <w:spacing w:after="0"/>
              <w:rPr>
                <w:sz w:val="20"/>
                <w:szCs w:val="20"/>
                <w:color w:val="auto"/>
              </w:rPr>
            </w:pPr>
            <w:r>
              <w:rPr>
                <w:rFonts w:ascii="Arial" w:cs="Arial" w:eastAsia="Arial" w:hAnsi="Arial"/>
                <w:sz w:val="18"/>
                <w:szCs w:val="18"/>
                <w:color w:val="auto"/>
                <w:w w:val="93"/>
              </w:rPr>
              <w:t>No. 599 Wangshang Road, Binjiang District, Hangzhou, People's Republic of China 310052.</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1,456,000,000</w:t>
            </w:r>
          </w:p>
        </w:tc>
        <w:tc>
          <w:tcPr>
            <w:tcW w:w="22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202"/>
        </w:trPr>
        <w:tc>
          <w:tcPr>
            <w:tcW w:w="68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5"/>
              </w:rPr>
              <w:t>Orbis Investment Management Limited c/o Orbis House, 25 Front Street, Hamilton HM 11,</w:t>
            </w: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7"/>
              </w:rPr>
              <w:t>Bermuda and Allan Gray Australia Pty Limited c/o Level 2, Challis House, 4 Martin Place, Sydney</w:t>
            </w:r>
          </w:p>
        </w:tc>
        <w:tc>
          <w:tcPr>
            <w:tcW w:w="13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 xml:space="preserve">208,718,500 </w:t>
            </w:r>
            <w:r>
              <w:rPr>
                <w:rFonts w:ascii="Arial" w:cs="Arial" w:eastAsia="Arial" w:hAnsi="Arial"/>
                <w:sz w:val="26"/>
                <w:szCs w:val="26"/>
                <w:color w:val="auto"/>
                <w:w w:val="96"/>
                <w:vertAlign w:val="superscript"/>
              </w:rPr>
              <w:t>(2)</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6.5 %</w:t>
            </w:r>
            <w:r>
              <w:rPr>
                <w:rFonts w:ascii="Arial" w:cs="Arial" w:eastAsia="Arial" w:hAnsi="Arial"/>
                <w:sz w:val="26"/>
                <w:szCs w:val="26"/>
                <w:color w:val="auto"/>
                <w:vertAlign w:val="superscript"/>
              </w:rPr>
              <w:t>(2)</w:t>
            </w:r>
          </w:p>
        </w:tc>
        <w:tc>
          <w:tcPr>
            <w:tcW w:w="0" w:type="dxa"/>
            <w:vAlign w:val="bottom"/>
          </w:tcPr>
          <w:p>
            <w:pPr>
              <w:spacing w:after="0"/>
              <w:rPr>
                <w:sz w:val="1"/>
                <w:szCs w:val="1"/>
                <w:color w:val="auto"/>
              </w:rPr>
            </w:pPr>
          </w:p>
        </w:tc>
      </w:tr>
      <w:tr>
        <w:trPr>
          <w:trHeight w:val="230"/>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NSW2000, Australia.</w:t>
            </w: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300" w:type="dxa"/>
            <w:vAlign w:val="bottom"/>
            <w:gridSpan w:val="4"/>
            <w:vMerge w:val="continue"/>
            <w:shd w:val="clear" w:color="auto" w:fill="CCEEFF"/>
          </w:tcPr>
          <w:p>
            <w:pPr>
              <w:spacing w:after="0"/>
              <w:rPr>
                <w:sz w:val="20"/>
                <w:szCs w:val="20"/>
                <w:color w:val="auto"/>
              </w:rPr>
            </w:pPr>
          </w:p>
        </w:tc>
        <w:tc>
          <w:tcPr>
            <w:tcW w:w="106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24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w w:val="94"/>
              </w:rPr>
              <w:t>Number of Shares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w w:val="91"/>
              </w:rPr>
              <w:t>Beneficially Owned</w:t>
            </w: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w w:val="94"/>
              </w:rPr>
              <w:t>Number</w:t>
            </w:r>
          </w:p>
        </w:tc>
        <w:tc>
          <w:tcPr>
            <w:tcW w:w="44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2"/>
              </w:rPr>
              <w:t>Percentage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8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b w:val="1"/>
                <w:bCs w:val="1"/>
                <w:color w:val="auto"/>
              </w:rPr>
              <w:t xml:space="preserve">Executive Officers and Directors </w:t>
            </w:r>
            <w:r>
              <w:rPr>
                <w:rFonts w:ascii="Arial" w:cs="Arial" w:eastAsia="Arial" w:hAnsi="Arial"/>
                <w:sz w:val="24"/>
                <w:szCs w:val="24"/>
                <w:color w:val="auto"/>
                <w:vertAlign w:val="superscript"/>
              </w:rPr>
              <w:t>(3)</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Charles Zhaoxuan Yang</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Alice Cheng</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Denny Lee</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Tong</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Lun Feng</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Leung</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Michael Tong</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All current directors and executive officers as a group (8 persons)</w:t>
            </w:r>
            <w:r>
              <w:rPr>
                <w:rFonts w:ascii="Arial" w:cs="Arial" w:eastAsia="Arial" w:hAnsi="Arial"/>
                <w:sz w:val="25"/>
                <w:szCs w:val="25"/>
                <w:color w:val="auto"/>
                <w:vertAlign w:val="superscript"/>
              </w:rPr>
              <w:t>(4)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1,456,900,325</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45.1 %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tab/>
        <w:t>Less than 1%.</w:t>
      </w:r>
    </w:p>
    <w:p>
      <w:pPr>
        <w:spacing w:after="0" w:line="225" w:lineRule="exact"/>
        <w:rPr>
          <w:sz w:val="20"/>
          <w:szCs w:val="20"/>
          <w:color w:val="auto"/>
        </w:rPr>
      </w:pPr>
    </w:p>
    <w:p>
      <w:pPr>
        <w:ind w:left="340" w:right="200" w:hanging="332"/>
        <w:spacing w:after="0" w:line="255" w:lineRule="auto"/>
        <w:tabs>
          <w:tab w:leader="none" w:pos="3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Shining Globe International Limited is the record owner of 1,456,000,000 ordinary shares, consisting of 1,406,000,000 ordinary shares and 2,000,000 ADSs. Shining Globe International Limited is wholly owned by Shining Globe Holding Limited, which is in turn wholly owned by Shining Globe Trust, or the Trust, for which TMF (Cayman) Ltd. acts as the trustee. William Lei Ding, our founder, Chief Executive Officer and a director, is the sole director of Shining Globe International Limited and the settlor of the Trust, retaining the investment and dispositive powers with respect to the assets of the Trust. The beneficiaries of the Trust are William Lei Ding and his family.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22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the information included in the Schedule 13G dated February 14, 2020, filed by Orbis Investment Management Limited and Allan Gray Australia Pty Limited.</w:t>
      </w:r>
    </w:p>
    <w:p>
      <w:pPr>
        <w:spacing w:after="0" w:line="170"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address of our current executive officers and directors are c/o NetEase Building, No. 599 Wangshang Road, Binjiang District, Hangzhou, People’s Republic of China 310052.</w:t>
      </w:r>
    </w:p>
    <w:p>
      <w:pPr>
        <w:spacing w:after="0" w:line="170" w:lineRule="exact"/>
        <w:rPr>
          <w:rFonts w:ascii="Arial" w:cs="Arial" w:eastAsia="Arial" w:hAnsi="Arial"/>
          <w:sz w:val="18"/>
          <w:szCs w:val="18"/>
          <w:color w:val="auto"/>
        </w:rPr>
      </w:pPr>
    </w:p>
    <w:p>
      <w:pPr>
        <w:ind w:left="340" w:right="280" w:hanging="332"/>
        <w:spacing w:after="0" w:line="263"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Shares owned by all of our current directors and executive officers as a group includes shares beneficially owned by William Lei Ding. This amount includes ordinary shares and ordinary shares issuable upon the vesting of RSUs held by our directors and executive officers as a group.</w:t>
      </w:r>
    </w:p>
    <w:p>
      <w:pPr>
        <w:spacing w:after="0" w:line="18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As of December 31, 2019, based on public filings with the SEC, there are no major shareholders holding 5% or more of our ordinary shares or ADSs representing ordinary shares, except as described above.</w:t>
      </w:r>
    </w:p>
    <w:p>
      <w:pPr>
        <w:spacing w:after="0" w:line="17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As of December 31, 2019, there were five ordinary shareholders of record with an address in the United States, including The Bank of New York Mellon, depositary of our ADS program, which held 1,832,900,265 ordinary shares as of that date.</w:t>
      </w:r>
    </w:p>
    <w:p>
      <w:pPr>
        <w:spacing w:after="0" w:line="12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our knowledge, except as disclosed above, we are not owned or controlled, directly or indirectly, by another corporation, by any foreign government or by any other natural or legal person or persons, severally or jointly.</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 our knowledge, there are no arrangements the operation of which may at a subsequent date result in us undergoing a change in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major shareholders do not have different voting rights than any of our other shareholders.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225" w:lineRule="exact"/>
        <w:rPr>
          <w:sz w:val="20"/>
          <w:szCs w:val="20"/>
          <w:color w:val="auto"/>
        </w:rPr>
      </w:pPr>
    </w:p>
    <w:p>
      <w:pPr>
        <w:ind w:left="680" w:hanging="672"/>
        <w:spacing w:after="0"/>
        <w:tabs>
          <w:tab w:leader="none" w:pos="6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Item 6.E. “Directors, Senior Management and Employees—Share Ownership.”</w:t>
      </w:r>
    </w:p>
    <w:p>
      <w:pPr>
        <w:spacing w:after="0" w:line="221" w:lineRule="exact"/>
        <w:rPr>
          <w:sz w:val="20"/>
          <w:szCs w:val="20"/>
          <w:color w:val="auto"/>
        </w:rPr>
      </w:pPr>
    </w:p>
    <w:p>
      <w:pPr>
        <w:ind w:left="660" w:right="7120" w:hanging="652"/>
        <w:spacing w:after="0" w:line="566" w:lineRule="auto"/>
        <w:tabs>
          <w:tab w:leader="none" w:pos="67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 VIE Agreements</w:t>
      </w:r>
    </w:p>
    <w:p>
      <w:pPr>
        <w:ind w:right="20" w:firstLine="648"/>
        <w:spacing w:after="0" w:line="270" w:lineRule="auto"/>
        <w:rPr>
          <w:sz w:val="20"/>
          <w:szCs w:val="20"/>
          <w:color w:val="auto"/>
        </w:rPr>
      </w:pPr>
      <w:r>
        <w:rPr>
          <w:rFonts w:ascii="Arial" w:cs="Arial" w:eastAsia="Arial" w:hAnsi="Arial"/>
          <w:sz w:val="17"/>
          <w:szCs w:val="17"/>
          <w:color w:val="auto"/>
        </w:rPr>
        <w:t>NetEase, Inc. and certain of its wholly owned subsidiaries have entered into a series of agreements with Guangzhou NetEase, Hangzhou Leihuo, Youdao Computer and certain other affiliated entities and the shareholders of these entities, under which we provide our computer software, mobile applications, technologies and relevant services to Guangzhou NetEase, Hangzhou Leihuo Youdao Computer and certain other affiliated entities, and they in turn provide certain of our online games and operate the NetEase websites, our e-commerce platforms, our online advertising business, and e-mail and certain of our other fee-based premium services. We believe that the terms of each agreement are no less favorable than the terms that we could obtain from disinterested third parties and that the shareholders of Guangzhou NetEase, Hangzhou Leihuo, Youdao Computer and certain other affiliated entities will not receive material benefits from these agreements except as shareholders of NetEase. The agreements with Guangzhou NetEase, Hangzhou Leihuo and Youdao Computer are described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Guangzhou NetEase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William Lei Ding, our Chief Executive Officer, and Xiaojun Hui, our vice president of game development, own 99.0% and 1.0% of the equity interest in Guangzhou NetEase, respectively.</w:t>
      </w:r>
    </w:p>
    <w:p>
      <w:pPr>
        <w:spacing w:after="0" w:line="170" w:lineRule="exact"/>
        <w:rPr>
          <w:sz w:val="20"/>
          <w:szCs w:val="20"/>
          <w:color w:val="auto"/>
        </w:rPr>
      </w:pPr>
    </w:p>
    <w:p>
      <w:pPr>
        <w:jc w:val="both"/>
        <w:ind w:left="680" w:hanging="321"/>
        <w:spacing w:after="0" w:line="263" w:lineRule="auto"/>
        <w:tabs>
          <w:tab w:leader="none" w:pos="6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Domain Name License Agreement between NetEase and Guangzhou NetEase. </w:t>
      </w:r>
      <w:r>
        <w:rPr>
          <w:rFonts w:ascii="Arial" w:cs="Arial" w:eastAsia="Arial" w:hAnsi="Arial"/>
          <w:sz w:val="18"/>
          <w:szCs w:val="18"/>
          <w:color w:val="auto"/>
        </w:rPr>
        <w:t>NetEase granted Guangzhou NetEase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use the domain names “netease.com,” “163.com,” “126.com,” “yeah.net” and “nease.net” on the NetEase websites in China for license fees of RMB10,000 per year. NetEase may waive this fee at any time.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100" w:hanging="321"/>
        <w:spacing w:after="0" w:line="263"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Copyright License Agreement between NetEase Beijing and Guangzhou NetEase. </w:t>
      </w:r>
      <w:r>
        <w:rPr>
          <w:rFonts w:ascii="Arial" w:cs="Arial" w:eastAsia="Arial" w:hAnsi="Arial"/>
          <w:sz w:val="18"/>
          <w:szCs w:val="18"/>
          <w:color w:val="auto"/>
        </w:rPr>
        <w:t>NetEase Information Technology (Beijing)</w:t>
      </w:r>
      <w:r>
        <w:rPr>
          <w:rFonts w:ascii="Arial" w:cs="Arial" w:eastAsia="Arial" w:hAnsi="Arial"/>
          <w:sz w:val="18"/>
          <w:szCs w:val="18"/>
          <w:i w:val="1"/>
          <w:iCs w:val="1"/>
          <w:color w:val="auto"/>
        </w:rPr>
        <w:t xml:space="preserve"> </w:t>
      </w:r>
      <w:r>
        <w:rPr>
          <w:rFonts w:ascii="Arial" w:cs="Arial" w:eastAsia="Arial" w:hAnsi="Arial"/>
          <w:sz w:val="18"/>
          <w:szCs w:val="18"/>
          <w:color w:val="auto"/>
        </w:rPr>
        <w:t>Co., or NetEase Beijing, granted Guangzhou NetEase the right to use NetEase Beijing’s web page layout in China for a royalty of RMB10,000 per year. NetEase Beijing may waive this fee at any time.</w:t>
      </w:r>
    </w:p>
    <w:p>
      <w:pPr>
        <w:spacing w:after="0" w:line="183" w:lineRule="exact"/>
        <w:rPr>
          <w:rFonts w:ascii="Arial" w:cs="Arial" w:eastAsia="Arial" w:hAnsi="Arial"/>
          <w:sz w:val="18"/>
          <w:szCs w:val="18"/>
          <w:color w:val="auto"/>
        </w:rPr>
      </w:pPr>
    </w:p>
    <w:p>
      <w:pPr>
        <w:ind w:left="680" w:right="640" w:hanging="321"/>
        <w:spacing w:after="0" w:line="263" w:lineRule="auto"/>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Trademark License Agreement between NetEase Beijing and Guangzhou NetEase. </w:t>
      </w:r>
      <w:r>
        <w:rPr>
          <w:rFonts w:ascii="Arial" w:cs="Arial" w:eastAsia="Arial" w:hAnsi="Arial"/>
          <w:sz w:val="18"/>
          <w:szCs w:val="18"/>
          <w:color w:val="auto"/>
        </w:rPr>
        <w:t>NetEase Beijing granted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NetEase a license to use NetEase Beijing’s registered trademarks on the NetEase websites in China for license fees of RMB10,000 per year. NetEase Beijing may waive this fee at any time.</w:t>
      </w:r>
    </w:p>
    <w:p>
      <w:pPr>
        <w:spacing w:after="0" w:line="183" w:lineRule="exact"/>
        <w:rPr>
          <w:rFonts w:ascii="Arial" w:cs="Arial" w:eastAsia="Arial" w:hAnsi="Arial"/>
          <w:sz w:val="18"/>
          <w:szCs w:val="18"/>
          <w:color w:val="auto"/>
        </w:rPr>
      </w:pPr>
    </w:p>
    <w:p>
      <w:pPr>
        <w:ind w:left="680" w:right="160" w:hanging="321"/>
        <w:spacing w:after="0" w:line="308" w:lineRule="auto"/>
        <w:tabs>
          <w:tab w:leader="none" w:pos="6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Cooperative Agreements. </w:t>
      </w:r>
      <w:r>
        <w:rPr>
          <w:rFonts w:ascii="Arial" w:cs="Arial" w:eastAsia="Arial" w:hAnsi="Arial"/>
          <w:sz w:val="17"/>
          <w:szCs w:val="17"/>
          <w:color w:val="auto"/>
        </w:rPr>
        <w:t>Guangzhou NetEase has entered into cooperative agreements with each of NetEase Beijing, Boguan</w:t>
      </w:r>
      <w:r>
        <w:rPr>
          <w:rFonts w:ascii="Arial" w:cs="Arial" w:eastAsia="Arial" w:hAnsi="Arial"/>
          <w:sz w:val="17"/>
          <w:szCs w:val="17"/>
          <w:i w:val="1"/>
          <w:iCs w:val="1"/>
          <w:color w:val="auto"/>
        </w:rPr>
        <w:t xml:space="preserve"> </w:t>
      </w:r>
      <w:r>
        <w:rPr>
          <w:rFonts w:ascii="Arial" w:cs="Arial" w:eastAsia="Arial" w:hAnsi="Arial"/>
          <w:sz w:val="17"/>
          <w:szCs w:val="17"/>
          <w:color w:val="auto"/>
        </w:rPr>
        <w:t>and NetEase Hangzhou pursuant to which such subsidiaries have agreed to provide the following services:</w:t>
      </w:r>
    </w:p>
    <w:p>
      <w:pPr>
        <w:spacing w:after="0" w:line="146" w:lineRule="exact"/>
        <w:rPr>
          <w:rFonts w:ascii="Arial" w:cs="Arial" w:eastAsia="Arial" w:hAnsi="Arial"/>
          <w:sz w:val="17"/>
          <w:szCs w:val="17"/>
          <w:color w:val="auto"/>
        </w:rPr>
      </w:pPr>
    </w:p>
    <w:p>
      <w:pPr>
        <w:ind w:left="1000" w:right="560" w:hanging="317"/>
        <w:spacing w:after="0" w:line="277"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research and development of computer software (including, but not limited to, online games software) and technical support and maintenance for the operation of computer software;</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technical service for internet media, including, but not limited to, server maintenance and development, update and upgrade of relevant application software; and</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research and development of electronic publishing technology and relevant technical assistance and support.</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Guangzhou NetEase has agreed to pay a monthly service fee to each such subsidiary in accordance with a formula based on their respective expenses incurred. The cooperative agreements with each of NetEase Beijing, Boguan and NetEase Hangzhou were effective from September 1, November 1, and December 1, 2012, respectively, and each will continue to be effective unless any one of the two respective parties terminates such agreement by written notice.</w:t>
      </w:r>
    </w:p>
    <w:p>
      <w:pPr>
        <w:spacing w:after="0" w:line="187" w:lineRule="exact"/>
        <w:rPr>
          <w:sz w:val="20"/>
          <w:szCs w:val="20"/>
          <w:color w:val="auto"/>
        </w:rPr>
      </w:pPr>
    </w:p>
    <w:p>
      <w:pPr>
        <w:ind w:left="680" w:right="60" w:hanging="321"/>
        <w:spacing w:after="0" w:line="257" w:lineRule="auto"/>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Online Advertising Agreement between Guangzhou NetEase and NetEase Advertising. </w:t>
      </w:r>
      <w:r>
        <w:rPr>
          <w:rFonts w:ascii="Arial" w:cs="Arial" w:eastAsia="Arial" w:hAnsi="Arial"/>
          <w:sz w:val="18"/>
          <w:szCs w:val="18"/>
          <w:color w:val="auto"/>
        </w:rPr>
        <w:t>Guangzhou NetEase sells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banner space on the NetEase websites to Beijing NetEase Media Co., Ltd. (previously named Beijing Guangyitong Advertising Co., Ltd.), or NetEase Advertising, and publishes the advertisements provided by NetEase Advertising on the banner space purchased by NetEase Advertising. NetEase Advertising pays Guangzhou NetEase RMB10,000 per year. Guangzhou NetEase may waive this fee at any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the foregoing agreement is automatically renewable for successive one year term.</w:t>
      </w:r>
    </w:p>
    <w:p>
      <w:pPr>
        <w:spacing w:after="0" w:line="225" w:lineRule="exact"/>
        <w:rPr>
          <w:sz w:val="20"/>
          <w:szCs w:val="20"/>
          <w:color w:val="auto"/>
        </w:rPr>
      </w:pPr>
    </w:p>
    <w:p>
      <w:pPr>
        <w:ind w:left="680" w:right="10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Trademark Transfer Agreement between Guangzhou NetEase and NetEase Beijing</w:t>
      </w:r>
      <w:r>
        <w:rPr>
          <w:rFonts w:ascii="Arial" w:cs="Arial" w:eastAsia="Arial" w:hAnsi="Arial"/>
          <w:sz w:val="18"/>
          <w:szCs w:val="18"/>
          <w:color w:val="auto"/>
        </w:rPr>
        <w:t>. Under this agreement, Guangzhou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its registered trademarks to NetEase Beijing.</w:t>
      </w:r>
    </w:p>
    <w:p>
      <w:pPr>
        <w:spacing w:after="0" w:line="170" w:lineRule="exact"/>
        <w:rPr>
          <w:rFonts w:ascii="Arial" w:cs="Arial" w:eastAsia="Arial" w:hAnsi="Arial"/>
          <w:sz w:val="18"/>
          <w:szCs w:val="18"/>
          <w:color w:val="auto"/>
        </w:rPr>
      </w:pPr>
    </w:p>
    <w:p>
      <w:pPr>
        <w:ind w:left="680" w:right="180" w:hanging="321"/>
        <w:spacing w:after="0" w:line="263"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Supplemental Agreement between NetEase Beijing and Guangzhou NetEase. </w:t>
      </w:r>
      <w:r>
        <w:rPr>
          <w:rFonts w:ascii="Arial" w:cs="Arial" w:eastAsia="Arial" w:hAnsi="Arial"/>
          <w:sz w:val="18"/>
          <w:szCs w:val="18"/>
          <w:color w:val="auto"/>
        </w:rPr>
        <w:t>NetEase Beijing may not grant the license to use</w:t>
      </w:r>
      <w:r>
        <w:rPr>
          <w:rFonts w:ascii="Arial" w:cs="Arial" w:eastAsia="Arial" w:hAnsi="Arial"/>
          <w:sz w:val="18"/>
          <w:szCs w:val="18"/>
          <w:i w:val="1"/>
          <w:iCs w:val="1"/>
          <w:color w:val="auto"/>
        </w:rPr>
        <w:t xml:space="preserve"> </w:t>
      </w:r>
      <w:r>
        <w:rPr>
          <w:rFonts w:ascii="Arial" w:cs="Arial" w:eastAsia="Arial" w:hAnsi="Arial"/>
          <w:sz w:val="18"/>
          <w:szCs w:val="18"/>
          <w:color w:val="auto"/>
        </w:rPr>
        <w:t>its domain name, copyright and trademark to any third party without Guangzhou NetEase’s consent and may not provide technical service to any third party.</w:t>
      </w:r>
    </w:p>
    <w:p>
      <w:pPr>
        <w:spacing w:after="0" w:line="183" w:lineRule="exact"/>
        <w:rPr>
          <w:rFonts w:ascii="Arial" w:cs="Arial" w:eastAsia="Arial" w:hAnsi="Arial"/>
          <w:sz w:val="18"/>
          <w:szCs w:val="18"/>
          <w:color w:val="auto"/>
        </w:rPr>
      </w:pPr>
    </w:p>
    <w:p>
      <w:pPr>
        <w:ind w:left="680" w:right="20" w:hanging="321"/>
        <w:spacing w:after="0" w:line="273" w:lineRule="auto"/>
        <w:tabs>
          <w:tab w:leader="none" w:pos="680"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Shareholder Voting Rights Trust Agreement among NetEase Beijing and the Individual Shareholders of Guangzhou NetEase. </w:t>
      </w:r>
      <w:r>
        <w:rPr>
          <w:rFonts w:ascii="Arial" w:cs="Arial" w:eastAsia="Arial" w:hAnsi="Arial"/>
          <w:sz w:val="17"/>
          <w:szCs w:val="17"/>
          <w:color w:val="auto"/>
        </w:rPr>
        <w:t>William Lei Ding and Xiaojun Hui agreed to irrevocably appoint NetEase Beijing to represent him to exercise all voting rights to which he is entitled as a shareholder of Guangzhou NetEase. The term of this agreement is 20 years from May 12, 2010.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77" w:lineRule="exact"/>
        <w:rPr>
          <w:rFonts w:ascii="Arial" w:cs="Arial" w:eastAsia="Arial" w:hAnsi="Arial"/>
          <w:sz w:val="17"/>
          <w:szCs w:val="17"/>
          <w:color w:val="auto"/>
        </w:rPr>
      </w:pPr>
    </w:p>
    <w:p>
      <w:pPr>
        <w:ind w:left="680" w:right="60" w:hanging="321"/>
        <w:spacing w:after="0" w:line="277" w:lineRule="auto"/>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Agreement between NetEase Beijing and Guangzhou NetEase. </w:t>
      </w:r>
      <w:r>
        <w:rPr>
          <w:rFonts w:ascii="Arial" w:cs="Arial" w:eastAsia="Arial" w:hAnsi="Arial"/>
          <w:sz w:val="18"/>
          <w:szCs w:val="18"/>
          <w:color w:val="auto"/>
        </w:rPr>
        <w:t>NetEase Beijing agrees to pay the operating costs of Guangzhou</w:t>
      </w:r>
      <w:r>
        <w:rPr>
          <w:rFonts w:ascii="Arial" w:cs="Arial" w:eastAsia="Arial" w:hAnsi="Arial"/>
          <w:sz w:val="18"/>
          <w:szCs w:val="18"/>
          <w:i w:val="1"/>
          <w:iCs w:val="1"/>
          <w:color w:val="auto"/>
        </w:rPr>
        <w:t xml:space="preserve"> </w:t>
      </w:r>
      <w:r>
        <w:rPr>
          <w:rFonts w:ascii="Arial" w:cs="Arial" w:eastAsia="Arial" w:hAnsi="Arial"/>
          <w:sz w:val="18"/>
          <w:szCs w:val="18"/>
          <w:color w:val="auto"/>
        </w:rPr>
        <w:t>NetEase.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hanging="321"/>
        <w:spacing w:after="0" w:line="269"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Letter of Agreement. </w:t>
      </w:r>
      <w:r>
        <w:rPr>
          <w:rFonts w:ascii="Arial" w:cs="Arial" w:eastAsia="Arial" w:hAnsi="Arial"/>
          <w:sz w:val="17"/>
          <w:szCs w:val="17"/>
          <w:color w:val="auto"/>
        </w:rPr>
        <w:t>Each of William Lei Ding and Xiaojun Hui have agreed that any amendments to be made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 Voting Rights Trust Agreement, the Equity Pledge Agreement (described below) and the Loan Agreement (described below), as well as all other agreements to which our company, NetEase Beijing and/or their respective affiliates is a party, on the one hand, and any of their VIEs and/or the shareholders of such entities, on the other hand, shall be subject to the approval by the vote of a majority of our board, excluding the vote of William Lei Ding. Messrs. Ding and Hui have also agreed that, if any amendments to the above mentioned agreements require a vote of the shareholders of our company or Guangzhou NetEase, as applicable, both of them will vote in their capacity as direct or indirect shareholders of these companies to act based upon the instructions of our board. The term of this agreement is 20 years from May 12, 2010, and this agreement was amended and novated on May 1, 2014 in connection with Mr. Hui’s acquisition of his equity interest in Guangzhou NetEase from a prior shareholder and further amended and restated on November 30, 2015 in connection with the equity transfer of NetEase Advertising to William Lei Ding and Li Li.</w:t>
      </w:r>
    </w:p>
    <w:p>
      <w:pPr>
        <w:spacing w:after="0" w:line="181" w:lineRule="exact"/>
        <w:rPr>
          <w:rFonts w:ascii="Arial" w:cs="Arial" w:eastAsia="Arial" w:hAnsi="Arial"/>
          <w:sz w:val="17"/>
          <w:szCs w:val="17"/>
          <w:color w:val="auto"/>
        </w:rPr>
      </w:pPr>
    </w:p>
    <w:p>
      <w:pPr>
        <w:ind w:left="680" w:right="40" w:hanging="321"/>
        <w:spacing w:after="0" w:line="287" w:lineRule="auto"/>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Loan Agreement and Equity Pledge Agreement</w:t>
      </w:r>
      <w:r>
        <w:rPr>
          <w:rFonts w:ascii="Arial" w:cs="Arial" w:eastAsia="Arial" w:hAnsi="Arial"/>
          <w:sz w:val="16"/>
          <w:szCs w:val="16"/>
          <w:color w:val="auto"/>
        </w:rPr>
        <w:t>. Concurrent with Mr. Hui’s acquisition of his equity interest in Guangzhou</w:t>
      </w:r>
      <w:r>
        <w:rPr>
          <w:rFonts w:ascii="Arial" w:cs="Arial" w:eastAsia="Arial" w:hAnsi="Arial"/>
          <w:sz w:val="16"/>
          <w:szCs w:val="16"/>
          <w:i w:val="1"/>
          <w:iCs w:val="1"/>
          <w:color w:val="auto"/>
        </w:rPr>
        <w:t xml:space="preserve"> </w:t>
      </w:r>
      <w:r>
        <w:rPr>
          <w:rFonts w:ascii="Arial" w:cs="Arial" w:eastAsia="Arial" w:hAnsi="Arial"/>
          <w:sz w:val="16"/>
          <w:szCs w:val="16"/>
          <w:color w:val="auto"/>
        </w:rPr>
        <w:t>NetEase from a prior shareholder, Mr. Hui entered into a Loan Agreement and Equity Pledge Agreement with NetEase Beijing, each dated May 1, 2014. Under the Loan Agreement, NetEase Beijing provided Mr. Hui with an interest-free loan in the principal amount of RMB0.2 million (US$28,728) to Mr. Hui, which funds were used by Mr. Hui to pay the consideration to acquire such 1.0% equity interest. The loan can be repaid by transferring such 1.0% equity interest to NetEase Beijing or its designee or through such other method as NetEase Beijing shall determine. The term of the loan is 10 years from the date of the agreement and can be extended upon the mutual consent of both parties. Under the Equity Pledge Agreement, Mr. Hui pledges his 1.0% equity interest in Guangzhou NetEase to NetEase Beijing to secure his respective obligations under the Loan Agreement and Shareholder Voting Rights Trust Agreement. Mr. Hui agrees he shall not transfer, pledge or encumber his 1.0% equity interest without the prior written consent of NetEase Beijing. During the term of this agreement, NetEase Beijing is entitled to all dividends and other distributions made by Guangzhou NetEase. The Equity Pledge Agreement will remain binding until Mr. Hui discharges all his obligations under the above-mentioned agreements.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Hangzhou Leihuo</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Zhipeng Hu and Tianlei Hu, two of our employees, each owned 50.0% of the equity interest in Hangzhou Leihuo. On April 18, 2019, pursuant to a supplementary agreement of assignment, the equity interest in Hangzhou Leihuo owned by Tianlei Hu and the contractual obligations described below were assigned to Long Cheng, another employee of ours. As of the date of this annual report, each of Zhipeng Hu and Long Cheng owns 50.0% of the equity interest in Hangzhou Leihuo.</w:t>
      </w:r>
    </w:p>
    <w:p>
      <w:pPr>
        <w:spacing w:after="0" w:line="171" w:lineRule="exact"/>
        <w:rPr>
          <w:sz w:val="20"/>
          <w:szCs w:val="20"/>
          <w:color w:val="auto"/>
        </w:rPr>
      </w:pPr>
    </w:p>
    <w:p>
      <w:pPr>
        <w:ind w:left="680" w:right="40" w:hanging="321"/>
        <w:spacing w:after="0" w:line="268" w:lineRule="auto"/>
        <w:tabs>
          <w:tab w:leader="none" w:pos="68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Loan Agreements and Equity Pledge Agreements between NetEase Hangzhou and each of the ultimate shareholders of Hangzhou Leihuo</w:t>
      </w:r>
      <w:r>
        <w:rPr>
          <w:rFonts w:ascii="Arial" w:cs="Arial" w:eastAsia="Arial" w:hAnsi="Arial"/>
          <w:sz w:val="17"/>
          <w:szCs w:val="17"/>
          <w:color w:val="auto"/>
        </w:rPr>
        <w:t>. Each of the ultimate shareholders of Hangzhou Leihuo has entered into a Loan Agreement and an Equity</w:t>
      </w:r>
      <w:r>
        <w:rPr>
          <w:rFonts w:ascii="Arial" w:cs="Arial" w:eastAsia="Arial" w:hAnsi="Arial"/>
          <w:sz w:val="17"/>
          <w:szCs w:val="17"/>
          <w:i w:val="1"/>
          <w:iCs w:val="1"/>
          <w:color w:val="auto"/>
        </w:rPr>
        <w:t xml:space="preserve"> </w:t>
      </w:r>
      <w:r>
        <w:rPr>
          <w:rFonts w:ascii="Arial" w:cs="Arial" w:eastAsia="Arial" w:hAnsi="Arial"/>
          <w:sz w:val="17"/>
          <w:szCs w:val="17"/>
          <w:color w:val="auto"/>
        </w:rPr>
        <w:t>Pledge Agreement with NetEase Hangzhou, each dated December 1, 2015. Under the Loan Agreements, NetEase Hangzhou provided each of the ultimate shareholders of Hangzhou Leihuo with an interest-free loan in the principal amount of RMB5.0 million (US$0.7 million), which funds were used by each of the ultimate shareholders of Hangzhou Leihuo to pay the consideration to acquire their 50.0% equity interests in Hangzhou Leihuo. Each loan can be repaid by transferring the ultimate shareholder’s equity interest in Hangzhou Leihuo to NetEase Hangzhou or its designee or through such other method as NetEase Hangzhou shall determine. The term of each Loan Agreement is 10 years from the date of the agreement and will be automatically extended for further 10 year terms unless otherwise decided by NetEase Hangzhou. Under the Equity Pledge Agreements, each of the ultimate shareholders of Hangzhou Leihuo pledges his 50.0% equity interest in Hangzhou Leihuo to NetEase Hangzhou to secure his respective obligations under the Loan Agreement as well as the Exclusive Purchase Option Agreement, the Shareholder Voting Rights Trust Agreement and the Operating Agreement. Each of the ultimate shareholders of Hangzhou Leihuo agrees he shall not transfer, assign or pledge his equity interest in Hangzhou Leihuo without the prior written consent of NetEase Hangzhou. The Equity Pledge Agreements will remain binding until the pledgor discharges all his obligations under the above-mentioned agreements.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60" w:hanging="321"/>
        <w:spacing w:after="0" w:line="269"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Exclusive Purchase Option Agreements among NetEase Hangzhou, Hangzhou Leihuo and each of the ultimate shareholders of Hangzhou Leihuo</w:t>
      </w:r>
      <w:r>
        <w:rPr>
          <w:rFonts w:ascii="Arial" w:cs="Arial" w:eastAsia="Arial" w:hAnsi="Arial"/>
          <w:sz w:val="17"/>
          <w:szCs w:val="17"/>
          <w:color w:val="auto"/>
        </w:rPr>
        <w:t>. Under the Exclusive Purchase Option Agreements, each dated December 1, 2015, each of the ultimate</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of Hangzhou Leihuo has granted NetEase Hangzhou an option to purchase all or a portion of his equity interest in Hangzhou Leihuo at a price equal to the original paid-in capital paid by the ultimate shareholder. In addition, Hangzhou Leihuo has granted NetEase Hangzhou an option under the Exclusive Purchase Option Agreements to purchase all or a portion of the assets held by Hangzhou Leihuo or its subsidiaries at a price equal to the net book value of such assets. Each of Hangzhou Leihuo and the ultimate shareholders of Hangzhou Leihuo agrees not to transfer, mortgage or permit any security interest to be created on any equity interest in or assets of Hangzhou Leihuo without the prior written consent of NetEase Hangzhou. Each Exclusive Purchase Option Agreement shall remain in effect until all of the equity interests in or assets of Hangzhou Leihuo have been acquired by NetEase Hangzhou or its designee or until NetEase Hangzhou unilaterally terminates the agreement by written notice.</w:t>
      </w:r>
    </w:p>
    <w:p>
      <w:pPr>
        <w:spacing w:after="0" w:line="181" w:lineRule="exact"/>
        <w:rPr>
          <w:rFonts w:ascii="Arial" w:cs="Arial" w:eastAsia="Arial" w:hAnsi="Arial"/>
          <w:sz w:val="17"/>
          <w:szCs w:val="17"/>
          <w:color w:val="auto"/>
        </w:rPr>
      </w:pPr>
    </w:p>
    <w:p>
      <w:pPr>
        <w:ind w:left="680" w:hanging="321"/>
        <w:spacing w:after="0" w:line="255"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Shareholder Voting Rights Trust Agreement between NetEase Hangzhou and each of the ultimate shareholders of Hangzhou Leihuo</w:t>
      </w:r>
      <w:r>
        <w:rPr>
          <w:rFonts w:ascii="Arial" w:cs="Arial" w:eastAsia="Arial" w:hAnsi="Arial"/>
          <w:sz w:val="18"/>
          <w:szCs w:val="18"/>
          <w:color w:val="auto"/>
        </w:rPr>
        <w:t>. Under these agreements, each dated December 1, 2015, each of the ultimate shareholders of Hangzhou Leihuo has</w:t>
      </w:r>
      <w:r>
        <w:rPr>
          <w:rFonts w:ascii="Arial" w:cs="Arial" w:eastAsia="Arial" w:hAnsi="Arial"/>
          <w:sz w:val="18"/>
          <w:szCs w:val="18"/>
          <w:i w:val="1"/>
          <w:iCs w:val="1"/>
          <w:color w:val="auto"/>
        </w:rPr>
        <w:t xml:space="preserve"> </w:t>
      </w:r>
      <w:r>
        <w:rPr>
          <w:rFonts w:ascii="Arial" w:cs="Arial" w:eastAsia="Arial" w:hAnsi="Arial"/>
          <w:sz w:val="18"/>
          <w:szCs w:val="18"/>
          <w:color w:val="auto"/>
        </w:rPr>
        <w:t>agreed to irrevocably entrust a person designated by NetEase Hangzhou to represent him to exercise all the voting rights and other shareholders’ rights to which he is entitled as a shareholder of Hangzhou Leihuo. Each agreement shall remain effective for as long as such shareholder remains a shareholder of Hangzhou Leihuo unless NetEase Hangzhou unilaterally terminates the agreement by written notice.</w:t>
      </w:r>
    </w:p>
    <w:p>
      <w:pPr>
        <w:spacing w:after="0" w:line="192" w:lineRule="exact"/>
        <w:rPr>
          <w:rFonts w:ascii="Arial" w:cs="Arial" w:eastAsia="Arial" w:hAnsi="Arial"/>
          <w:sz w:val="18"/>
          <w:szCs w:val="18"/>
          <w:color w:val="auto"/>
        </w:rPr>
      </w:pPr>
    </w:p>
    <w:p>
      <w:pPr>
        <w:ind w:left="680" w:right="40" w:hanging="321"/>
        <w:spacing w:after="0" w:line="269" w:lineRule="auto"/>
        <w:tabs>
          <w:tab w:leader="none" w:pos="68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 xml:space="preserve">Operating Agreement among NetEase Hangzhou, Hangzhou Leihuo and the ultimate shareholders of Hangzhou Leihuo. </w:t>
      </w:r>
      <w:r>
        <w:rPr>
          <w:rFonts w:ascii="Arial" w:cs="Arial" w:eastAsia="Arial" w:hAnsi="Arial"/>
          <w:sz w:val="17"/>
          <w:szCs w:val="17"/>
          <w:color w:val="auto"/>
        </w:rPr>
        <w:t>To</w:t>
      </w:r>
      <w:r>
        <w:rPr>
          <w:rFonts w:ascii="Arial" w:cs="Arial" w:eastAsia="Arial" w:hAnsi="Arial"/>
          <w:sz w:val="17"/>
          <w:szCs w:val="17"/>
          <w:i w:val="1"/>
          <w:iCs w:val="1"/>
          <w:color w:val="auto"/>
        </w:rPr>
        <w:t xml:space="preserve"> </w:t>
      </w:r>
      <w:r>
        <w:rPr>
          <w:rFonts w:ascii="Arial" w:cs="Arial" w:eastAsia="Arial" w:hAnsi="Arial"/>
          <w:sz w:val="17"/>
          <w:szCs w:val="17"/>
          <w:color w:val="auto"/>
        </w:rPr>
        <w:t>ensure the successful performance of the various agreements between the parties, Hangzhou Leihuo and its ultimate shareholders have agreed that, except for transactions in the ordinary course of business, Hangzhou Leihuo will not enter into any transaction that would materially affect the assets, liabilities, rights or operations of Hangzhou Leihuo without the prior written consent of NetEase Hangzhou. NetEase Hangzhou has also agreed that it will provide performance guarantees and, at NetEase Hangzhou’s discretion, guarantee loans for working capital purposes to the extent required by Hangzhou Leihuo for its operations. Furthermore, the ultimate shareholders of Hangzhou Leihuo have agreed that, upon instruction from NetEase Hangzhou, they will appoint Hangzhou Leihuo’s board members, president, chief financial officer and other senior executive officers. The term of this agreement is 20 years from December 1, 2015 and can be extended with the written consent of NetEase Hangzhou.</w:t>
      </w:r>
    </w:p>
    <w:p>
      <w:pPr>
        <w:spacing w:after="0" w:line="185" w:lineRule="exact"/>
        <w:rPr>
          <w:rFonts w:ascii="Arial" w:cs="Arial" w:eastAsia="Arial" w:hAnsi="Arial"/>
          <w:sz w:val="17"/>
          <w:szCs w:val="17"/>
          <w:color w:val="auto"/>
        </w:rPr>
      </w:pPr>
    </w:p>
    <w:p>
      <w:pPr>
        <w:ind w:left="680" w:right="480" w:hanging="321"/>
        <w:spacing w:after="0" w:line="277" w:lineRule="auto"/>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Cooperation Agreement between NetEase Hangzhou and Hangzhou Leihuo. </w:t>
      </w:r>
      <w:r>
        <w:rPr>
          <w:rFonts w:ascii="Arial" w:cs="Arial" w:eastAsia="Arial" w:hAnsi="Arial"/>
          <w:sz w:val="18"/>
          <w:szCs w:val="18"/>
          <w:color w:val="auto"/>
        </w:rPr>
        <w:t>Under this Cooperation Agreement, NetEase</w:t>
      </w:r>
      <w:r>
        <w:rPr>
          <w:rFonts w:ascii="Arial" w:cs="Arial" w:eastAsia="Arial" w:hAnsi="Arial"/>
          <w:sz w:val="18"/>
          <w:szCs w:val="18"/>
          <w:i w:val="1"/>
          <w:iCs w:val="1"/>
          <w:color w:val="auto"/>
        </w:rPr>
        <w:t xml:space="preserve"> </w:t>
      </w:r>
      <w:r>
        <w:rPr>
          <w:rFonts w:ascii="Arial" w:cs="Arial" w:eastAsia="Arial" w:hAnsi="Arial"/>
          <w:sz w:val="18"/>
          <w:szCs w:val="18"/>
          <w:color w:val="auto"/>
        </w:rPr>
        <w:t>Hangzhou has agreed to provide the following services:</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development of computer software (including, but not limited to, online games) and technical support and maintenance for computer software operation;</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provision of broadband internet access and other operational support; and</w:t>
      </w:r>
    </w:p>
    <w:p>
      <w:pPr>
        <w:spacing w:after="0" w:line="225" w:lineRule="exact"/>
        <w:rPr>
          <w:rFonts w:ascii="Arial" w:cs="Arial" w:eastAsia="Arial" w:hAnsi="Arial"/>
          <w:sz w:val="18"/>
          <w:szCs w:val="18"/>
          <w:color w:val="auto"/>
        </w:rPr>
      </w:pPr>
    </w:p>
    <w:p>
      <w:pPr>
        <w:ind w:left="1000" w:right="200" w:hanging="317"/>
        <w:spacing w:after="0" w:line="277" w:lineRule="auto"/>
        <w:tabs>
          <w:tab w:leader="none" w:pos="10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jointly with Hangzhou Leihuo, the provision of value-added telecommunication and other services to users of the Leihuo website and relevant products.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Hangzhou Leihuo has agreed to pay a monthly service fee to NetEase Hangzhou in accordance with a formula based on its expenses incurred. This agreement was effective from January 1, 2010 and will continue to be effective unless it is terminated by written notice of NetEase Hangzhou or, in case of a material breach of the agreement, it is terminated by written notice of the non-breaching party.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Agreements relating to Youdao Computer</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Prior to November 20, 2017, William Lei Ding and certain employees or former employees of Youdao Computer owned 71.1% and 28.9% of the equity interest in Youdao Computer, respectively. As a result of an internal reorganization completed on November 20, 2017, Zhou Feng, the chief executive officer of Youdao, became the holder of the 28.9% equity interest in Youdao Computer, with William Lei Ding continuing to hold 71.1% of the equity interest in Youdao Computer.</w:t>
      </w:r>
    </w:p>
    <w:p>
      <w:pPr>
        <w:spacing w:after="0" w:line="171" w:lineRule="exact"/>
        <w:rPr>
          <w:sz w:val="20"/>
          <w:szCs w:val="20"/>
          <w:color w:val="auto"/>
        </w:rPr>
      </w:pPr>
    </w:p>
    <w:p>
      <w:pPr>
        <w:ind w:left="680" w:right="20" w:hanging="321"/>
        <w:spacing w:after="0" w:line="289" w:lineRule="auto"/>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Loan Agreements between Youdao Information and each of William Lei Ding and Zhou Feng</w:t>
      </w:r>
      <w:r>
        <w:rPr>
          <w:rFonts w:ascii="Arial" w:cs="Arial" w:eastAsia="Arial" w:hAnsi="Arial"/>
          <w:sz w:val="16"/>
          <w:szCs w:val="16"/>
          <w:color w:val="auto"/>
        </w:rPr>
        <w:t>. Each of William Lei 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Zhou Feng entered into a Loan Agreement with Youdao Information, dated September 26, 2016 and November 20, 2017, respectively. Under these Loan Agreements, Youdao Information provided each of William Lei Ding and Zhou Feng with an interest-free loan in the principal amount of approximately RMB3.6 million (US$0.5 million) and RMB1.4 million (US$0.2 million), respectively. These funds were used by each of William Lei Ding and Zhou Feng to pay the consideration to acquire his respective equity interest in Youdao Computer. Such loans can be repaid by transferring each of William Lei Ding and Zhou Feng’s respective equity interest in Youdao Computer to Youdao Information or its designee or through such other method as Youdao Information shall determine. The term of each of the Loan Agreements is 10 years from the date of such agreement and will be automatically extended for a further 10-year term unless otherwise decided by Youdao Information.</w:t>
      </w:r>
    </w:p>
    <w:p>
      <w:pPr>
        <w:spacing w:after="0" w:line="166" w:lineRule="exact"/>
        <w:rPr>
          <w:rFonts w:ascii="Arial" w:cs="Arial" w:eastAsia="Arial" w:hAnsi="Arial"/>
          <w:sz w:val="16"/>
          <w:szCs w:val="16"/>
          <w:color w:val="auto"/>
        </w:rPr>
      </w:pPr>
    </w:p>
    <w:p>
      <w:pPr>
        <w:ind w:left="680" w:right="20" w:hanging="321"/>
        <w:spacing w:after="0" w:line="253" w:lineRule="auto"/>
        <w:tabs>
          <w:tab w:leader="none" w:pos="6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Equity Pledge Agreements between Youdao Information and each of William Lei Ding and Zhou Feng</w:t>
      </w:r>
      <w:r>
        <w:rPr>
          <w:rFonts w:ascii="Arial" w:cs="Arial" w:eastAsia="Arial" w:hAnsi="Arial"/>
          <w:sz w:val="18"/>
          <w:szCs w:val="18"/>
          <w:color w:val="auto"/>
        </w:rPr>
        <w:t>. Each of William Lei</w:t>
      </w:r>
      <w:r>
        <w:rPr>
          <w:rFonts w:ascii="Arial" w:cs="Arial" w:eastAsia="Arial" w:hAnsi="Arial"/>
          <w:sz w:val="18"/>
          <w:szCs w:val="18"/>
          <w:i w:val="1"/>
          <w:iCs w:val="1"/>
          <w:color w:val="auto"/>
        </w:rPr>
        <w:t xml:space="preserve"> </w:t>
      </w:r>
      <w:r>
        <w:rPr>
          <w:rFonts w:ascii="Arial" w:cs="Arial" w:eastAsia="Arial" w:hAnsi="Arial"/>
          <w:sz w:val="18"/>
          <w:szCs w:val="18"/>
          <w:color w:val="auto"/>
        </w:rPr>
        <w:t>Ding and Zhou Feng entered into an Equity Pledge Agreement with Youdao Information, dated September 26, 2016 and November 20, 2017, respectively. Under such Equity Pledge Agreements, each of William Lei Ding and Zhou Feng pledged his respective equity interest in Youdao Computer to Youdao Information to secure his obligations under the applicable Loan Agreement, Exclusive Purchase Option Agreement, Shareholder Voting Rights Trust Agreement, and Operating Agreement. Each of William Lei Ding and Zhou Feng further agreed to not transfer or pledge his respective equity interest in Youdao Computer without the prior written consent of Youdao Information. Each of the Equity Pledge Agreement will remain binding until the respective pledger, William Lei Ding or Zhou Feng, as the case may be, discharges all his obligations under the above-mentioned agreements.</w:t>
      </w:r>
    </w:p>
    <w:p>
      <w:pPr>
        <w:spacing w:after="0" w:line="196" w:lineRule="exact"/>
        <w:rPr>
          <w:rFonts w:ascii="Arial" w:cs="Arial" w:eastAsia="Arial" w:hAnsi="Arial"/>
          <w:sz w:val="18"/>
          <w:szCs w:val="18"/>
          <w:color w:val="auto"/>
        </w:rPr>
      </w:pPr>
    </w:p>
    <w:p>
      <w:pPr>
        <w:ind w:left="680" w:hanging="321"/>
        <w:spacing w:after="0" w:line="269"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Exclusive Purchase Option Agreements</w:t>
      </w:r>
      <w:r>
        <w:rPr>
          <w:rFonts w:ascii="Arial" w:cs="Arial" w:eastAsia="Arial" w:hAnsi="Arial"/>
          <w:sz w:val="17"/>
          <w:szCs w:val="17"/>
          <w:color w:val="auto"/>
        </w:rPr>
        <w:t>. Under the Exclusive Purchase Option Agreements entered into by Youdao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Youdao Computer and each of William Lei Ding and Zhou Feng, dated September 26, 2016 and November 20, 2017, respectively, each of William Lei Ding and Zhou Feng granted Youdao Information an option to purchase all or a portion of his respective equity interest in Youdao Computer at a price equal to the original and any additional paid-in capital paid by him. In addition, under each Exclusive Purchase Option Agreement, Youdao Computer has granted Youdao Information an option to purchase all or a portion of the assets held by Youdao Computer or its subsidiaries at a price equal to the net book value of such assets. Each of Youdao Computer, William Lei Ding and Zhou Feng agreed not to transfer, mortgage or permit any security interest to be created on any equity interest in or assets of Youdao Computer without the prior written consent of Youdao Information. Each Exclusive Purchase Option Agreement shall remain in effect until all of the equity interests in or assets of Youdao Computer have been acquired by Youdao Information or its designee or until Youdao Information unilaterally terminates the agreement by written notice.</w:t>
      </w:r>
    </w:p>
    <w:p>
      <w:pPr>
        <w:spacing w:after="0" w:line="181" w:lineRule="exact"/>
        <w:rPr>
          <w:rFonts w:ascii="Arial" w:cs="Arial" w:eastAsia="Arial" w:hAnsi="Arial"/>
          <w:sz w:val="17"/>
          <w:szCs w:val="17"/>
          <w:color w:val="auto"/>
        </w:rPr>
      </w:pPr>
    </w:p>
    <w:p>
      <w:pPr>
        <w:ind w:left="680" w:right="60" w:hanging="321"/>
        <w:spacing w:after="0" w:line="272" w:lineRule="auto"/>
        <w:tabs>
          <w:tab w:leader="none" w:pos="680" w:val="left"/>
        </w:tabs>
        <w:numPr>
          <w:ilvl w:val="0"/>
          <w:numId w:val="66"/>
        </w:numPr>
        <w:rPr>
          <w:rFonts w:ascii="Arial" w:cs="Arial" w:eastAsia="Arial" w:hAnsi="Arial"/>
          <w:sz w:val="17"/>
          <w:szCs w:val="17"/>
          <w:color w:val="auto"/>
        </w:rPr>
      </w:pPr>
      <w:r>
        <w:rPr>
          <w:rFonts w:ascii="Arial" w:cs="Arial" w:eastAsia="Arial" w:hAnsi="Arial"/>
          <w:sz w:val="17"/>
          <w:szCs w:val="17"/>
          <w:i w:val="1"/>
          <w:iCs w:val="1"/>
          <w:color w:val="auto"/>
        </w:rPr>
        <w:t>Shareholder Voting Rights Trust Agreements between Youdao Information and each of William Lei Ding and Zhou Feng</w:t>
      </w:r>
      <w:r>
        <w:rPr>
          <w:rFonts w:ascii="Arial" w:cs="Arial" w:eastAsia="Arial" w:hAnsi="Arial"/>
          <w:sz w:val="17"/>
          <w:szCs w:val="17"/>
          <w:color w:val="auto"/>
        </w:rPr>
        <w: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 Voting Rights Trust Agreements between Youdao Information and each of William Lei Ding and Zhou Feng, dated September 26, 2016 and November 20, 2017, respectively, each of William Lei Ding and Zhou Feng, agreed to irrevocably entrust a person designated by Youdao Information to represent him to exercise all the voting rights and other shareholders’ rights to which he is entitled as a shareholder of Youdao Computer. Each Shareholder Voting Rights Trust Agreement shall remain effective for as long as William Lei Ding or Zhou Feng, as applicable, remains a shareholder of Youdao Computer unless Youdao Information unilaterally terminates the agreement by written notice.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80" w:right="60" w:hanging="321"/>
        <w:spacing w:after="0" w:line="269" w:lineRule="auto"/>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Operating Agreements among Youdao Computer, Youdao Information and each of William Lei Ding and Zhou Feng. </w:t>
      </w:r>
      <w:r>
        <w:rPr>
          <w:rFonts w:ascii="Arial" w:cs="Arial" w:eastAsia="Arial" w:hAnsi="Arial"/>
          <w:sz w:val="17"/>
          <w:szCs w:val="17"/>
          <w:color w:val="auto"/>
        </w:rPr>
        <w:t>To ensure</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successful performance of the various agreements between the parties, each of Youdao Computer, William Lei Ding and Zhou Feng agreed that, except for transactions in the ordinary course of business, Youdao Computer will not enter into any transaction that would materially affect the assets, liabilities, rights or operations of Youdao Computer without the prior written consent of Youdao Information. Youdao Information also agreed that it would provide performance guarantees and, at Youdao Information’s discretion, guarantee loans for working capital purposes to the extent required by Youdao Computer for its operations. Furthermore, each of William Lei Ding and Zhou Feng agreed that, upon instruction from Youdao Information, he would appoint Youdao Computer’s board members, president, chief financial officer and other senior executive officers. The term of each Operating Agreement is 20 years from the date of execution and can be extended with the written consent of Youdao Information.</w:t>
      </w:r>
    </w:p>
    <w:p>
      <w:pPr>
        <w:spacing w:after="0" w:line="185" w:lineRule="exact"/>
        <w:rPr>
          <w:rFonts w:ascii="Arial" w:cs="Arial" w:eastAsia="Arial" w:hAnsi="Arial"/>
          <w:sz w:val="17"/>
          <w:szCs w:val="17"/>
          <w:color w:val="auto"/>
        </w:rPr>
      </w:pPr>
    </w:p>
    <w:p>
      <w:pPr>
        <w:ind w:left="680" w:right="460" w:hanging="321"/>
        <w:spacing w:after="0" w:line="277" w:lineRule="auto"/>
        <w:tabs>
          <w:tab w:leader="none" w:pos="6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Cooperation Agreement between Youdao Information and Youdao Computer</w:t>
      </w:r>
      <w:r>
        <w:rPr>
          <w:rFonts w:ascii="Arial" w:cs="Arial" w:eastAsia="Arial" w:hAnsi="Arial"/>
          <w:sz w:val="18"/>
          <w:szCs w:val="18"/>
          <w:color w:val="auto"/>
        </w:rPr>
        <w:t>. Under this Cooperation Agreement, Youdao</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has agreed to provide the following services:</w:t>
      </w:r>
    </w:p>
    <w:p>
      <w:pPr>
        <w:spacing w:after="0" w:line="170" w:lineRule="exact"/>
        <w:rPr>
          <w:rFonts w:ascii="Arial" w:cs="Arial" w:eastAsia="Arial" w:hAnsi="Arial"/>
          <w:sz w:val="18"/>
          <w:szCs w:val="18"/>
          <w:color w:val="auto"/>
        </w:rPr>
      </w:pPr>
    </w:p>
    <w:p>
      <w:pPr>
        <w:ind w:left="1000" w:right="140" w:hanging="317"/>
        <w:spacing w:after="0" w:line="308" w:lineRule="auto"/>
        <w:tabs>
          <w:tab w:leader="none" w:pos="10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development of computer software (including, but not limited to, generating online advertisement and distribution and maintenance of related software) and technical support and maintenance for computer software operation;</w:t>
      </w:r>
    </w:p>
    <w:p>
      <w:pPr>
        <w:spacing w:after="0" w:line="146" w:lineRule="exact"/>
        <w:rPr>
          <w:rFonts w:ascii="Arial" w:cs="Arial" w:eastAsia="Arial" w:hAnsi="Arial"/>
          <w:sz w:val="17"/>
          <w:szCs w:val="17"/>
          <w:color w:val="auto"/>
        </w:rPr>
      </w:pPr>
    </w:p>
    <w:p>
      <w:pPr>
        <w:ind w:left="1000" w:right="300" w:hanging="317"/>
        <w:spacing w:after="0" w:line="277" w:lineRule="auto"/>
        <w:tabs>
          <w:tab w:leader="none" w:pos="1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development of computer software related to generating online advertisement, establishment of platforms for online advertisement and related updates and operational support; and</w:t>
      </w:r>
    </w:p>
    <w:p>
      <w:pPr>
        <w:spacing w:after="0" w:line="170" w:lineRule="exact"/>
        <w:rPr>
          <w:rFonts w:ascii="Arial" w:cs="Arial" w:eastAsia="Arial" w:hAnsi="Arial"/>
          <w:sz w:val="18"/>
          <w:szCs w:val="18"/>
          <w:color w:val="auto"/>
        </w:rPr>
      </w:pPr>
    </w:p>
    <w:p>
      <w:pPr>
        <w:ind w:left="1000" w:right="80" w:hanging="317"/>
        <w:spacing w:after="0" w:line="277" w:lineRule="auto"/>
        <w:tabs>
          <w:tab w:leader="none" w:pos="10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provision of technology support, including, but not limited to, server maintenance, development of server software and related maintenance and updates.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Youdao Computer has agreed to share its monthly income (after tax and expenses) with Youdao Information in accordance with certain formulas as specified in the Cooperation Agreement. This agreement was effective from July 1, 2015 and will continue to be effective unless it is terminated by written notice of Youdao Information or, in case of a material breach of the agreement, it is terminated by written notice of the non-breaching party.</w:t>
      </w:r>
    </w:p>
    <w:p>
      <w:pPr>
        <w:spacing w:after="0" w:line="187"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In addition, in connection with the licensing of certain online games by Blizzard to Shanghai EaseNet for operation in the PRC starting in August 2008, there are certain contractual arrangements among Shanghai EaseNet, the joint venture established between Blizzard and us, and us. As a result of these arrangements, Shanghai EaseNet is a controlled VIE, and William Lei Ding, our Chief Executive Officer, director and major shareholder, does not receive any benefits in his capacity as the shareholder of Shanghai EaseNet or exercise any personal control over it. We have consolidated Shanghai EaseNet into our financial statements as of and for the years ended December 31, 2017, 2018 and 2019. Mr. Ding’s role as the shareholder of Shanghai EaseNet is designed to address Chinese regulations which place restrictions on the percentage interest foreign or foreign-invested companies may have in Chinese companies providing value-added telecommunications services in China, which include the provision of online games. See Item 5.A — “Operating Results—Our Corporate Structure.”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Guarantees</w:t>
      </w:r>
    </w:p>
    <w:p>
      <w:pPr>
        <w:spacing w:after="0" w:line="22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have entered into several guarantee agreements in the aggregate amount of US$1,062.0 million in respect of certain credit facilities taken by our subsidiaries. As of December 31, 2019, US$240.0 million of such credit facilities had not been utilized.</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Agreements with Youdao</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Youdao, which became listed on the New York Stock Exchange in October 2019, is currently our majority-controlled subsidiary. We have entered into agreements with Youdao with respect to various ongoing relationships between us, which became effective upon the completion of Youdao’s initial public offering in October 2019. These include a master transaction agreement, a transitional services agreement, a non-competition agreement, a cooperation framework agreement and an intellectual property license agreement, each of which are summarized below.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Master Transaction Agreement</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have entered into a master transaction agreement with Youdao to govern certain key aspects of our relationship with Youdao, including the allocation of liabilities. Pursuant to the master transaction agreement, Youdao is responsible for, among other things, the liabilities associated with the “Online Learning Business,” which is defined to include the online learning products and online learning services offered by Youdao as of the date of the master transaction agreement, excluding the NetEase open online courses and the K-12 curriculum course offered by us as of the date of the master transaction agreement and certain other specified businesses, and we are responsible for, among other things, the liabilities arising on or after June 30, 2019 associated with the “NetEase Business,” which is defined to include the business conducted by the NetEase as of the date of the master transaction agreement and any business that is derived from such businesses.</w:t>
      </w:r>
    </w:p>
    <w:p>
      <w:pPr>
        <w:spacing w:after="0" w:line="178"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master transaction agreement will automatically terminate five years following the earlier of (i) the first date when we no longer own at least 20% of the voting power of Youdao’s then outstanding voting securities and (ii) the first date when we cease to be the largest beneficial owner of Youdao’s then outstanding voting securities. We refer to such earlier date as the “Control Ending Date.” It can also be terminated early or extended by mutual written consent of Youdao and us. The termination of the master transaction agreement will not affect the validity and effectiveness of the other business cooperation agreements described below.</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Transitional Services Agreement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Under the transitional services agreement, we have agreed that, during the service period as described below, we will provide Youdao with various corporate support and services such as legal support, human resources support, financial reporting, internal control and internal audit support, technology and operational support, and administrative support. The price to be paid for the services provided under the transitional services agreement is calculated by multiplying the sum of the actual “direct costs” and “indirect costs” of providing such services by 100% plus a reasonable mark-up rate as determined by us. Direct costs include labor-related compensation and travel expenses, materials and supplies consumed in and agency fees arising from performing the services. Indirect costs include office occupancy, information technology support and other overhead costs of the departments incurring the direct costs of providing the services.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service period under the transitional services agreement commenced upon the completion of Youdao’s initial public offering and will end on the earliest of (i) the fifth anniversary of the completion of Youdao’s initial public offering, (ii) one year after the Control Ending Date, (iii) the date the transitional services agreement is terminated by Youdao or us, whichever is earlier.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Non-competition Agreement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non-competition agreement, Youdao and we have each agreed to be subject to certain non-compete restrictions during a “Non-competition Period,” beginning from the completion of Youdao’s initial public offering and ending on the earlier of (i) five years after the Control Ending Date; (ii) the date on which Youdao’s ADSs cease to be listed on the New York Stock Exchange; and (iii) the tenth anniversary of the completion of Youdao’s initial public offering. Specifically:</w:t>
      </w:r>
    </w:p>
    <w:p>
      <w:pPr>
        <w:spacing w:after="0" w:line="187" w:lineRule="exact"/>
        <w:rPr>
          <w:sz w:val="20"/>
          <w:szCs w:val="20"/>
          <w:color w:val="auto"/>
        </w:rPr>
      </w:pPr>
    </w:p>
    <w:p>
      <w:pPr>
        <w:ind w:left="340" w:right="140" w:hanging="332"/>
        <w:spacing w:after="0" w:line="25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have agreed not to compete with Youdao in the provision of the Online Learning Business, provided that such non-compete restrictions shall not prevent the us from (i) engaging in the Online Learning Business through or on behalf of Youdao, (ii) continuing to engage in the NetEase Business, (iii) owning a non-controlling interest in any company engaging in any business that is of the same nature as the Online Learning Business, or (iv) engaging in any other business that we and Youdao may agree from time to time.</w:t>
      </w:r>
    </w:p>
    <w:p>
      <w:pPr>
        <w:spacing w:after="0" w:line="187" w:lineRule="exact"/>
        <w:rPr>
          <w:rFonts w:ascii="Arial" w:cs="Arial" w:eastAsia="Arial" w:hAnsi="Arial"/>
          <w:sz w:val="18"/>
          <w:szCs w:val="18"/>
          <w:color w:val="auto"/>
        </w:rPr>
      </w:pPr>
    </w:p>
    <w:p>
      <w:pPr>
        <w:ind w:left="340" w:right="60" w:hanging="332"/>
        <w:spacing w:after="0" w:line="275"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Youdao has agreed not to compete with us in the NetEase Business or business of a similar nature, provided that such non-compete restrictions shall not prevent Youdao from (i) engaging in the NetEase Business or business of a similar nature through us or on our behalf, (ii) continuing to engage in any business that we operate as of the date of the non-competition agreement, (iii) owning a non-controlling interest in any company engaging in any business that is of the same nature as the NetEase Business, and (iv) engaging in any other business that we and Youdao may agree from time to time.</w:t>
      </w:r>
    </w:p>
    <w:p>
      <w:pPr>
        <w:spacing w:after="0" w:line="17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non-competition agreement provides that if there is any ambiguity in the scope of business subject to the foregoing non-compete restrictions, our interpretation shall prevail.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80" w:firstLine="648"/>
        <w:spacing w:after="0" w:line="301" w:lineRule="auto"/>
        <w:rPr>
          <w:sz w:val="20"/>
          <w:szCs w:val="20"/>
          <w:color w:val="auto"/>
        </w:rPr>
      </w:pPr>
      <w:r>
        <w:rPr>
          <w:rFonts w:ascii="Arial" w:cs="Arial" w:eastAsia="Arial" w:hAnsi="Arial"/>
          <w:sz w:val="16"/>
          <w:szCs w:val="16"/>
          <w:color w:val="auto"/>
        </w:rPr>
        <w:t>In addition, we and Youdao have each undertaken to each other that during the Non-competition Period, should a party have a business or investment opportunity relating to the other party’s businesses covered by the foregoing non-compete restrictions, it shall notify the other party of such opportunity in writing. If the party receiving the notice elects not to or otherwise fails to take up the opportunity within 30 days, the notifying party may proceed to take up such business or investment opportunity.</w:t>
      </w:r>
    </w:p>
    <w:p>
      <w:pPr>
        <w:spacing w:after="0" w:line="15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non-competition agreement also provides for a mutual non-solicitation obligation that neither Youdao nor we may, during the Non-competition Period, hire, or solicit for hire, any active employees of or individuals providing consulting services to the other party, or any former employees of or individuals providing consulting services to the other party within six months of the termination of their employment or consulting services, without the other party’s consent, except for solicitation activities through generalized non-targeted advertisement not directed to such employees or individuals that do not result in a hiring within the Non-competition Period. In addition, during the Non-competition Period, we and Youdao have each agreed not to solicit business falling within the other party’s business scope from the other party’s customer, supplier, distributor or similar third parties.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Cooperation Framework Agreement</w:t>
      </w:r>
    </w:p>
    <w:p>
      <w:pPr>
        <w:spacing w:after="0" w:line="225" w:lineRule="exact"/>
        <w:rPr>
          <w:sz w:val="20"/>
          <w:szCs w:val="20"/>
          <w:color w:val="auto"/>
        </w:rPr>
      </w:pPr>
    </w:p>
    <w:p>
      <w:pPr>
        <w:ind w:right="280" w:firstLine="648"/>
        <w:spacing w:after="0" w:line="296" w:lineRule="auto"/>
        <w:rPr>
          <w:sz w:val="20"/>
          <w:szCs w:val="20"/>
          <w:color w:val="auto"/>
        </w:rPr>
      </w:pPr>
      <w:r>
        <w:rPr>
          <w:rFonts w:ascii="Arial" w:cs="Arial" w:eastAsia="Arial" w:hAnsi="Arial"/>
          <w:sz w:val="16"/>
          <w:szCs w:val="16"/>
          <w:color w:val="auto"/>
        </w:rPr>
        <w:t>Under the cooperation framework agreement, we and Youdao have agreed to cooperate with each other in the marketing and promotion of each other’s services and products on our respective platforms. Also, we have agreed to purchase Youdao’s translation services and to allow our users to log on Youdao’s platforms with their NetEase Passports. The cooperation framework agreement became effective on the date of completion of Youdao’s initial public offering and will expire on the earlier of (i) the fifteenth anniversary of the effective date of such agreement or (ii) five year after the Control Ending Date.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Intellectual Property License Agreement</w:t>
      </w:r>
    </w:p>
    <w:p>
      <w:pPr>
        <w:spacing w:after="0" w:line="225" w:lineRule="exact"/>
        <w:rPr>
          <w:sz w:val="20"/>
          <w:szCs w:val="20"/>
          <w:color w:val="auto"/>
        </w:rPr>
      </w:pPr>
    </w:p>
    <w:p>
      <w:pPr>
        <w:ind w:right="480" w:firstLine="648"/>
        <w:spacing w:after="0" w:line="291" w:lineRule="auto"/>
        <w:rPr>
          <w:sz w:val="20"/>
          <w:szCs w:val="20"/>
          <w:color w:val="auto"/>
        </w:rPr>
      </w:pPr>
      <w:r>
        <w:rPr>
          <w:rFonts w:ascii="Arial" w:cs="Arial" w:eastAsia="Arial" w:hAnsi="Arial"/>
          <w:sz w:val="16"/>
          <w:szCs w:val="16"/>
          <w:color w:val="auto"/>
        </w:rPr>
        <w:t>Under the intellectual property license agreement, we and Youdao grant to each other a worldwide, fully paid-up, non-sublicensable (subject to certain specified exceptions), non-transferable, limited and non-exclusive license of certain intellectual properties for a royalty as agreed by both parties solely to use, reproduce, modify, prepare derivative works of, perform, display, or otherwise exploit the licensed intellectual property within the term of such agreement. This agreement became effective on the completion of Youdao’s initial public offering and expires on the earlier of (i) the fifteen anniversary of the effective date of such agreement, and (ii) one year after the Control Ending Date with respect to the sharing of information and data and user registration information, or five years after the Control Ending Date with respect to other licenses under such agreement.</w:t>
      </w:r>
    </w:p>
    <w:p>
      <w:pPr>
        <w:spacing w:after="0" w:line="162" w:lineRule="exact"/>
        <w:rPr>
          <w:sz w:val="20"/>
          <w:szCs w:val="20"/>
          <w:color w:val="auto"/>
        </w:rPr>
      </w:pPr>
    </w:p>
    <w:p>
      <w:pPr>
        <w:ind w:left="680" w:hanging="672"/>
        <w:spacing w:after="0"/>
        <w:tabs>
          <w:tab w:leader="none" w:pos="6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jc w:val="center"/>
        <w:ind w:right="7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225" w:lineRule="exact"/>
        <w:rPr>
          <w:sz w:val="20"/>
          <w:szCs w:val="20"/>
          <w:color w:val="auto"/>
        </w:rPr>
      </w:pPr>
    </w:p>
    <w:p>
      <w:pPr>
        <w:ind w:left="680" w:hanging="672"/>
        <w:spacing w:after="0"/>
        <w:tabs>
          <w:tab w:leader="none" w:pos="6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Item 18. “Financial Statements” for our audited consolidated financial statements filed as part of this annual report.</w:t>
      </w:r>
    </w:p>
    <w:p>
      <w:pPr>
        <w:spacing w:after="0" w:line="23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A.7</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From time to time, we become subject to legal proceedings and claims in the ordinary course of our business, including claims of alleged infringement of trademarks, copyrights and other intellectual property rights, and a variety of claims arising in connection with our e-mail, message boards and other communications and community features, such as claims alleging defamation or invasion of privacy. However, such legal proceedings or claims, even if not meritorious, could result in the expenditure of significant financial and management resources.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NetEase’s mobile games, Rules of Survival and Knives Out, infringed PUBG’s copyrights and trade dress in their competing game, Battlegrounds. On March 11, 2019, NetEase entered into a settlement agreement with PUBG, and the lawsuit was dismissed. On October 15, 2019, PUBG filed a second lawsuit against the same NetEase defendants, also in the U.S. District Court for the Northern District of California, claiming NetEase had allegedly breached the settlement agreement. On March 3, 2020, the court dismissed PUBG’s new lawsuit, without prejudice, for lack of subject matter jurisdiction. On March 4, 2020, NetEase initiated a declaratory judgment action against PUBG in the Superior Court of California for the County of San Mateo, requesting a declaration that NetEase had not breached the settlement agreement. NetEase’s lawsuit against PUBG is on-going.</w:t>
      </w:r>
    </w:p>
    <w:p>
      <w:pPr>
        <w:spacing w:after="0" w:line="18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We are not currently a party to, nor are we aware of, any other legal proceeding, investigation or claim which, in the opinion of our management, is likely to have a material adverse effect on our business, financial condition or results of operations.</w:t>
      </w:r>
    </w:p>
    <w:p>
      <w:pPr>
        <w:spacing w:after="0" w:line="14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A.8</w:t>
      </w:r>
      <w:r>
        <w:rPr>
          <w:sz w:val="20"/>
          <w:szCs w:val="20"/>
          <w:color w:val="auto"/>
        </w:rPr>
        <w:tab/>
      </w: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May 2014, our board of directors approved a quarterly dividend policy commencing in 2014. Under this policy, quarterly dividends were set at an amount equivalent to approximately 25% of our anticipated net income after tax in each fiscal quarter. In the second quarter of 2019, our board of directors determined that quarterly dividends will be set at an amount equivalent to approximately 20%-30% of our anticipated net income after tax in each fiscal quarter. The determination to make dividend distributions and the amount of such distributions in any particular quarter will be made at the discretion of our board of directors and will be based upon our operations and earnings, cash flow, financial condition and other relevant factors. Our board of directors declared dividends of US$0.69, US$1.04, US$4.14 and US$1.02 per ADS for the first, second, third and fourth quarters of 2019, respectively. Our board of directors also approved an additional special dividend of US$3.45 per ADS in the third quarter of 2019.</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are a holding company incorporated in the Cayman Islands, and our ability to pay dividends to our shareholders depends upon dividends, loans or advances that we receive from our subsidiaries and VIEs. Please refer to Item 3.D. “Risk Factors—Risks Related to Our Company—Our corporate structure may restrict our ability to receive dividends from, and transfer funds to, our PRC subsidiaries and VIEs, which could restrict our ability to act in response to changing market conditions and reallocate funds internally in a timely manner.”</w:t>
      </w:r>
    </w:p>
    <w:p>
      <w:pPr>
        <w:spacing w:after="0" w:line="188" w:lineRule="exact"/>
        <w:rPr>
          <w:sz w:val="20"/>
          <w:szCs w:val="20"/>
          <w:color w:val="auto"/>
        </w:rPr>
      </w:pPr>
    </w:p>
    <w:p>
      <w:pPr>
        <w:ind w:right="240" w:firstLine="648"/>
        <w:spacing w:after="0" w:line="301" w:lineRule="auto"/>
        <w:rPr>
          <w:sz w:val="20"/>
          <w:szCs w:val="20"/>
          <w:color w:val="auto"/>
        </w:rPr>
      </w:pPr>
      <w:r>
        <w:rPr>
          <w:rFonts w:ascii="Arial" w:cs="Arial" w:eastAsia="Arial" w:hAnsi="Arial"/>
          <w:sz w:val="16"/>
          <w:szCs w:val="16"/>
          <w:color w:val="auto"/>
        </w:rPr>
        <w:t>Holders of our ADSs will be entitled to receive dividends, if any, subject to the terms of the deposit agreement (including the fees and expenses payable thereunder), to the same extent as the holders of our ordinary shares. Cash dividends will be paid to the depositary in U.S. dollars, which will distribute them to the holders of ADSs according to the terms of the deposit agreement. Other distributions, if any, will be paid by the depositary to the holders of ADSs in any means it deems legal, fair and practical.</w:t>
      </w:r>
    </w:p>
    <w:p>
      <w:pPr>
        <w:spacing w:after="0" w:line="153"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have not experienced any significant changes since the date of our audited consolidated financial statements included in this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Not applicable except for Item 9.A.4. and Item 9.C. Our ADSs have been listed on the NASDAQ Global Select Market since June 30, 2000. Our ADSs trade under the symbol “NTES.”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225" w:lineRule="exact"/>
        <w:rPr>
          <w:sz w:val="20"/>
          <w:szCs w:val="20"/>
          <w:color w:val="auto"/>
        </w:rPr>
      </w:pPr>
    </w:p>
    <w:p>
      <w:pPr>
        <w:ind w:left="680" w:hanging="672"/>
        <w:spacing w:after="0"/>
        <w:tabs>
          <w:tab w:leader="none" w:pos="68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presents a description of the terms and provisions of our restated memorandum and articles of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right="380" w:firstLine="648"/>
        <w:spacing w:after="0" w:line="342" w:lineRule="auto"/>
        <w:rPr>
          <w:sz w:val="20"/>
          <w:szCs w:val="20"/>
          <w:color w:val="auto"/>
        </w:rPr>
      </w:pPr>
      <w:r>
        <w:rPr>
          <w:rFonts w:ascii="Arial" w:cs="Arial" w:eastAsia="Arial" w:hAnsi="Arial"/>
          <w:sz w:val="16"/>
          <w:szCs w:val="16"/>
          <w:color w:val="auto"/>
        </w:rPr>
        <w:t>We were incorporated in the Cayman Islands on July 6, 1999 and operate under the Cayman Islands Companies Law (2020 Revision), as revised and amended from time to time, or the Companies Law. Our corporate objectives and purpose are unrestricted.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A director may vote in respect of any contract or transaction in which he is interested, provided however, that the nature of the interest of any director in any such contract or transaction shall be disclosed by him at or prior to its consideration and any vote on that matter. A general notice or disclosure to the directors or otherwise contained in the minutes of a meeting or a written resolution of the directors or any committee thereof that a director is a shareholder of any specified firm or company and is to be regarded as interested in any transaction with such firm or company shall be sufficient disclosure and after such general notice it shall not be necessary to give special notice relating to any particular transaction.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directors may determine remuneration to be paid to the directors. The directors may exercise all the powers of our company to borrow money and to mortgage or charge its undertaking, property and uncalled capital or any part thereof, to issue debentures, debenture stock and other securities whenever money is borrowed or as security for any of our debts, liabilities, or obligations or those of any third party.</w:t>
      </w:r>
    </w:p>
    <w:p>
      <w:pPr>
        <w:spacing w:after="0" w:line="187"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A shareholding qualification for directors may be fixed by the Company in a general meeting, but unless and until so fixed, there are no shareholding qualifications. Further, there are no age limitations or retirement requirements and no share ownership qualifications for directors unless so fixed by shareholders in a general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Preferences and Restrictions of Ordinary Shares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All of our issued and outstanding shares are fully paid and non-assessable. Shares are issued in registered form.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who are non-residents of the Cayman Islands may freely hold and vote their shares.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shares are entitled to such dividends as may be declared by our board of directors. Under Cayman</w:t>
      </w:r>
      <w:r>
        <w:rPr>
          <w:rFonts w:ascii="Arial" w:cs="Arial" w:eastAsia="Arial" w:hAnsi="Arial"/>
          <w:sz w:val="18"/>
          <w:szCs w:val="18"/>
          <w:i w:val="1"/>
          <w:iCs w:val="1"/>
          <w:color w:val="auto"/>
        </w:rPr>
        <w:t xml:space="preserve"> </w:t>
      </w:r>
      <w:r>
        <w:rPr>
          <w:rFonts w:ascii="Arial" w:cs="Arial" w:eastAsia="Arial" w:hAnsi="Arial"/>
          <w:sz w:val="18"/>
          <w:szCs w:val="18"/>
          <w:color w:val="auto"/>
        </w:rPr>
        <w:t>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share is entitled to one vote on all matters upon which the shares are entitled to vote, including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Voting at 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6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On a return of capital on winding up or otherwise (other than on conversion, redemption or purchase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unpaid on their shares in a notice served to such shareholders at least 14 days prior to the specified time or times of payment. The shares that have been called upon and remain unpaid are subject to forfeiture.</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Redemption, Repurchase and Surrender of Shares</w:t>
      </w:r>
      <w:r>
        <w:rPr>
          <w:rFonts w:ascii="Arial" w:cs="Arial" w:eastAsia="Arial" w:hAnsi="Arial"/>
          <w:sz w:val="17"/>
          <w:szCs w:val="17"/>
          <w:color w:val="auto"/>
        </w:rPr>
        <w:t>. Subject to the provisions of the Companies Law and the memorandum and</w:t>
      </w:r>
      <w:r>
        <w:rPr>
          <w:rFonts w:ascii="Arial" w:cs="Arial" w:eastAsia="Arial" w:hAnsi="Arial"/>
          <w:sz w:val="17"/>
          <w:szCs w:val="17"/>
          <w:i w:val="1"/>
          <w:iCs w:val="1"/>
          <w:color w:val="auto"/>
        </w:rPr>
        <w:t xml:space="preserve"> </w:t>
      </w:r>
      <w:r>
        <w:rPr>
          <w:rFonts w:ascii="Arial" w:cs="Arial" w:eastAsia="Arial" w:hAnsi="Arial"/>
          <w:sz w:val="17"/>
          <w:szCs w:val="17"/>
          <w:color w:val="auto"/>
        </w:rPr>
        <w:t>articles of association, 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Variations of Rights of Shares</w:t>
      </w:r>
    </w:p>
    <w:p>
      <w:pPr>
        <w:spacing w:after="0" w:line="225"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Meetings of Shareholders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the Right to Own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limitations on the right to own our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Limitations on Transfer of Shares</w:t>
      </w:r>
    </w:p>
    <w:p>
      <w:pPr>
        <w:spacing w:after="0" w:line="225"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There are no provisions in our restated memorandum or articles of association that would have an effect of delaying, deferring or preventing a change in control and that would operate only with respect to a merger, acquisition or corporate restructuring.</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Disclosure of Shareholder Ownership</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There are no provisions in our restated memorandum or articles of association that require our company to disclose shareholder ownership above any particular ownership threshold.</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Capital</w:t>
      </w:r>
    </w:p>
    <w:p>
      <w:pPr>
        <w:spacing w:after="0" w:line="22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49" w:lineRule="exact"/>
        <w:rPr>
          <w:sz w:val="20"/>
          <w:szCs w:val="20"/>
          <w:color w:val="auto"/>
        </w:rPr>
      </w:pPr>
    </w:p>
    <w:p>
      <w:pPr>
        <w:ind w:left="1000" w:hanging="317"/>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consolidate and divide all or any of our share capital into shares of larger amount than our existing shares;</w:t>
      </w:r>
    </w:p>
    <w:p>
      <w:pPr>
        <w:spacing w:after="0" w:line="225"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sub-divide our existing shares, or any of them into shares of smaller amount than is fixed by our restated memorandum of association or into shares without nominal or par value; and</w:t>
      </w:r>
    </w:p>
    <w:p>
      <w:pPr>
        <w:spacing w:after="0" w:line="170" w:lineRule="exact"/>
        <w:rPr>
          <w:rFonts w:ascii="Arial" w:cs="Arial" w:eastAsia="Arial" w:hAnsi="Arial"/>
          <w:sz w:val="18"/>
          <w:szCs w:val="18"/>
          <w:color w:val="auto"/>
        </w:rPr>
      </w:pPr>
    </w:p>
    <w:p>
      <w:pPr>
        <w:ind w:left="1000" w:right="440" w:hanging="317"/>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may by special resolution reduce our share capital and any capital redemption reserve fund in any manner authorized by the Companies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Differences in Corporate Law</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Companies Law is modeled after that of the English companies legislation but does not follow recent English law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88"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7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78" w:lineRule="exact"/>
        <w:rPr>
          <w:sz w:val="20"/>
          <w:szCs w:val="20"/>
          <w:color w:val="auto"/>
        </w:rPr>
      </w:pPr>
    </w:p>
    <w:p>
      <w:pPr>
        <w:ind w:left="4840" w:right="4600" w:hanging="4832"/>
        <w:spacing w:after="0" w:line="905"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statutory provisions as to majority vote have been complied with;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right="46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7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such that may be reasonably approved by an intelligent and honest man of that class acting in respect of his interest; and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Companies Law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7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arrangement and reconstruction by way of a scheme of arrangement is thus approved, or if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87"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i w:val="1"/>
          <w:iCs w:val="1"/>
          <w:color w:val="auto"/>
        </w:rPr>
        <w:t>Shareholders’ Suits</w:t>
      </w:r>
      <w:r>
        <w:rPr>
          <w:rFonts w:ascii="Arial" w:cs="Arial" w:eastAsia="Arial" w:hAnsi="Arial"/>
          <w:sz w:val="17"/>
          <w:szCs w:val="17"/>
          <w:color w:val="auto"/>
        </w:rPr>
        <w:t>. In principle, we will normally be the proper plaintiff and as a general rule a derivative action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by a minority shareholder. However, based on English authorities, which would in all likelihood be of persuasive authority in the Cayman Islands, there are exceptions to the foregoing principle, including when: (a) a 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76"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Cayman Islands law does not (other than as set forth hereafter) limit the extent to which a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7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161" w:lineRule="exact"/>
        <w:rPr>
          <w:sz w:val="20"/>
          <w:szCs w:val="20"/>
          <w:color w:val="auto"/>
        </w:rPr>
      </w:pPr>
    </w:p>
    <w:p>
      <w:pPr>
        <w:ind w:left="680" w:hanging="672"/>
        <w:spacing w:after="0"/>
        <w:tabs>
          <w:tab w:leader="none" w:pos="6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September 6, 2019, we entered into an agreement with a subsidiary of Alibaba to sell our e-commerce platform Kaola for approximately US$1.9 billion. The consideration was comprised of approximately US$1.6 billion in cash payable to us and Kaola equity award holders, as well as approximately 14.3 million Alibaba ordinary shares issued to us. Following the completion of the transaction, Kaola was deconsolidated and its historical financial results were accordingly reflected in our consolidated financial statements as discontinued operations.</w:t>
      </w:r>
    </w:p>
    <w:p>
      <w:pPr>
        <w:spacing w:after="0" w:line="18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We have not entered into any material contracts other than in the ordinary course of business and other than those described in this Item 10.C. "Additional Information-Material Contracts," Item 4. “Information on the Company” or elsewhere in this annual report.</w:t>
      </w:r>
    </w:p>
    <w:p>
      <w:pPr>
        <w:spacing w:after="0" w:line="120" w:lineRule="exact"/>
        <w:rPr>
          <w:sz w:val="20"/>
          <w:szCs w:val="20"/>
          <w:color w:val="auto"/>
        </w:rPr>
      </w:pPr>
    </w:p>
    <w:p>
      <w:pPr>
        <w:ind w:left="680" w:hanging="672"/>
        <w:spacing w:after="0"/>
        <w:tabs>
          <w:tab w:leader="none" w:pos="6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Foreign currency exchange in the PRC is primarily governed by the Foreign Exchange Administration Rules issued by the State Council on January 29, 1996 and effective as of April 1, 1996 (and amended on January 14, 1997 and August 1, 2008) and the Regulations of Settlement, Sale and Payment of Foreign Exchange which came into effect on July 1, 1996.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Under the Foreign Exchange Administration Rules, Renminbi is freely convertible for current account items, including the distribution of dividends payments, interest payments, trade and service-related foreign exchange transactions. Conversion of Renminbi for capital account items, such as direct investment, loans, securities investment and repatriation of investment, however, is still generally subject to the approval or verification of SAFE.</w:t>
      </w:r>
    </w:p>
    <w:p>
      <w:pPr>
        <w:spacing w:after="0" w:line="18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In March 2015, SAFE released the Circular on Reforming the Management Approach regarding the Foreign Exchange Capital Settlement of Foreign-Invested Enterprises, or FIEs, or the Foreign Exchange Capital Settlement Circular, which became effective from June 1, 2015. This circular replaced SAFE’s previous related circulars, including the Circular on Issues Relating to the Improvement of Business Operation with Respect to the Administration of Foreign Exchange Capital Payment and Settlement of Foreign Invested Enterprises. The Foreign Exchange Capital Settlement Circular clarifies that FIEs may settle a specified proportion of their foreign exchange capital in banks at their discretion, and may choose the timing for such settlement. The proportion of foreign exchange capital to be settled at FIEs’ discretion for the time being is 100% and the SAFE may adjust the proportion in due time based on the situation of international balance of payments. The circular also stipulates that FIEs’ usage of capital and settled foreign exchange capital shall comply with relevant provisions concerning foreign exchange control and be subject to the management of a negative list. The FIEs’ capital and Renminbi capital gained from the settlement of foreign exchange capital may not be directly or indirectly used for expenditure beyond the business scope of the FIEs or as prohibited by laws and regulations of the PRC. Such capital also may not be directly or indirectly used for issuing Renminbi entrusted loans except as permitted by the business scope of the FIE, for repaying inter-enterprise borrowings including any third-party advance, or for repaying the bank loans denominated in RMB that have been sub-lent to a third party. On June 9, 2016, SAFE issued the Circular on Reform and Regulating of the Administrative Policy of the Settlement under Capital Accounts, or SAFE Circular 16, which became effective on the same date. Pursuant to SAFE Circular 16, FIEs may either continue to follow the current payment-based foreign currency settlement system or choose to follow the “conversion-at-will” system for foreign currency settlement. Where a FIE elects the conversion-at-will system for foreign currency settlement, it may convert, in part or in whole, the amount of the foreign currency in its capital account into Renminbi at any time. The converted Renminbi will be kept in a designated account labeled as settled but pending payment, and if such FIE needs to make payment from such designated account, it does not need to go through a lengthy approval process, but instead is only required to declare its intended use for such converted Renminbi. Although SAFE Circular 16 effectively simplifies the administrative process for converting foreign currencies into Renminbi for settlement of capital account items, the Notice on Further Promoting the Reform of Foreign Exchange Administration and Improving Authenticity and Compliance Review (Hui Fa [2017] No. 3), or Notice No. 3, released by SAFE on January 26, 2017, requires a domestic company to provide explanations to the banks through which it seeks to exchange currency of the sources of funds for investment and the intended use of such funds. Under Notice No. 3, submission of relevant corporate documents, including board resolutions and relevant contracts is also required to support a domestic company’s claim of intended use. On October 23, 2019, the SAFE promulgated Notice of the State Administration of Foreign Exchange on Further Promoting the Facilitation of Cross-border Trade and Investment (Hui Fa [2019] No.28), or Notice No. 28, which took effect on the same date. Under Notice 28, FIEs without an investment business scope are also allowed to utilize and convert capital received from foreign investors for making equity investment in China. Previously this had been limited to FIEs who explicitly had an investment business scope. However, it is not clear how Notice 28 will be implemented in practice and the implementing rules for Notice 28 have yet to be promulgated by the SAFE. In addition, we closely monitor any changes and new regulatory releases, especially given the recently increased frequency of SAFE enforcement actions, to ensure that our operations remain in compliance.</w:t>
      </w:r>
    </w:p>
    <w:p>
      <w:pPr>
        <w:spacing w:after="0" w:line="200" w:lineRule="exact"/>
        <w:rPr>
          <w:sz w:val="20"/>
          <w:szCs w:val="20"/>
          <w:color w:val="auto"/>
        </w:rPr>
      </w:pPr>
    </w:p>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addition, the payment of dividends by entities established in the PRC is subject to limitations. Regulations in the PRC currently permit payment of dividends only out of accumulated profits as determined in accordance with accounting standards and regulations in the PRC. Each of our PRC subsidiaries that is a domestic company is also required to set aside at least 10.0% of its after-tax profit based on PRC accounting standards each year to its general reserves or statutory capital reserve fund until the accumulative amount of such reserves reach 50.0% of its respective registered capital. These restricted reserves are not distributable as cash dividends. In addition, if any of our PRC subsidiaries incurs debt on its own behalf in the future, the instruments governing the debt may restrict its ability to pay dividends or make other distributions to us.</w:t>
      </w:r>
    </w:p>
    <w:p>
      <w:pPr>
        <w:spacing w:after="0" w:line="17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Furthermore, pursuant to regulations promulgated by SAFE, PRC subsidiaries of offshore parent companies may be prohibited from making distributions of profits to such offshore parent companies and from paying the offshore parent companies proceeds from any reduction in capital, share transfer or liquidation in respect of such PRC subsidiaries, if PRC shareholders with a direct or indirect stake in the offshore parent company fail to make the requisite SAFE registrations.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380" w:firstLine="648"/>
        <w:spacing w:after="0" w:line="301" w:lineRule="auto"/>
        <w:rPr>
          <w:sz w:val="20"/>
          <w:szCs w:val="20"/>
          <w:color w:val="auto"/>
        </w:rPr>
      </w:pPr>
      <w:r>
        <w:rPr>
          <w:rFonts w:ascii="Arial" w:cs="Arial" w:eastAsia="Arial" w:hAnsi="Arial"/>
          <w:sz w:val="16"/>
          <w:szCs w:val="16"/>
          <w:color w:val="auto"/>
        </w:rPr>
        <w:t>These regulations require PRC residents to file with the competent SAFE offices information about offshore companies in which they have directly or indirectly invested (including with respect to investments already made as of the inception of the new regulation) and to make follow-up filings in connection with certain material transaction involving such offshore companies, such as mergers or acquisitions, capital increases or decreases, and external equity investments or equity transfers.</w:t>
      </w:r>
    </w:p>
    <w:p>
      <w:pPr>
        <w:spacing w:after="0" w:line="15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Moreover, to discourage the outflow of capital from China, the overall current regulatory environment relating to foreign exchange controls in China suggests that, as a matter of practice, SAFE has been making it increasingly difficult to exchange Renminbi into foreign currencies for offshore dividend payments or capital account settlement. For additional information on the SAFE regulations and the related risks to our company, see Item 3.D. “Risk Factors—Risks Related to Doing Business in China—The Chinese government has strengthened the regulation of investments made by Chinese residents in offshore companies and reinvestments in China made by these offshore companies. Our business may be adversely affected by these restrictions.”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more information about foreign exchange control, see Item 3.D. “Risk Factors—Risks Related to Our Company—Our corporate structure may restrict our ability to receive dividends, loans or advances from, and transfer funds to, our PRC subsidiaries and VIEs, which could restrict our ability to act in response to changing market conditions and reallocate funds internally in a timely manner.” and “Risk Factors—Risks Related to Doing Business in China—Restrictions on currency exchange may limit our ability to utilize our revenues effectively.”</w:t>
      </w:r>
    </w:p>
    <w:p>
      <w:pPr>
        <w:spacing w:after="0" w:line="184" w:lineRule="exact"/>
        <w:rPr>
          <w:sz w:val="20"/>
          <w:szCs w:val="20"/>
          <w:color w:val="auto"/>
        </w:rPr>
      </w:pPr>
    </w:p>
    <w:p>
      <w:pPr>
        <w:ind w:left="660" w:hanging="652"/>
        <w:spacing w:after="0"/>
        <w:tabs>
          <w:tab w:leader="none" w:pos="6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following summary of the material Cayman Islands and United States federal income tax consequences relevant to the purchase, ownership or sale of our ordinary shares or ADSs is based upon laws and relevant interpretations thereof in effect as of the date of this annual report, all of which are subject to change. To the extent that the discussion relates to matters of Cayman Islands tax law, it represents the opinion of Maples and Calder (Hong Kong) LLP, our Cayman Islands counsel.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by or to our company. There are no exchange control regulations or currency restrictions in the Cayman Islands.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United States Federal Income Taxation Considerations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following discussion is a summary of certain United States federal income tax considerations applicable to the purchase, ownership and disposition of shares or ADSs by a U.S. Holder (as defined below) who holds such shares or ADSs as capital assets within the meaning of Section 1221 of the Internal Revenue Code of 1986, as amended , referred to in this section as the Code. This summary does not purport to be a complete analysis of all potential United States federal income tax effects. This summary is based on the Code, United States Treasury regulations promulgated thereunder, Internal Revenue Service,or IRS, rulings and judicial decisions and the income tax treaty between the United States and the PRC, or the U.S.-PRC Tax Treaty, all as in effect on the date hereof. All of these are subject to change, possibly with retroactive effect, or to different interpretations. Such change could materially and adversely affect the tax consequences described below. No assurance can be given that the IRS would not assert, or that a court would not sustain, a position contrary to any of the tax consequences described below. Additionally, the discussion below is written on the basis that the representations contained in the deposit agreement are true and that the obligations in the deposit agreement and any related agreement will be performed in accordance with the terms.</w:t>
      </w:r>
    </w:p>
    <w:p>
      <w:pPr>
        <w:spacing w:after="0" w:line="182" w:lineRule="exact"/>
        <w:rPr>
          <w:sz w:val="20"/>
          <w:szCs w:val="20"/>
          <w:color w:val="auto"/>
        </w:rPr>
      </w:pPr>
    </w:p>
    <w:p>
      <w:pPr>
        <w:jc w:val="both"/>
        <w:ind w:right="460" w:firstLine="648"/>
        <w:spacing w:after="0" w:line="311" w:lineRule="auto"/>
        <w:rPr>
          <w:sz w:val="20"/>
          <w:szCs w:val="20"/>
          <w:color w:val="auto"/>
        </w:rPr>
      </w:pPr>
      <w:r>
        <w:rPr>
          <w:rFonts w:ascii="Arial" w:cs="Arial" w:eastAsia="Arial" w:hAnsi="Arial"/>
          <w:sz w:val="16"/>
          <w:szCs w:val="16"/>
          <w:color w:val="auto"/>
        </w:rPr>
        <w:t>This summary does not address all aspects of United States federal income taxation that may be relevant to particular U.S. Holders in light of their specific circumstances (for example, U.S. Holders subject to the alternative minimum tax provisions of the Code) or to holders that may be subject to special rules under United States federal income tax law, including:</w:t>
      </w:r>
    </w:p>
    <w:p>
      <w:pPr>
        <w:spacing w:after="0" w:line="149" w:lineRule="exact"/>
        <w:rPr>
          <w:sz w:val="20"/>
          <w:szCs w:val="20"/>
          <w:color w:val="auto"/>
        </w:rPr>
      </w:pPr>
    </w:p>
    <w:p>
      <w:pPr>
        <w:ind w:left="4820" w:right="4820" w:hanging="4812"/>
        <w:spacing w:after="0" w:line="572" w:lineRule="auto"/>
        <w:tabs>
          <w:tab w:leader="none" w:pos="323" w:val="left"/>
        </w:tabs>
        <w:numPr>
          <w:ilvl w:val="0"/>
          <w:numId w:val="80"/>
        </w:numPr>
        <w:rPr>
          <w:rFonts w:ascii="Arial" w:cs="Arial" w:eastAsia="Arial" w:hAnsi="Arial"/>
          <w:sz w:val="16"/>
          <w:szCs w:val="16"/>
          <w:color w:val="auto"/>
        </w:rPr>
      </w:pPr>
      <w:r>
        <w:rPr>
          <w:rFonts w:ascii="Arial" w:cs="Arial" w:eastAsia="Arial" w:hAnsi="Arial"/>
          <w:sz w:val="16"/>
          <w:szCs w:val="16"/>
          <w:color w:val="auto"/>
        </w:rPr>
        <w:t>broker dealers in stocks, securities, commodities or currencies;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622300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(including securities traders) that use a mark-to-market accounting method;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banks and financial institutions;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grantor trusts;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holding shares or ADSs as part of a hedging or conversion transaction or a straddle;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deemed to sell shares or ADSs under the constructive sale provisions of the Code;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former citizens or residents of the United States;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direct, indirect or constructive owners of 10% or more of the total combined vote or value of all classes of our equity.</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summary also does not discuss any aspect of state, local or non-U.S. tax law, or United States federal estate or gift tax law as applicable to U.S. Holders. Prospective purchasers are urged to consult their tax advisors about the United States federal, state and local and non-U.S. tax consequences to them of the purchase, ownership and disposition of shares or ADSs.</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purposes of this summary, “U.S. Holder” means a beneficial holder of shares or ADSs who or that for United States federal income tax purposes is:</w:t>
      </w:r>
    </w:p>
    <w:p>
      <w:pPr>
        <w:spacing w:after="0" w:line="170"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corporation (or other entity classified as a corporation for United States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such trust and one or more “U.S. persons” (within the meaning of the Code) have the authority to control all substantial decisions of the trust, or if a valid election is in effect to be treated as a domestic trust.</w:t>
      </w:r>
    </w:p>
    <w:p>
      <w:pPr>
        <w:spacing w:after="0" w:line="184"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If a partnership or other entity or arrangement classified as a partnership for United States federal income tax purposes holds shares or ADSs, the United States federal income tax treatment of a partner generally will depend on the status of the partner and the activities of the partnership. This summary does not address the tax consequences of any such partner. If you are a partner of a partnership holding shares or ADSs, you should consult your own tax advisor regarding the U.S. federal income tax consequences of acquiring, owning or disposing of our shares or ADSs.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ADSs</w:t>
      </w:r>
    </w:p>
    <w:p>
      <w:pPr>
        <w:spacing w:after="0" w:line="22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A U.S. Holder of ADSs generally will be treated as the owner of the underlying shares represented by those ADSs for United States federal income tax purposes. Accordingly, no gain or loss will be recognized if a U.S. Holder exchanges ADSs for the underlying shares represented by those ADSs.</w:t>
      </w:r>
    </w:p>
    <w:p>
      <w:pPr>
        <w:spacing w:after="0" w:line="1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 For purposes of the discussion below, we assume that intermediaries in the chain of ownership between the holder of an ADS and us are acting consistently with the claim of U.S. foreign tax credits by U.S.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Dividends and Other Distributions on the Shares or ADSs</w:t>
      </w:r>
    </w:p>
    <w:p>
      <w:pPr>
        <w:spacing w:after="0" w:line="229"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Subject to the passive foreign investment company, or PFIC, rules discussed below, the gross amount of any distributions (including withheld taxes, if any) paid by our company out of current or accumulated earnings and profits (as determined for United States federal income tax purposes) generally will be taxable to a U.S. Holder as foreign source dividend income on the date such distribution is actually or constructively received, and will not be eligible for the dividends received deduction generally allowed to corporations. Distributions in excess of current and accumulated earnings and profits will be treated as a non-taxable return of capital to the extent of the U.S. Holder’s adjusted tax basis in the shares or ADSs and thereafter as capital gain. However, we do not maintain calculations of our earnings and profits in accordance with United States federal income tax accounting principles. U.S. Holders should therefore assume that any distribution by our company with respect to the shares or ADSs will constitute dividend income. U.S. Holders should consult their own tax advisors with respect to the appropriate United States federal income tax treatment of any distribution received from our company. This discussion assumes that distributions, if any, will be made in U.S. dollars.</w:t>
      </w:r>
    </w:p>
    <w:p>
      <w:pPr>
        <w:spacing w:after="0" w:line="16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Certain dividends received by non-corporate U.S. Holders, including individuals, may be eligible for the special reduced rates normally applicable to long-term capital gains, provided that certain conditions are satisfied. A U.S. Holder is not able to claim the reduced rate for any year in which we are treated as a PFIC. See “Passive Foreign Investment Company Considerations,” below. Dividends may be taxed at the lower applicable capital gains rate provided that (1) our shares or ADSs, as applicable, are readily tradable on an established securities market in the United States, (2) our company is not a PFIC (as discussed below) for either our taxable year in which the dividends were paid or the preceding taxable year, and (3) certain holding period and other requirements are met. Because our ADSs are listed on the NASDAQ Global Select Market, they are considered for purposes of clause (1) above to be readily tradable on an established securities market in the United States. However, because our ordinary shares are not listed on an established securities market, we do not believe that dividends paid on our ordinary shares that are not represented by ADSs currently meet the conditions required for these reduced tax rates. There can be no assurance that our ADSs will be considered readily tradable on an established securities market in subsequent years.</w:t>
      </w:r>
    </w:p>
    <w:p>
      <w:pPr>
        <w:spacing w:after="0" w:line="18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Alternatively, non-corporate U.S. holders may be eligible for the special reduced rates normally applicable to long-term capital gains if we are eligible for benefits under a comprehensive U.S. income tax treaty that includes an exchange of information program and which the U.S. Treasury Department has determined is satisfactory for these purposes. The United States does not have a comprehensive income tax treaty with the Cayman Islands. However, in the event that we were deemed to be a PRC resident enterprise under the enterprise income tax law, although no assurance can be given, we might be considered eligible for the benefits of the U.S.-PRC Tax Treaty for purposes of these rules. U.S. Holders should consult their own tax advisors regarding the availability of the reduced tax rates on dividends paid with respect to our ordinary shares or ADSs in light of their particular circumstances.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the event that dividends from our company are subject to withholding by the PRC, a U.S. Holder may be eligible, subject to a number of complex limitations, to claim a foreign tax credit in respect of foreign withholding taxes imposed on dividends received on the shares or ADSs. For purposes of calculating the U.S. foreign tax credit, dividends paid on our shares or ADSs will be treated as income from sources outside the United States, and will generally constitute passive category income. A U.S. Holder who does not elect to claim a foreign tax credit for foreign income tax withheld, may instead claim a deduction, for United States federal income tax purposes, in respect of such withholdings, but only for a year in which such holder elects to do so for all creditable foreign income taxes. The U.S. foreign tax credit rules are complex. U.S. Holders should consult their own tax advisors regarding the foreign tax credit rules in light of their particular circumstances.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Disposition of Shares or ADSs</w:t>
      </w:r>
    </w:p>
    <w:p>
      <w:pPr>
        <w:spacing w:after="0" w:line="229"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Subject to the PFIC rules discussed below, you will generally recognize taxable gain or loss on any sale or exchange or other taxable disposition of a share or ADS in an amount equal to the difference between the amount realized (determined in the case of a sale or exchange in a currency other than U.S. dollars by reference to the spot exchange rate in effect on the date of the sale or exchange or, if sold or exchanged on an established securities market and the U.S. Holder is a cash basis taxpayer or an electing accrual basis taxpayer, the spot exchange rate in effect on the settlement date) for the share or ADS and your adjusted tax basis (in U.S. dollars) in the share or ADS. A U.S. Holder’s initial tax basis will be the U.S. Holder’s U.S. dollar purchase price for such share or ADS. The gain or loss will generally be capital gain or loss and will be long-term capital gain or loss if you have held the share or ADS for more than one year. Long-term capital gains of non-corporate U.S. Holders are eligible for reduced rates of taxation. The deductibility of a capital loss may be subject to limitations. Any gain or loss that you recognize generally will be treated as United States source gain or loss for United States foreign tax credit purposes. In the event PRC tax were to be imposed on any gain from the disposition of shares or ADSs, such gain may be treated as PRC source gain under the U.S.-PRC Tax Treaty, in which case a U.S. Holder eligible for treaty benefits may be able to claim a foreign tax credit, subject to applicable limitations. See discussion above under the heading "Taxation of Dividends and Other Distributions on the Shares or ADSs" regarding the potential availability of U.S.-PRC Tax Treaty Benefits. Because the determination of treaty benefit eligibility is fact intensive and depends upon a holder’s particular circumstances, U.S. Holders should consult their tax advisors regarding U.S.-PRC Tax Treaty benefit eligibility. U.S. Holders are also encouraged to consult their own tax advisors regarding the tax consequences in the event PRC tax were to be imposed on a disposition of shares or ADSs, including the availability of the U.S. foreign tax credit and the ability and whether to treat any gain as PRC source gain for the purposes of the U.S. foreign tax credit in consideration of their particular circumstances.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on Net Investment Income</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A 3.8% tax is imposed on the “net investment income” (as defined in section 1411 of the Code) of individuals whose income exceeds certain threshold amounts, and of certain trusts and estates under similar rules. U.S. Holders should consult their tax advisors regarding the applicability of this net investment income tax in respect of an investment in our company in light of their particular circumstances.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non-U.S. corporation will be classified as a PFIC for any taxable year in which, after taking into account the income and assets of the corporation and certain subsidiaries pursuant to applicable “look-through rules,” either (i) at least 75% of its gross income is “passive income” or (ii) at least 50% of the average value (determined on a quarterly basis) of its assets is attributable to assets which produce passive income or are held for the production of passive income. Passive income generally includes dividends, interest, rents and royalties (other than certain rents and royalties derived in the active conduct of a trade or business), annuities and gains from assets that produce passive income.</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in which we own, directly or indirectly, more than 25% (by value) of the stock.</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Additionally, if we are classified as a PFIC in any taxable year with respect to which a U.S. Holder owns shares or ADSs, we generally will continue to be treated as a PFIC with respect to such U.S. Holder in all succeeding taxable years, regardless of whether we continue to meet the tests described above, unless the U.S. Holder makes the “deemed sale election” described below. Furthermore, if we are treated as a PFIC then one or more of our subsidiaries may also be treated as PFICs.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Based on certain estimates of our gross income and gross assets (which estimates are inherently imprecise), we do not believe that we were a PFIC for taxable year 2019 for United States federal income tax purposes. The determination of whether we will be classified as a PFIC is made annually and depends on particular facts and circumstances. In particular, the fair market value of some of our company’s assets may be determined in large part by the market price of the ADSs, which is likely to fluctuate. In addition, the composition of our company’s income and assets will be affected by how, and how quickly, our company spends any cash that is raised. Thus, no assurance can be provided that our company would not be classified as a PFIC for any future taxable year. Furthermore, while we believe our valuation approach is reasonable, it is possible that the IRS could challenge our determination concerning our PFIC status. For these reasons, there can be no assurance that we were not a PFIC in 2018 or that we will not be a PFIC for any future taxable year.</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 Federal Income Tax Treatment of a Shareholder of a PFIC</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If our company is classified as a PFIC for any taxable year during which a U.S. Holder owns shares or ADSs, the U.S. Holder, absent certain elections (including a mark-to-market election and a QEF election as described below), will generally be subject to adverse rules (regardless of whether our company continues to be classified as a PFIC) with respect to (i) any “excess distributions” (generally, any distributions received by the U.S. Holder on the shares or ADSs in a taxable year that are greater than 125% of the average annual distributions received by the U.S. Holder in the three preceding taxable years or, if shorter, the U.S. Holder’s holding period for the shares or ADSs) and (ii) any gain realized on the sale or other disposition of shares or ADSs.</w:t>
      </w:r>
    </w:p>
    <w:p>
      <w:pPr>
        <w:spacing w:after="0" w:line="178"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Under these rules (a) the excess distribution or gain will be allocated ratably over the U.S. Holder’s holding period, (b) the amount allocated to the current taxable year and any taxable year prior to the first taxable year in which our company is classified as a PFIC will be taxed as ordinary income, and (c) the amount allocated to each of the other taxable years during which our company was classified as a PFIC will be subject to tax at the highest rate of tax in effect for the applicable category of taxpayer for that year and an interest charge will be imposed with respect to the resulting tax attributable to each such other taxable year.</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we are classified as a PFIC and then cease to be so classified, a U.S. Holder may make an election (a “deemed sale election”) to be treated for U.S. federal income tax purposes as having sold such U.S. Holder’s ordinary shares or ADSs on the last day of our taxable year during which we were a PFIC. A U.S. Holder that makes a deemed sale election would then cease to be treated as owning stock in a PFIC. However, gain recognized as a result of making the deemed sale election would be subject to the adverse rules described above and loss would not be recognized.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Mark-to-Market Election</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In certain circumstances, a U.S. Holder may be eligible to make a mark-to-market election with respect to its shares or ADSs if such shares or ADSs qualify as “marketable stock” under applicable U.S. federal income tax rules. For purposes of these rules, “marketable stock” is stock which is “regularly traded” (traded in greater than de minimis quantities on at least 15 days during each calendar quarter) on a “qualified exchange” or other market within the meaning of applicable U.S. Treasury regulations. A “qualified exchange” includes a national securities exchange that is registered with the SEC.</w:t>
      </w:r>
    </w:p>
    <w:p>
      <w:pPr>
        <w:spacing w:after="0" w:line="176"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 U.S. Holder that makes an effective mark-to-market election must include in gross income, as ordinary income, rather than capital gain, for each taxable year an amount equal to the excess, if any, of the fair market value of the shares or ADSs, as applicable, at the close of the taxable year over the U.S. Holder’s adjusted basis in the shares or ADSs.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An electing U.S. Holder may also claim an ordinary loss deduction for the excess, if any, of the U.S. Holder’s adjusted tax basis in such shares or ADSs over their fair market value at the close of the taxable year, but this deduction is allowable only to the extent of any net mark-to-market gains previously included in income pursuant to the mark-to-market election. The adjusted tax basis of a U.S. Holder’s shares or ADSs with respect to which the mark-to-market election applies would be adjusted to reflect amounts included in gross income or allowed as a deduction because of such election. If a U.S. Holder makes an effective mark-to-market election with respect to our shares or ADSs, gains from an actual sale or other disposition of such shares or ADSs in a year in which we are a PFIC would be treated as ordinary income, and any losses incurred on such sale or other disposition would be treated as ordinary losses to the extent of any net mark-to-market gains previously included in income.</w:t>
      </w:r>
    </w:p>
    <w:p>
      <w:pPr>
        <w:spacing w:after="0" w:line="178"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If we are classified as a PFIC for any taxable year in which a U.S. Holder owns shares or ADSs but before a mark-to-market election is made, the adverse PFIC rules described above will apply to any mark-to-market gain recognized in the year the election is made. Otherwise, a mark-to-market election will be effective for the taxable year for which the election is made and all subsequent taxable years unless the shares or ADSs are no longer regularly traded on a qualified exchange or the IRS consents to the revocation of the election. Our ADSs are listed on the NASDAQ Global Select Market, which is a qualified exchange or other market for purposes of the mark-to-market election. Consequently, if the ADSs continue to be so listed, and are “regularly traded” for purposes of these</w:t>
      </w:r>
    </w:p>
    <w:p>
      <w:pPr>
        <w:spacing w:after="0" w:line="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rules (for which no assurance can be given) we expect that the mark-to-market election would be available to a U.S. Holder with respect to our ADSs.</w:t>
      </w:r>
    </w:p>
    <w:p>
      <w:pPr>
        <w:spacing w:after="0" w:line="18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 mark-to-market election is not permitted for the shares of any of our subsidiaries that are also classified as PFICs. Prospective investors should consult their own tax advisors regarding the availability of, and the procedure for, and the effect of making, a mark-to-market election, and whether making the election would be advisable, including in light of their particular circumstances.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“QEF” Election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PFIC rules permit a holder of PFIC stock in certain circumstances to avoid some of the disadvantageous tax treatment described above by making a “qualified electing fund,” or QEF, election to be taxed currently on its share of the PFIC’s undistributed income. We do not, however, intend to provide the information regarding our income that the U.S. Investor would need to make a QEF election if we are classified as a PFIC.</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we are a PFIC in any year with respect to a U.S. Holder, and any of our subsidiaries are also PFICs, such U.S. Holder will be treated as owning a proportionate share (by value) of the shares of the lower-tier PFICs for purposes of these rules. Non-corporate U.S. Holders will not be eligible for the reduced tax rate on any dividends received from us if we are a PFIC in the taxable year in which such dividends are paid or in the preceding taxable year.</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we are a PFIC in any year with respect to a U.S. Holder, such U.S. Holder will be required to file an annual information return on IRS Form 8621 regarding distributions received on our shares or ADSs and any gain realized on the disposition of our shares or ADSs, and certain U.S. Holders will be required to file an annual information return (also on IRS Form 8621) relating to their ownership of our shares or ADSs.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U.S. Holders should consult their tax advisors regarding the potential application of the PFIC regime, including eligibility for and the manner and advisability of making a mark-to-market election and related reporting requirements.</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NO ASSURANCE CAN BE GIVEN THAT WE ARE NOT CURRENTLY A PFIC OR THAT WE WILL NOT BECOME A PFIC IN THE FUTURE. U.S. HOLDERS SHOULD CONSULT THEIR OWN TAX ADVISORS WITH RESPECT TO THE OPERATION OF THE PFIC RULES AND RELATED REPORTING REQUIREMENTS IN LIGHT OF THEIR PARTICULAR CIRCUMSTANCES, INCLUDING THE ADVISABILITY AND EFFECTS OF MAKING ANY ELECTION THAT MAY BE AVAILABLE.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 Specified Foreign Financial Assets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proceeds of a sale or other disposition, as well as dividends paid with respect to shares or ADSs by a United States payor (including any payments received from a U.S. financial intermediary), generally will be reported to the IRS and to the U.S. Holder as required under applicable regulations. Backup withholding tax (currently at a rate of 24%) may apply to these payments if the U.S. Holder is not otherwise exempt and:</w:t>
      </w:r>
    </w:p>
    <w:p>
      <w:pPr>
        <w:spacing w:after="0" w:line="187" w:lineRule="exact"/>
        <w:rPr>
          <w:sz w:val="20"/>
          <w:szCs w:val="20"/>
          <w:color w:val="auto"/>
        </w:rPr>
      </w:pPr>
    </w:p>
    <w:p>
      <w:pPr>
        <w:ind w:left="340" w:right="20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 fails to furnish the holder’s taxpayer identification number, which for an individual is ordinary his or her social security number;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 furnishes an incorrect taxpayer identification number;</w:t>
      </w:r>
    </w:p>
    <w:p>
      <w:pPr>
        <w:spacing w:after="0" w:line="225" w:lineRule="exact"/>
        <w:rPr>
          <w:rFonts w:ascii="Arial" w:cs="Arial" w:eastAsia="Arial" w:hAnsi="Arial"/>
          <w:sz w:val="18"/>
          <w:szCs w:val="18"/>
          <w:color w:val="auto"/>
        </w:rPr>
      </w:pPr>
    </w:p>
    <w:p>
      <w:pPr>
        <w:ind w:left="340" w:right="28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applicable withholding agent is notified by the IRS that the holder previously failed to properly report payments of interest or dividends; or</w:t>
      </w:r>
    </w:p>
    <w:p>
      <w:pPr>
        <w:spacing w:after="0" w:line="170"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(if any) or refunded provided the required information is furnished to the IRS in a timely manner. U.S. Holders should consult their tax advisors as to their qualification for exemption from backup withholding tax and the procedure for establishing an exemption.</w:t>
      </w:r>
    </w:p>
    <w:p>
      <w:pPr>
        <w:spacing w:after="0" w:line="18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Certain U.S. Holders of specified foreign financial assets with an aggregate value in excess of the applicable dollar threshold are required to report information relating to their holding of stock or securities issued by a non-U.S. person (such as our company), subject to certain exceptions (including an exception for shares held in accounts maintained by certain financial institutions) with their tax return for each year in which they hold such stock or securities. U.S. Holders should consult their own tax advisors regarding the information reporting obligations that may arise from their acquisition, ownership or disposition of our shares or ADSs.</w:t>
      </w:r>
    </w:p>
    <w:p>
      <w:pPr>
        <w:spacing w:after="0" w:line="161" w:lineRule="exact"/>
        <w:rPr>
          <w:sz w:val="20"/>
          <w:szCs w:val="20"/>
          <w:color w:val="auto"/>
        </w:rPr>
      </w:pPr>
    </w:p>
    <w:p>
      <w:pPr>
        <w:ind w:right="740" w:firstLine="648"/>
        <w:spacing w:after="0" w:line="286" w:lineRule="auto"/>
        <w:rPr>
          <w:sz w:val="20"/>
          <w:szCs w:val="20"/>
          <w:color w:val="auto"/>
        </w:rPr>
      </w:pPr>
      <w:r>
        <w:rPr>
          <w:rFonts w:ascii="Arial" w:cs="Arial" w:eastAsia="Arial" w:hAnsi="Arial"/>
          <w:sz w:val="17"/>
          <w:szCs w:val="17"/>
          <w:color w:val="auto"/>
        </w:rPr>
        <w:t>THE ABOVE DISCUSSION DOES NOT COVER ALL TAX MATTERS THAT MAY BE OF IMPORTANCE TO A PARTICULAR INVESTOR. PROSPECTIVE INVESTORS ARE STRONGLY URGED TO CONSULT THEIR OWN TAX ADVISORS ABOUT THE TAX CONSEQUENCES OF AN INVESTMENT IN OUR ORDINARY SHARES OR ADSs.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an exempted company incorporated in the Cayman Islands because of the following benefits found there:</w:t>
      </w:r>
    </w:p>
    <w:p>
      <w:pPr>
        <w:spacing w:after="0" w:line="22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absence of exchange control or currency restrictions; and</w:t>
      </w:r>
    </w:p>
    <w:p>
      <w:pPr>
        <w:spacing w:after="0" w:line="22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However, certain disadvantages accompany incorporation in the Cayman Islands. These disadvantages include, but are not limited to, the following:</w:t>
      </w:r>
    </w:p>
    <w:p>
      <w:pPr>
        <w:spacing w:after="0" w:line="170" w:lineRule="exact"/>
        <w:rPr>
          <w:sz w:val="20"/>
          <w:szCs w:val="20"/>
          <w:color w:val="auto"/>
        </w:rPr>
      </w:pPr>
    </w:p>
    <w:p>
      <w:pPr>
        <w:ind w:left="340" w:right="30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provides significantly less protection to investors; and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340" w:hanging="332"/>
        <w:spacing w:after="0"/>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right="200" w:firstLine="648"/>
        <w:spacing w:after="0" w:line="293" w:lineRule="auto"/>
        <w:rPr>
          <w:sz w:val="20"/>
          <w:szCs w:val="20"/>
          <w:color w:val="auto"/>
        </w:rPr>
      </w:pPr>
      <w:r>
        <w:rPr>
          <w:rFonts w:ascii="Arial" w:cs="Arial" w:eastAsia="Arial" w:hAnsi="Arial"/>
          <w:sz w:val="16"/>
          <w:szCs w:val="16"/>
          <w:color w:val="auto"/>
        </w:rPr>
        <w:t>A substantial portion of our current operations is conducted in China through our wholly-owned subsidiaries which are incorporated in China, Hong Kong, the British Virgin Islands or the Cayman Islands. All or most of our assets are located in China. A majority of our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w:t>
      </w:r>
    </w:p>
    <w:p>
      <w:pPr>
        <w:spacing w:after="0" w:line="164"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Maples and Calder (Hong Kong) LLP, our counsel as to Cayman Islands law, and Jun He Lawyers, our counsel as to Chinese law, have advised us, respectively, that there is uncertainty as to whether the courts of the Cayman Islands or China would:</w:t>
      </w:r>
    </w:p>
    <w:p>
      <w:pPr>
        <w:spacing w:after="0" w:line="124" w:lineRule="exact"/>
        <w:rPr>
          <w:sz w:val="20"/>
          <w:szCs w:val="20"/>
          <w:color w:val="auto"/>
        </w:rPr>
      </w:pPr>
    </w:p>
    <w:p>
      <w:pPr>
        <w:ind w:right="220" w:firstLine="656"/>
        <w:spacing w:after="0" w:line="277" w:lineRule="auto"/>
        <w:tabs>
          <w:tab w:leader="none" w:pos="11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170" w:lineRule="exact"/>
        <w:rPr>
          <w:rFonts w:ascii="Arial" w:cs="Arial" w:eastAsia="Arial" w:hAnsi="Arial"/>
          <w:sz w:val="18"/>
          <w:szCs w:val="18"/>
          <w:color w:val="auto"/>
        </w:rPr>
      </w:pPr>
    </w:p>
    <w:p>
      <w:pPr>
        <w:ind w:right="140" w:firstLine="656"/>
        <w:spacing w:after="0" w:line="277" w:lineRule="auto"/>
        <w:tabs>
          <w:tab w:leader="none" w:pos="1166"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entertain original actions brought in the Cayman Islands or China against us or our directors or officers predicated upon the securities laws of the United States or any state in the United States.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Maples and Calder (Hong Kong) LLP has further advised us that there is uncertainty under Cayman Islands law with regard to whether a judgment obtained from the United States courts under the civil liability provisions of the securities laws will be determined by the courts of the Cayman Islands as penal or punitive in nature. If such a determination is made, the courts of the Cayman Islands will not recognize or enforce the judgment against a Cayman company. Because the courts of the Cayman Islands have yet to rule on whether such judgments are penal or punitive in nature, it is uncertain whether they would be enforceable in the Cayman Islands. Maples and Calder (Hong Kong) LLP has advised us that although there is no statutory enforcement in the Cayman Islands of judgments obtained in the federal or state courts of the United States, a judgment obtained in a foreign court of competent jurisdiction will be recognized and enforced in the courts of the Cayman Islands at common law, without any re-examination of the merits of the underlying dispute, by an action commenced on the foreign judgment debt in the Grand Court of the Cayman Islands, provided that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68"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Jun He Lawyers has advised us further that the recognition and enforcement of foreign judgments are provided for under Chinese Civil Procedures Law. Chinese courts may recognize and enforce foreign judgments in accordance with the requirements of Chinese Civil Procedures Law based either on treaties between China and the country where the judgment is made or on reciprocity between jurisdictions.</w:t>
      </w:r>
    </w:p>
    <w:p>
      <w:pPr>
        <w:spacing w:after="0" w:line="183" w:lineRule="exact"/>
        <w:rPr>
          <w:sz w:val="20"/>
          <w:szCs w:val="20"/>
          <w:color w:val="auto"/>
        </w:rPr>
      </w:pPr>
    </w:p>
    <w:p>
      <w:pPr>
        <w:ind w:left="660" w:right="7020" w:hanging="652"/>
        <w:spacing w:after="0" w:line="500" w:lineRule="auto"/>
        <w:tabs>
          <w:tab w:leader="none" w:pos="645"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 w:lineRule="exact"/>
        <w:rPr>
          <w:rFonts w:ascii="Arial" w:cs="Arial" w:eastAsia="Arial" w:hAnsi="Arial"/>
          <w:sz w:val="18"/>
          <w:szCs w:val="18"/>
          <w:b w:val="1"/>
          <w:bCs w:val="1"/>
          <w:color w:val="auto"/>
        </w:rPr>
      </w:pPr>
    </w:p>
    <w:p>
      <w:pPr>
        <w:ind w:left="680" w:hanging="672"/>
        <w:spacing w:after="0"/>
        <w:tabs>
          <w:tab w:leader="none" w:pos="6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have previously filed with the SEC our registration statement on Form F-1 and prospectus under the Securities Act of 1933, as amended, with respect to our ADSs.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The SEC maintains a website that contains reports, proxy and information statements, and other information regarding issuers that file electronically with the SEC, including us, at http://www.sec.gov. Our company website can be accessed at http://ir.netease.com.</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financial statements have been prepared in accordance with U.S. GAAP.</w:t>
      </w:r>
    </w:p>
    <w:p>
      <w:pPr>
        <w:spacing w:after="0" w:line="22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In accordance with NASDAQ Marketplace Rule 5250(d)(1), we will post this annual report on Form 20-F on our website at http://ir.netease.com under the heading “Annual Reports.” In addition, we will provide hardcopies of our annual report free of charge to shareholders and ADS holders upon request.</w:t>
      </w:r>
    </w:p>
    <w:p>
      <w:pPr>
        <w:spacing w:after="0" w:line="180" w:lineRule="exact"/>
        <w:rPr>
          <w:sz w:val="20"/>
          <w:szCs w:val="20"/>
          <w:color w:val="auto"/>
        </w:rPr>
      </w:pPr>
    </w:p>
    <w:p>
      <w:pPr>
        <w:ind w:left="660" w:right="7400" w:hanging="652"/>
        <w:spacing w:after="0" w:line="563" w:lineRule="auto"/>
        <w:tabs>
          <w:tab w:leader="none" w:pos="667"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Please refer to Item 5.F. “Operating and Financial Review and Prospects—Quantitative and Qualitative Disclosures About Market Risk.”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25" w:lineRule="exact"/>
        <w:rPr>
          <w:sz w:val="20"/>
          <w:szCs w:val="20"/>
          <w:color w:val="auto"/>
        </w:rPr>
      </w:pPr>
    </w:p>
    <w:p>
      <w:pPr>
        <w:ind w:left="680" w:hanging="672"/>
        <w:spacing w:after="0"/>
        <w:tabs>
          <w:tab w:leader="none" w:pos="6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right="7600" w:hanging="652"/>
        <w:spacing w:after="0" w:line="563" w:lineRule="auto"/>
        <w:tabs>
          <w:tab w:leader="none" w:pos="669" w:val="left"/>
        </w:tabs>
        <w:numPr>
          <w:ilvl w:val="0"/>
          <w:numId w:val="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Warrants and Rights </w:t>
      </w:r>
      <w:r>
        <w:rPr>
          <w:rFonts w:ascii="Arial" w:cs="Arial" w:eastAsia="Arial" w:hAnsi="Arial"/>
          <w:sz w:val="16"/>
          <w:szCs w:val="16"/>
          <w:color w:val="auto"/>
        </w:rPr>
        <w:t>Not applicable.</w:t>
      </w:r>
    </w:p>
    <w:p>
      <w:pPr>
        <w:ind w:left="680" w:hanging="672"/>
        <w:spacing w:after="0"/>
        <w:tabs>
          <w:tab w:leader="none" w:pos="6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Bank of New York Mellon, the depositary of our ADS program,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Persons depositing or withdrawing shares must pay:</w:t>
            </w:r>
          </w:p>
        </w:tc>
        <w:tc>
          <w:tcPr>
            <w:tcW w:w="180" w:type="dxa"/>
            <w:vAlign w:val="bottom"/>
          </w:tcPr>
          <w:p>
            <w:pPr>
              <w:spacing w:after="0"/>
              <w:rPr>
                <w:sz w:val="14"/>
                <w:szCs w:val="14"/>
                <w:color w:val="auto"/>
              </w:rPr>
            </w:pPr>
          </w:p>
        </w:tc>
        <w:tc>
          <w:tcPr>
            <w:tcW w:w="488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For:</w:t>
            </w:r>
          </w:p>
        </w:tc>
      </w:tr>
      <w:tr>
        <w:trPr>
          <w:trHeight w:val="411"/>
        </w:trPr>
        <w:tc>
          <w:tcPr>
            <w:tcW w:w="5040" w:type="dxa"/>
            <w:vAlign w:val="bottom"/>
            <w:gridSpan w:val="2"/>
          </w:tcPr>
          <w:p>
            <w:pPr>
              <w:spacing w:after="0"/>
              <w:rPr>
                <w:sz w:val="20"/>
                <w:szCs w:val="20"/>
                <w:color w:val="auto"/>
              </w:rPr>
            </w:pPr>
            <w:r>
              <w:rPr>
                <w:rFonts w:ascii="Arial" w:cs="Arial" w:eastAsia="Arial" w:hAnsi="Arial"/>
                <w:sz w:val="18"/>
                <w:szCs w:val="18"/>
                <w:color w:val="auto"/>
              </w:rPr>
              <w:t>Up to US$0.05 per ADS</w:t>
            </w:r>
          </w:p>
        </w:tc>
        <w:tc>
          <w:tcPr>
            <w:tcW w:w="4880" w:type="dxa"/>
            <w:vAlign w:val="bottom"/>
          </w:tcPr>
          <w:p>
            <w:pPr>
              <w:spacing w:after="0"/>
              <w:rPr>
                <w:sz w:val="20"/>
                <w:szCs w:val="20"/>
                <w:color w:val="auto"/>
              </w:rPr>
            </w:pPr>
            <w:r>
              <w:rPr>
                <w:rFonts w:ascii="Arial" w:cs="Arial" w:eastAsia="Arial" w:hAnsi="Arial"/>
                <w:sz w:val="18"/>
                <w:szCs w:val="18"/>
                <w:color w:val="auto"/>
              </w:rPr>
              <w:t>●  Issuance of ADSs, including issuances resulting from a</w:t>
            </w:r>
          </w:p>
        </w:tc>
      </w:tr>
      <w:tr>
        <w:trPr>
          <w:trHeight w:val="230"/>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distribution of ordinary shares or rights or other property</w:t>
            </w:r>
          </w:p>
        </w:tc>
      </w:tr>
      <w:tr>
        <w:trPr>
          <w:trHeight w:val="432"/>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Cancellation or withdrawals of ADSs</w:t>
            </w:r>
          </w:p>
        </w:tc>
      </w:tr>
      <w:tr>
        <w:trPr>
          <w:trHeight w:val="418"/>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8"/>
              </w:rPr>
              <w:t>●  Distribution of ADSs pursuant to stock dividends, free stock</w:t>
            </w:r>
          </w:p>
        </w:tc>
      </w:tr>
      <w:tr>
        <w:trPr>
          <w:trHeight w:val="230"/>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distributions or exercise of rights</w:t>
            </w:r>
          </w:p>
        </w:tc>
      </w:tr>
      <w:tr>
        <w:trPr>
          <w:trHeight w:val="418"/>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  Distributions of securities other than ADSs or rights to</w:t>
            </w:r>
          </w:p>
        </w:tc>
      </w:tr>
      <w:tr>
        <w:trPr>
          <w:trHeight w:val="230"/>
        </w:trPr>
        <w:tc>
          <w:tcPr>
            <w:tcW w:w="4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tcPr>
          <w:p>
            <w:pPr>
              <w:ind w:left="300"/>
              <w:spacing w:after="0"/>
              <w:rPr>
                <w:sz w:val="20"/>
                <w:szCs w:val="20"/>
                <w:color w:val="auto"/>
              </w:rPr>
            </w:pPr>
            <w:r>
              <w:rPr>
                <w:rFonts w:ascii="Arial" w:cs="Arial" w:eastAsia="Arial" w:hAnsi="Arial"/>
                <w:sz w:val="18"/>
                <w:szCs w:val="18"/>
                <w:color w:val="auto"/>
              </w:rPr>
              <w:t>purchase additional ADSs</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Up to US$0.01 per ADS</w:t>
            </w:r>
          </w:p>
        </w:tc>
        <w:tc>
          <w:tcPr>
            <w:tcW w:w="4880" w:type="dxa"/>
            <w:vAlign w:val="bottom"/>
          </w:tcPr>
          <w:p>
            <w:pPr>
              <w:spacing w:after="0"/>
              <w:rPr>
                <w:sz w:val="20"/>
                <w:szCs w:val="20"/>
                <w:color w:val="auto"/>
              </w:rPr>
            </w:pPr>
            <w:r>
              <w:rPr>
                <w:rFonts w:ascii="Arial" w:cs="Arial" w:eastAsia="Arial" w:hAnsi="Arial"/>
                <w:sz w:val="18"/>
                <w:szCs w:val="18"/>
                <w:color w:val="auto"/>
              </w:rPr>
              <w:t>●  Distributions of cash dividends or other cash distributions</w:t>
            </w:r>
          </w:p>
        </w:tc>
      </w:tr>
      <w:tr>
        <w:trPr>
          <w:trHeight w:val="432"/>
        </w:trPr>
        <w:tc>
          <w:tcPr>
            <w:tcW w:w="5040" w:type="dxa"/>
            <w:vAlign w:val="bottom"/>
            <w:gridSpan w:val="2"/>
          </w:tcPr>
          <w:p>
            <w:pPr>
              <w:spacing w:after="0"/>
              <w:rPr>
                <w:sz w:val="20"/>
                <w:szCs w:val="20"/>
                <w:color w:val="auto"/>
              </w:rPr>
            </w:pPr>
            <w:r>
              <w:rPr>
                <w:rFonts w:ascii="Arial" w:cs="Arial" w:eastAsia="Arial" w:hAnsi="Arial"/>
                <w:sz w:val="18"/>
                <w:szCs w:val="18"/>
                <w:color w:val="auto"/>
              </w:rPr>
              <w:t>US$1.5 per certificate presented for transfer</w:t>
            </w:r>
          </w:p>
        </w:tc>
        <w:tc>
          <w:tcPr>
            <w:tcW w:w="4880" w:type="dxa"/>
            <w:vAlign w:val="bottom"/>
          </w:tcPr>
          <w:p>
            <w:pPr>
              <w:spacing w:after="0"/>
              <w:rPr>
                <w:sz w:val="20"/>
                <w:szCs w:val="20"/>
                <w:color w:val="auto"/>
              </w:rPr>
            </w:pPr>
            <w:r>
              <w:rPr>
                <w:rFonts w:ascii="Arial" w:cs="Arial" w:eastAsia="Arial" w:hAnsi="Arial"/>
                <w:sz w:val="18"/>
                <w:szCs w:val="18"/>
                <w:color w:val="auto"/>
              </w:rPr>
              <w:t>●  Transfer of American depositary receipts, or ADRs</w:t>
            </w:r>
          </w:p>
        </w:tc>
      </w:tr>
      <w:tr>
        <w:trPr>
          <w:trHeight w:val="418"/>
        </w:trPr>
        <w:tc>
          <w:tcPr>
            <w:tcW w:w="5040" w:type="dxa"/>
            <w:vAlign w:val="bottom"/>
            <w:gridSpan w:val="2"/>
          </w:tcPr>
          <w:p>
            <w:pPr>
              <w:spacing w:after="0"/>
              <w:rPr>
                <w:sz w:val="20"/>
                <w:szCs w:val="20"/>
                <w:color w:val="auto"/>
              </w:rPr>
            </w:pPr>
            <w:r>
              <w:rPr>
                <w:rFonts w:ascii="Arial" w:cs="Arial" w:eastAsia="Arial" w:hAnsi="Arial"/>
                <w:sz w:val="18"/>
                <w:szCs w:val="18"/>
                <w:color w:val="auto"/>
              </w:rPr>
              <w:t>Taxes and other governmental charges the depositary or the</w:t>
            </w:r>
          </w:p>
        </w:tc>
        <w:tc>
          <w:tcPr>
            <w:tcW w:w="4880" w:type="dxa"/>
            <w:vAlign w:val="bottom"/>
          </w:tcPr>
          <w:p>
            <w:pPr>
              <w:spacing w:after="0"/>
              <w:rPr>
                <w:sz w:val="20"/>
                <w:szCs w:val="20"/>
                <w:color w:val="auto"/>
              </w:rPr>
            </w:pPr>
            <w:r>
              <w:rPr>
                <w:rFonts w:ascii="Arial" w:cs="Arial" w:eastAsia="Arial" w:hAnsi="Arial"/>
                <w:sz w:val="18"/>
                <w:szCs w:val="18"/>
                <w:color w:val="auto"/>
              </w:rPr>
              <w:t>●  As necessary</w:t>
            </w: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w w:val="97"/>
              </w:rPr>
              <w:t>custodian have to pay on any ADS or ordinary shares underlying</w:t>
            </w:r>
          </w:p>
        </w:tc>
        <w:tc>
          <w:tcPr>
            <w:tcW w:w="4880" w:type="dxa"/>
            <w:vAlign w:val="bottom"/>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an ADS, for example, stock transfer taxes, stamp duty or</w:t>
            </w:r>
          </w:p>
        </w:tc>
        <w:tc>
          <w:tcPr>
            <w:tcW w:w="4880" w:type="dxa"/>
            <w:vAlign w:val="bottom"/>
          </w:tcPr>
          <w:p>
            <w:pPr>
              <w:spacing w:after="0"/>
              <w:rPr>
                <w:sz w:val="18"/>
                <w:szCs w:val="18"/>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withholding taxes</w:t>
            </w:r>
          </w:p>
        </w:tc>
        <w:tc>
          <w:tcPr>
            <w:tcW w:w="488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We did not receive any direct or indirect payment from the depositary in 2019, except that the depositary has agreed to waive certain fees for standard costs associated with the administration of the ADS program and waived such costs in an aggregate amount of US$38,713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Our management, with the participation of William Lei Ding, our Chief Executive Officer, and Charles Zhaoxuan Yang, our Chief Financial Officer, have conducted an evaluation pursuant to Rule 13a-15 promulgated under the Exchange Act, as amended, of the effectiveness of our disclosure controls and procedures as of December 31, 2019. Based on this evaluation, our Chief Executive Officer and Chief Financial Officer concluded that such disclosure controls and procedures were effective as of December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Our management’s annual report on internal control over financial reporting is included in this annual report on pages F-1. PricewaterhouseCoopers Zhong Tian LLP, our independent registered public accounting firm, audited the effectiveness of our company’s internal control over the financial reporting period of December 31, 2019 as stated in this annual report on pages F-2.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Rules 13a-15 or 15d-15 that occurred during the period covered by this annual report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board of directors has determined that Mr. Joseph Tong qualifies as an “audit committee financial expert” as defined by the applicable rules of the SEC and that Mr. Tong is “independent” as that term is defined in NASDAQ Marketplace Rule 5605(a)(2).</w:t>
      </w:r>
    </w:p>
    <w:p>
      <w:pPr>
        <w:spacing w:after="0" w:line="12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We have adopted a Code of Business Conduct which applies to our employees, officers and non-employee directors, including our principal executive officer, principal financial officer, principal accounting officer or controller, and persons performing similar functions. This code is intended to qualify as a “code of ethics” within the meaning of the applicable rules of the SEC.</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Fees Charged by Independent Accountants</w:t>
      </w:r>
    </w:p>
    <w:p>
      <w:pPr>
        <w:spacing w:after="0" w:line="20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fees charged by PricewaterhouseCoopers Zhong Tian LLP and its affiliates for certain services rendered to our company during 2018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40" w:type="dxa"/>
            <w:vAlign w:val="bottom"/>
            <w:gridSpan w:val="3"/>
          </w:tcPr>
          <w:p>
            <w:pPr>
              <w:jc w:val="center"/>
              <w:ind w:left="761"/>
              <w:spacing w:after="0"/>
              <w:rPr>
                <w:sz w:val="20"/>
                <w:szCs w:val="20"/>
                <w:color w:val="auto"/>
              </w:rPr>
            </w:pPr>
            <w:r>
              <w:rPr>
                <w:rFonts w:ascii="Arial" w:cs="Arial" w:eastAsia="Arial" w:hAnsi="Arial"/>
                <w:sz w:val="14"/>
                <w:szCs w:val="14"/>
                <w:b w:val="1"/>
                <w:bCs w:val="1"/>
                <w:color w:val="auto"/>
                <w:w w:val="92"/>
              </w:rPr>
              <w:t>For the year ended</w:t>
            </w:r>
          </w:p>
        </w:tc>
        <w:tc>
          <w:tcPr>
            <w:tcW w:w="86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4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r>
      <w:tr>
        <w:trPr>
          <w:trHeight w:val="142"/>
        </w:trPr>
        <w:tc>
          <w:tcPr>
            <w:tcW w:w="2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1"/>
                <w:szCs w:val="11"/>
                <w:b w:val="1"/>
                <w:bCs w:val="1"/>
                <w:color w:val="auto"/>
              </w:rPr>
              <w:t>2018</w:t>
            </w:r>
            <w:r>
              <w:rPr>
                <w:rFonts w:ascii="Arial" w:cs="Arial" w:eastAsia="Arial" w:hAnsi="Arial"/>
                <w:sz w:val="16"/>
                <w:szCs w:val="16"/>
                <w:b w:val="1"/>
                <w:bCs w:val="1"/>
                <w:color w:val="auto"/>
                <w:vertAlign w:val="superscript"/>
              </w:rPr>
              <w:t>(1)</w:t>
            </w:r>
          </w:p>
        </w:tc>
        <w:tc>
          <w:tcPr>
            <w:tcW w:w="3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7"/>
              <w:spacing w:after="0" w:line="142" w:lineRule="exact"/>
              <w:rPr>
                <w:sz w:val="20"/>
                <w:szCs w:val="20"/>
                <w:color w:val="auto"/>
              </w:rPr>
            </w:pPr>
            <w:r>
              <w:rPr>
                <w:rFonts w:ascii="Arial" w:cs="Arial" w:eastAsia="Arial" w:hAnsi="Arial"/>
                <w:sz w:val="11"/>
                <w:szCs w:val="11"/>
                <w:b w:val="1"/>
                <w:bCs w:val="1"/>
                <w:color w:val="auto"/>
              </w:rPr>
              <w:t>2019</w:t>
            </w:r>
            <w:r>
              <w:rPr>
                <w:rFonts w:ascii="Arial" w:cs="Arial" w:eastAsia="Arial" w:hAnsi="Arial"/>
                <w:sz w:val="16"/>
                <w:szCs w:val="16"/>
                <w:b w:val="1"/>
                <w:bCs w:val="1"/>
                <w:color w:val="auto"/>
                <w:vertAlign w:val="superscript"/>
              </w:rPr>
              <w:t>(1)</w:t>
            </w:r>
          </w:p>
        </w:tc>
      </w:tr>
      <w:tr>
        <w:trPr>
          <w:trHeight w:val="142"/>
        </w:trPr>
        <w:tc>
          <w:tcPr>
            <w:tcW w:w="24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9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5"/>
              </w:rPr>
              <w:t>RMB (in thousands)</w:t>
            </w:r>
          </w:p>
        </w:tc>
      </w:tr>
      <w:tr>
        <w:trPr>
          <w:trHeight w:val="216"/>
        </w:trPr>
        <w:tc>
          <w:tcPr>
            <w:tcW w:w="7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Audit fees </w:t>
            </w:r>
            <w:r>
              <w:rPr>
                <w:rFonts w:ascii="Arial" w:cs="Arial" w:eastAsia="Arial" w:hAnsi="Arial"/>
                <w:sz w:val="25"/>
                <w:szCs w:val="25"/>
                <w:color w:val="auto"/>
                <w:vertAlign w:val="superscript"/>
              </w:rPr>
              <w:t>(2)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30,220</w:t>
            </w:r>
          </w:p>
        </w:tc>
      </w:tr>
      <w:tr>
        <w:trPr>
          <w:trHeight w:val="216"/>
        </w:trPr>
        <w:tc>
          <w:tcPr>
            <w:tcW w:w="702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Tax fees </w:t>
            </w:r>
            <w:r>
              <w:rPr>
                <w:rFonts w:ascii="Arial" w:cs="Arial" w:eastAsia="Arial" w:hAnsi="Arial"/>
                <w:sz w:val="25"/>
                <w:szCs w:val="25"/>
                <w:color w:val="auto"/>
                <w:vertAlign w:val="superscript"/>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595</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16"/>
        </w:trPr>
        <w:tc>
          <w:tcPr>
            <w:tcW w:w="70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All other fees </w:t>
            </w:r>
            <w:r>
              <w:rPr>
                <w:rFonts w:ascii="Arial" w:cs="Arial" w:eastAsia="Arial" w:hAnsi="Arial"/>
                <w:sz w:val="25"/>
                <w:szCs w:val="25"/>
                <w:color w:val="auto"/>
                <w:vertAlign w:val="superscript"/>
              </w:rPr>
              <w:t>(4)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09"/>
        </w:trPr>
        <w:tc>
          <w:tcPr>
            <w:tcW w:w="7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16,037</w:t>
            </w:r>
          </w:p>
        </w:tc>
        <w:tc>
          <w:tcPr>
            <w:tcW w:w="3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31,950</w:t>
            </w:r>
          </w:p>
        </w:tc>
      </w:tr>
      <w:tr>
        <w:trPr>
          <w:trHeight w:val="102"/>
        </w:trPr>
        <w:tc>
          <w:tcPr>
            <w:tcW w:w="248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tcPr>
          <w:p>
            <w:pPr>
              <w:spacing w:after="0"/>
              <w:rPr>
                <w:sz w:val="8"/>
                <w:szCs w:val="8"/>
                <w:color w:val="auto"/>
              </w:rPr>
            </w:pPr>
          </w:p>
        </w:tc>
      </w:tr>
    </w:tbl>
    <w:p>
      <w:pPr>
        <w:spacing w:after="0" w:line="80" w:lineRule="exact"/>
        <w:rPr>
          <w:sz w:val="20"/>
          <w:szCs w:val="20"/>
          <w:color w:val="auto"/>
        </w:rPr>
      </w:pPr>
    </w:p>
    <w:p>
      <w:pPr>
        <w:ind w:left="340" w:right="24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fees disclosed are exclusive of out-of-pocket expenses on the amounts paid, which totaled approximately RMB1,033,000 and RMB1,360,000 in 2018 and 2019, respectively.</w:t>
      </w:r>
    </w:p>
    <w:p>
      <w:pPr>
        <w:spacing w:after="0" w:line="129"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“Audit fees” means the aggregate fees billed in each of the fiscal years for professional services rendered by our principal auditors for the audit of our annual financial statements and our internal controls over financial reporting.</w:t>
      </w:r>
    </w:p>
    <w:p>
      <w:pPr>
        <w:spacing w:after="0" w:line="129" w:lineRule="exact"/>
        <w:rPr>
          <w:rFonts w:ascii="Arial" w:cs="Arial" w:eastAsia="Arial" w:hAnsi="Arial"/>
          <w:sz w:val="18"/>
          <w:szCs w:val="18"/>
          <w:color w:val="auto"/>
        </w:rPr>
      </w:pPr>
    </w:p>
    <w:p>
      <w:pPr>
        <w:ind w:left="340" w:right="10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“Tax fees” means the aggregate fees billed in each of the fiscal years for professional services rendered by our principal auditors for tax compliance and tax advice.</w:t>
      </w:r>
    </w:p>
    <w:p>
      <w:pPr>
        <w:spacing w:after="0" w:line="129"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other fees” includes the aggregate fees billed in each of the fiscal years for non-audit services rendered which were not listed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8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Our audit committee has adopted procedures which set forth the manner in which the committee will review and approve all audit and non-audit services to be provided by PricewaterhouseCoopers Zhong Tian LLP before that firm is retained for such services. The pre-approval procedures are as follows:</w:t>
      </w:r>
    </w:p>
    <w:p>
      <w:pPr>
        <w:spacing w:after="0" w:line="143" w:lineRule="exact"/>
        <w:rPr>
          <w:sz w:val="20"/>
          <w:szCs w:val="20"/>
          <w:color w:val="auto"/>
        </w:rPr>
      </w:pPr>
    </w:p>
    <w:p>
      <w:pPr>
        <w:ind w:left="340" w:right="40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audit or non-audit service to be provided to us by the independent accountant must be submitted to the audit committee for review and approval, with a description of the services to be performed and the fees to be charged.</w:t>
      </w:r>
    </w:p>
    <w:p>
      <w:pPr>
        <w:spacing w:after="0" w:line="143" w:lineRule="exact"/>
        <w:rPr>
          <w:rFonts w:ascii="Arial" w:cs="Arial" w:eastAsia="Arial" w:hAnsi="Arial"/>
          <w:sz w:val="18"/>
          <w:szCs w:val="18"/>
          <w:color w:val="auto"/>
        </w:rPr>
      </w:pPr>
    </w:p>
    <w:p>
      <w:pPr>
        <w:ind w:left="340" w:right="48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audit committee in its sole discretion then approves or disapproves the proposed services and documents such approval, if given, through written resolutions or in the minutes of meetings, as the case may be.</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not sought an exemption from the applicable listing standards for the audit committee of our board of directors.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November 14, 2018, we announced a share repurchase program authorized by our board of directors, pursuant to which we were authorized to purchase up to US$1.0 billion worth of our issued and outstanding ADSs on the NASDAQ Global Select Market. This share repurchase program expired on November 16, 2019. The table below shows the ADSs that we have repurchased under this program as of November 15, 2019, being the last day of the program.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ADSs</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Dollar Value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ADSs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that May Yet</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w:t>
            </w:r>
          </w:p>
        </w:tc>
        <w:tc>
          <w:tcPr>
            <w:tcW w:w="0" w:type="dxa"/>
            <w:vAlign w:val="bottom"/>
          </w:tcPr>
          <w:p>
            <w:pPr>
              <w:spacing w:after="0"/>
              <w:rPr>
                <w:sz w:val="1"/>
                <w:szCs w:val="1"/>
                <w:color w:val="auto"/>
              </w:rPr>
            </w:pPr>
          </w:p>
        </w:tc>
      </w:tr>
      <w:tr>
        <w:trPr>
          <w:trHeight w:val="144"/>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ADSs</w:t>
            </w: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Paid</w:t>
            </w: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or</w:t>
            </w:r>
          </w:p>
        </w:tc>
        <w:tc>
          <w:tcPr>
            <w:tcW w:w="1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6"/>
        </w:trPr>
        <w:tc>
          <w:tcPr>
            <w:tcW w:w="6040" w:type="dxa"/>
            <w:vAlign w:val="bottom"/>
            <w:gridSpan w:val="3"/>
            <w:vMerge w:val="continue"/>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6"/>
              </w:rPr>
              <w:t>Purchased</w:t>
            </w:r>
            <w:r>
              <w:rPr>
                <w:rFonts w:ascii="Arial" w:cs="Arial" w:eastAsia="Arial" w:hAnsi="Arial"/>
                <w:sz w:val="20"/>
                <w:szCs w:val="20"/>
                <w:b w:val="1"/>
                <w:bCs w:val="1"/>
                <w:color w:val="auto"/>
                <w:w w:val="86"/>
                <w:vertAlign w:val="superscript"/>
              </w:rPr>
              <w:t>(1)</w:t>
            </w: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Per ADS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42"/>
        </w:trPr>
        <w:tc>
          <w:tcPr>
            <w:tcW w:w="2480" w:type="dxa"/>
            <w:vAlign w:val="bottom"/>
            <w:tcBorders>
              <w:top w:val="single" w:sz="8" w:color="auto"/>
            </w:tcBorders>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US$</w:t>
            </w:r>
          </w:p>
        </w:tc>
        <w:tc>
          <w:tcPr>
            <w:tcW w:w="1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US$</w:t>
            </w:r>
          </w:p>
        </w:tc>
        <w:tc>
          <w:tcPr>
            <w:tcW w:w="1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2019</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74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209.94</w:t>
            </w:r>
          </w:p>
        </w:tc>
        <w:tc>
          <w:tcPr>
            <w:tcW w:w="16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213,091</w:t>
            </w:r>
          </w:p>
        </w:tc>
        <w:tc>
          <w:tcPr>
            <w:tcW w:w="11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999,786,909</w:t>
            </w:r>
          </w:p>
        </w:tc>
        <w:tc>
          <w:tcPr>
            <w:tcW w:w="0" w:type="dxa"/>
            <w:vAlign w:val="bottom"/>
          </w:tcPr>
          <w:p>
            <w:pPr>
              <w:spacing w:after="0"/>
              <w:rPr>
                <w:sz w:val="1"/>
                <w:szCs w:val="1"/>
                <w:color w:val="auto"/>
              </w:rPr>
            </w:pPr>
          </w:p>
        </w:tc>
      </w:tr>
      <w:tr>
        <w:trPr>
          <w:trHeight w:val="210"/>
        </w:trPr>
        <w:tc>
          <w:tcPr>
            <w:tcW w:w="6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213,091</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560" w:type="dxa"/>
            <w:vAlign w:val="bottom"/>
            <w:gridSpan w:val="2"/>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6040" w:type="dxa"/>
            <w:vAlign w:val="bottom"/>
            <w:gridSpan w:val="3"/>
          </w:tcPr>
          <w:p>
            <w:pPr>
              <w:spacing w:after="0"/>
              <w:rPr>
                <w:sz w:val="20"/>
                <w:szCs w:val="20"/>
                <w:color w:val="auto"/>
              </w:rPr>
            </w:pPr>
            <w:r>
              <w:rPr>
                <w:rFonts w:ascii="Arial" w:cs="Arial" w:eastAsia="Arial" w:hAnsi="Arial"/>
                <w:sz w:val="18"/>
                <w:szCs w:val="18"/>
                <w:color w:val="auto"/>
                <w:w w:val="98"/>
              </w:rPr>
              <w:t>(1) Our ADS to ordinary share ratio is one ADS for every 25 ordinary shares.</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November 20, 2019, we announced a share purchase program authorized by our board of directors pursuant to which we were authorized to purchase up to US$20.0 million worth of Youdao’s outstanding ADSs on the New York Stock Exchange. The share purchase program will expire on November 25, 2020. As of December 31, 2019, approximately 50,000 ADSs had been purchased under this program.</w:t>
      </w:r>
    </w:p>
    <w:p>
      <w:pPr>
        <w:spacing w:after="0" w:line="14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On February 26, 2020, we announced a share repurchase program authorized by our board of directors pursuant to which we were authorized to purchase up to US$1.0 billion of our outstanding ADSs for a period not to exceed 12 months.</w:t>
      </w:r>
    </w:p>
    <w:p>
      <w:pPr>
        <w:spacing w:after="0" w:line="10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89"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As permitted by NASDAQ, in lieu of the NASDAQ corporate governance rules, but subject to certain exceptions, we may follow the practices of our home country which for the purpose of such rules is the Cayman Islands. Specifically, our board of directors adopted our RSU Plans without seeking shareholder approval which is generally required under Rule 5635(c) of the NASDAQ Marketplace Rules. There is no specific requirement under Cayman Islands law for shareholder approval to be obtained with respect to the establishment or amendment of equity compensation arrangements.</w:t>
      </w:r>
    </w:p>
    <w:p>
      <w:pPr>
        <w:spacing w:after="0" w:line="13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consolidated financial statements for NetEase, Inc. and its subsidiaries are included at the end of this annual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740" w:type="dxa"/>
            <w:vAlign w:val="bottom"/>
            <w:gridSpan w:val="17"/>
            <w:vMerge w:val="restart"/>
          </w:tcPr>
          <w:p>
            <w:pPr>
              <w:ind w:left="102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74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820" w:type="dxa"/>
            <w:vAlign w:val="bottom"/>
            <w:tcBorders>
              <w:top w:val="single" w:sz="8" w:color="auto"/>
            </w:tcBorders>
            <w:gridSpan w:val="19"/>
          </w:tcPr>
          <w:p>
            <w:pPr>
              <w:spacing w:after="0"/>
              <w:rPr>
                <w:sz w:val="20"/>
                <w:szCs w:val="20"/>
                <w:color w:val="auto"/>
              </w:rPr>
            </w:pPr>
            <w:r>
              <w:rPr>
                <w:rFonts w:ascii="Arial" w:cs="Arial" w:eastAsia="Arial" w:hAnsi="Arial"/>
                <w:sz w:val="18"/>
                <w:szCs w:val="18"/>
                <w:color w:val="auto"/>
                <w:w w:val="93"/>
              </w:rPr>
              <w:t>Amended and Restated Memorandum of Association of NetEase.com, Inc. (incorporated by reference to Exhibit 3.1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6"/>
              </w:rPr>
              <w:t>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rPr>
              <w:t>May 15, 2000)</w:t>
            </w:r>
          </w:p>
        </w:tc>
        <w:tc>
          <w:tcPr>
            <w:tcW w:w="0" w:type="dxa"/>
            <w:vAlign w:val="bottom"/>
          </w:tcPr>
          <w:p>
            <w:pPr>
              <w:spacing w:after="0"/>
              <w:rPr>
                <w:sz w:val="1"/>
                <w:szCs w:val="1"/>
                <w:color w:val="auto"/>
              </w:rPr>
            </w:pP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9"/>
              </w:rPr>
              <w:t>Amended and Restated Articles of Association of NetEase.com, Inc. (incorporated by reference to Exhibit 3.2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6"/>
              </w:rPr>
              <w:t>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rPr>
              <w:t>May 15, 2000)</w:t>
            </w:r>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7840" w:type="dxa"/>
            <w:vAlign w:val="bottom"/>
            <w:tcBorders>
              <w:bottom w:val="single" w:sz="8" w:color="0000EE"/>
            </w:tcBorders>
            <w:gridSpan w:val="8"/>
          </w:tcPr>
          <w:p>
            <w:pPr>
              <w:spacing w:after="0"/>
              <w:rPr>
                <w:rFonts w:ascii="Arial" w:cs="Arial" w:eastAsia="Arial" w:hAnsi="Arial"/>
                <w:sz w:val="18"/>
                <w:szCs w:val="18"/>
                <w:color w:val="0000EE"/>
                <w:w w:val="90"/>
              </w:rPr>
            </w:pPr>
            <w:hyperlink r:id="rId183">
              <w:r>
                <w:rPr>
                  <w:rFonts w:ascii="Arial" w:cs="Arial" w:eastAsia="Arial" w:hAnsi="Arial"/>
                  <w:sz w:val="18"/>
                  <w:szCs w:val="18"/>
                  <w:color w:val="0000EE"/>
                  <w:w w:val="90"/>
                </w:rPr>
                <w:t>Amendment to Amended and Restated Articles of Association of NetEase.com, Inc. dated as of June 6, 2003</w:t>
              </w:r>
            </w:hyperlink>
          </w:p>
        </w:tc>
        <w:tc>
          <w:tcPr>
            <w:tcW w:w="9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(incorporated by reference to Exhibit 1.3 to the company’s Annual Report on Form 20-F for the year ended December 31,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2002 filed with the SEC on June 27, 2003)</w:t>
              </w:r>
            </w:hyperlink>
          </w:p>
        </w:tc>
        <w:tc>
          <w:tcPr>
            <w:tcW w:w="57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920" w:type="dxa"/>
            <w:vAlign w:val="bottom"/>
            <w:gridSpan w:val="2"/>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3"/>
              </w:rPr>
              <w:t>Specimen American Depositary Receipt of NetEase.com, Inc. (incorporated by reference to Exhibit 4.1 to Amendment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4"/>
              </w:rPr>
              <w:t>No. 1 to the company’s 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920" w:type="dxa"/>
            <w:vAlign w:val="bottom"/>
            <w:gridSpan w:val="2"/>
          </w:tcPr>
          <w:p>
            <w:pPr>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w w:val="94"/>
              </w:rPr>
              <w:t>Specimen Stock Certificate of NetEase.com, Inc. (incorporated by reference to Exhibit 4.2 to Amendment No. 1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9"/>
          </w:tcPr>
          <w:p>
            <w:pPr>
              <w:spacing w:after="0"/>
              <w:rPr>
                <w:sz w:val="20"/>
                <w:szCs w:val="20"/>
                <w:color w:val="auto"/>
              </w:rPr>
            </w:pPr>
            <w:r>
              <w:rPr>
                <w:rFonts w:ascii="Arial" w:cs="Arial" w:eastAsia="Arial" w:hAnsi="Arial"/>
                <w:sz w:val="18"/>
                <w:szCs w:val="18"/>
                <w:color w:val="auto"/>
              </w:rPr>
              <w:t>company’s Registration Statement on Form F-1 (file no. 333-11724) filed with the SEC on May 15, 2000)</w:t>
            </w:r>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8"/>
                <w:szCs w:val="18"/>
                <w:color w:val="0000EE"/>
                <w:w w:val="94"/>
              </w:rPr>
            </w:pPr>
            <w:hyperlink r:id="rId184">
              <w:r>
                <w:rPr>
                  <w:rFonts w:ascii="Arial" w:cs="Arial" w:eastAsia="Arial" w:hAnsi="Arial"/>
                  <w:sz w:val="18"/>
                  <w:szCs w:val="18"/>
                  <w:color w:val="0000EE"/>
                  <w:w w:val="94"/>
                </w:rPr>
                <w:t>Deposit Agreement dated July 6, 2000 by and among NetEase.com, Inc., The Bank of New York and the owners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184">
              <w:r>
                <w:rPr>
                  <w:rFonts w:ascii="Arial" w:cs="Arial" w:eastAsia="Arial" w:hAnsi="Arial"/>
                  <w:sz w:val="18"/>
                  <w:szCs w:val="18"/>
                  <w:color w:val="0000EE"/>
                  <w:w w:val="91"/>
                </w:rPr>
                <w:t>beneficial owners of American depositary receipts (incorporated by reference to Exhibit 1 to the Registrant's Registration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9"/>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Statement on Form F-6EF (File No. 333-115868) filed with the SEC on May 26, 2004)</w:t>
              </w:r>
            </w:hyperlink>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6260" w:type="dxa"/>
            <w:vAlign w:val="bottom"/>
            <w:tcBorders>
              <w:top w:val="single" w:sz="8" w:color="0000EE"/>
            </w:tcBorders>
            <w:gridSpan w:val="5"/>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Description of Ordinary Shares</w:t>
              </w:r>
            </w:hyperlink>
          </w:p>
        </w:tc>
        <w:tc>
          <w:tcPr>
            <w:tcW w:w="256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Description of American Depositary Shares</w:t>
              </w:r>
            </w:hyperlink>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8820" w:type="dxa"/>
            <w:vAlign w:val="bottom"/>
            <w:tcBorders>
              <w:bottom w:val="single" w:sz="8" w:color="0000EE"/>
            </w:tcBorders>
            <w:gridSpan w:val="19"/>
          </w:tcPr>
          <w:p>
            <w:pPr>
              <w:spacing w:after="0"/>
              <w:rPr>
                <w:rFonts w:ascii="Arial" w:cs="Arial" w:eastAsia="Arial" w:hAnsi="Arial"/>
                <w:sz w:val="18"/>
                <w:szCs w:val="18"/>
                <w:color w:val="0000EE"/>
                <w:w w:val="91"/>
              </w:rPr>
            </w:pPr>
            <w:hyperlink r:id="rId185">
              <w:r>
                <w:rPr>
                  <w:rFonts w:ascii="Arial" w:cs="Arial" w:eastAsia="Arial" w:hAnsi="Arial"/>
                  <w:sz w:val="18"/>
                  <w:szCs w:val="18"/>
                  <w:color w:val="0000EE"/>
                  <w:w w:val="91"/>
                </w:rPr>
                <w:t>Proxy Agreement dated April 15, 2009 between NetEase (Hangzhou) Network Co., Ltd. and Zhipeng Hu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8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85">
              <w:r>
                <w:rPr>
                  <w:rFonts w:ascii="Arial" w:cs="Arial" w:eastAsia="Arial" w:hAnsi="Arial"/>
                  <w:sz w:val="18"/>
                  <w:szCs w:val="18"/>
                  <w:color w:val="0000EE"/>
                  <w:w w:val="91"/>
                </w:rPr>
                <w:t>reference to Exhibit 3.3 to the company’s Annual Report on Form 20-F for the year ended December 31, 2014 filed with</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9"/>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8"/>
                <w:szCs w:val="18"/>
                <w:color w:val="0000EE"/>
                <w:w w:val="93"/>
              </w:rPr>
            </w:pPr>
            <w:hyperlink r:id="rId186">
              <w:r>
                <w:rPr>
                  <w:rFonts w:ascii="Arial" w:cs="Arial" w:eastAsia="Arial" w:hAnsi="Arial"/>
                  <w:sz w:val="18"/>
                  <w:szCs w:val="18"/>
                  <w:color w:val="0000EE"/>
                  <w:w w:val="93"/>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86">
              <w:r>
                <w:rPr>
                  <w:rFonts w:ascii="Arial" w:cs="Arial" w:eastAsia="Arial" w:hAnsi="Arial"/>
                  <w:sz w:val="18"/>
                  <w:szCs w:val="18"/>
                  <w:color w:val="0000EE"/>
                  <w:w w:val="93"/>
                </w:rPr>
                <w:t>and Tianlei Hu (incorporated by reference to Exhibit 3.8 to the company’s Annual Report on Form 20-F for the year</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186">
              <w:r>
                <w:rPr>
                  <w:rFonts w:ascii="Arial" w:cs="Arial" w:eastAsia="Arial" w:hAnsi="Arial"/>
                  <w:sz w:val="18"/>
                  <w:szCs w:val="18"/>
                  <w:color w:val="0000EE"/>
                  <w:w w:val="91"/>
                </w:rPr>
                <w:t>ended December 31, 2015 filed with the SEC on April 22, 2016)</w:t>
              </w:r>
            </w:hyperlink>
          </w:p>
        </w:tc>
        <w:tc>
          <w:tcPr>
            <w:tcW w:w="3740" w:type="dxa"/>
            <w:vAlign w:val="bottom"/>
            <w:tcBorders>
              <w:top w:val="single" w:sz="8" w:color="0000EE"/>
            </w:tcBorders>
            <w:gridSpan w:val="7"/>
          </w:tcPr>
          <w:p>
            <w:pPr>
              <w:spacing w:after="0"/>
              <w:rPr>
                <w:sz w:val="17"/>
                <w:szCs w:val="17"/>
                <w:color w:val="auto"/>
              </w:rPr>
            </w:pPr>
          </w:p>
        </w:tc>
        <w:tc>
          <w:tcPr>
            <w:tcW w:w="4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24"/>
                <w:szCs w:val="24"/>
                <w:color w:val="auto"/>
              </w:rPr>
            </w:pPr>
          </w:p>
        </w:tc>
        <w:tc>
          <w:tcPr>
            <w:tcW w:w="8820" w:type="dxa"/>
            <w:vAlign w:val="bottom"/>
            <w:gridSpan w:val="19"/>
          </w:tcPr>
          <w:p>
            <w:pPr>
              <w:spacing w:after="0"/>
              <w:rPr>
                <w:rFonts w:ascii="Arial" w:cs="Arial" w:eastAsia="Arial" w:hAnsi="Arial"/>
                <w:sz w:val="18"/>
                <w:szCs w:val="18"/>
                <w:color w:val="0000EE"/>
                <w:w w:val="93"/>
              </w:rPr>
            </w:pPr>
            <w:hyperlink r:id="rId187">
              <w:r>
                <w:rPr>
                  <w:rFonts w:ascii="Arial" w:cs="Arial" w:eastAsia="Arial" w:hAnsi="Arial"/>
                  <w:sz w:val="18"/>
                  <w:szCs w:val="18"/>
                  <w:color w:val="0000EE"/>
                  <w:w w:val="93"/>
                </w:rPr>
                <w:t>Shareholder Voting Rights Trust Agreement dated December 1, 2015 between NetEase (Hangzhou) Network Co., Ltd.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and Zhipeng Hu (incorporated by reference to Exhibit 3.9 to the company’s Annual Report on Form 20-F for the year</w:t>
              </w:r>
            </w:hyperlink>
          </w:p>
        </w:tc>
        <w:tc>
          <w:tcPr>
            <w:tcW w:w="60" w:type="dxa"/>
            <w:vAlign w:val="bottom"/>
            <w:tcBorders>
              <w:top w:val="single" w:sz="8" w:color="0000EE"/>
            </w:tcBorders>
          </w:tcPr>
          <w:p>
            <w:pPr>
              <w:spacing w:after="0"/>
              <w:rPr>
                <w:sz w:val="17"/>
                <w:szCs w:val="17"/>
                <w:color w:val="auto"/>
              </w:rPr>
            </w:pPr>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ended December 31, 2015 filed with the SEC on April 22, 2016)</w:t>
              </w:r>
            </w:hyperlink>
          </w:p>
        </w:tc>
        <w:tc>
          <w:tcPr>
            <w:tcW w:w="41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4"/>
                <w:szCs w:val="24"/>
                <w:color w:val="auto"/>
              </w:rPr>
            </w:pPr>
          </w:p>
        </w:tc>
        <w:tc>
          <w:tcPr>
            <w:tcW w:w="8820" w:type="dxa"/>
            <w:vAlign w:val="bottom"/>
            <w:tcBorders>
              <w:bottom w:val="single" w:sz="8" w:color="0000EE"/>
            </w:tcBorders>
            <w:gridSpan w:val="19"/>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Amended and Restated Shareholder Voting Right Trust Agreement dated November 30, 2015 among NetEase Information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9"/>
          </w:tcPr>
          <w:p>
            <w:pPr>
              <w:spacing w:after="0" w:line="196" w:lineRule="exact"/>
              <w:rPr>
                <w:rFonts w:ascii="Arial" w:cs="Arial" w:eastAsia="Arial" w:hAnsi="Arial"/>
                <w:sz w:val="18"/>
                <w:szCs w:val="18"/>
                <w:color w:val="0000EE"/>
                <w:w w:val="99"/>
              </w:rPr>
            </w:pPr>
            <w:hyperlink r:id="rId188">
              <w:r>
                <w:rPr>
                  <w:rFonts w:ascii="Arial" w:cs="Arial" w:eastAsia="Arial" w:hAnsi="Arial"/>
                  <w:sz w:val="18"/>
                  <w:szCs w:val="18"/>
                  <w:color w:val="0000EE"/>
                  <w:w w:val="99"/>
                </w:rPr>
                <w:t>Technology (Beijing) Co., Ltd., Beijing Guangyitong Advertising Co., Ltd. (now known as Beijing NetEase Media</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88">
              <w:r>
                <w:rPr>
                  <w:rFonts w:ascii="Arial" w:cs="Arial" w:eastAsia="Arial" w:hAnsi="Arial"/>
                  <w:sz w:val="18"/>
                  <w:szCs w:val="18"/>
                  <w:color w:val="0000EE"/>
                  <w:w w:val="93"/>
                </w:rPr>
                <w:t>Co., Ltd.) William Lei Ding and Xiaojun Hui (incorporated by reference to Exhibit 3.7 to the company’s Annual Report</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on Form 20-F for the year ended December 31, 2015 filed with the SEC on April 22, 2016)</w:t>
              </w:r>
            </w:hyperlink>
          </w:p>
        </w:tc>
        <w:tc>
          <w:tcPr>
            <w:tcW w:w="22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8780" w:type="dxa"/>
            <w:vAlign w:val="bottom"/>
            <w:tcBorders>
              <w:bottom w:val="single" w:sz="8" w:color="0000EE"/>
            </w:tcBorders>
            <w:gridSpan w:val="18"/>
          </w:tcPr>
          <w:p>
            <w:pPr>
              <w:spacing w:after="0"/>
              <w:rPr>
                <w:rFonts w:ascii="Arial" w:cs="Arial" w:eastAsia="Arial" w:hAnsi="Arial"/>
                <w:sz w:val="18"/>
                <w:szCs w:val="18"/>
                <w:color w:val="0000EE"/>
                <w:w w:val="89"/>
              </w:rPr>
            </w:pPr>
            <w:hyperlink r:id="rId189">
              <w:r>
                <w:rPr>
                  <w:rFonts w:ascii="Arial" w:cs="Arial" w:eastAsia="Arial" w:hAnsi="Arial"/>
                  <w:sz w:val="18"/>
                  <w:szCs w:val="18"/>
                  <w:color w:val="0000EE"/>
                  <w:w w:val="89"/>
                </w:rPr>
                <w:t>Shareholder Voting Rights Trust Agreement dated September 26, 2016 between NetEase Youdao Information Technology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89">
              <w:r>
                <w:rPr>
                  <w:rFonts w:ascii="Arial" w:cs="Arial" w:eastAsia="Arial" w:hAnsi="Arial"/>
                  <w:sz w:val="18"/>
                  <w:szCs w:val="18"/>
                  <w:color w:val="0000EE"/>
                  <w:w w:val="92"/>
                </w:rPr>
                <w:t>(Beijing) Co., Ltd. and William Lei Ding (incorporated by reference to Exhibit 3.6 to the company’s Annual Report on</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9"/>
          </w:tcPr>
          <w:p>
            <w:pPr>
              <w:spacing w:after="0" w:line="196" w:lineRule="exact"/>
              <w:rPr>
                <w:rFonts w:ascii="Arial" w:cs="Arial" w:eastAsia="Arial" w:hAnsi="Arial"/>
                <w:sz w:val="18"/>
                <w:szCs w:val="18"/>
                <w:color w:val="0000EE"/>
              </w:rPr>
            </w:pPr>
            <w:hyperlink r:id="rId189">
              <w:r>
                <w:rPr>
                  <w:rFonts w:ascii="Arial" w:cs="Arial" w:eastAsia="Arial" w:hAnsi="Arial"/>
                  <w:sz w:val="18"/>
                  <w:szCs w:val="18"/>
                  <w:color w:val="0000EE"/>
                </w:rPr>
                <w:t>Form 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36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4"/>
                <w:szCs w:val="24"/>
                <w:color w:val="auto"/>
              </w:rPr>
            </w:pPr>
          </w:p>
        </w:tc>
        <w:tc>
          <w:tcPr>
            <w:tcW w:w="8700" w:type="dxa"/>
            <w:vAlign w:val="bottom"/>
            <w:tcBorders>
              <w:bottom w:val="single" w:sz="8" w:color="0000EE"/>
            </w:tcBorders>
            <w:gridSpan w:val="16"/>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Shareholder Voting Right Trust Agreement dated November 20, 2017 between NetEase Youdao Information Technology</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9"/>
          </w:tcPr>
          <w:p>
            <w:pPr>
              <w:spacing w:after="0" w:line="196" w:lineRule="exact"/>
              <w:rPr>
                <w:rFonts w:ascii="Arial" w:cs="Arial" w:eastAsia="Arial" w:hAnsi="Arial"/>
                <w:sz w:val="18"/>
                <w:szCs w:val="18"/>
                <w:color w:val="0000EE"/>
                <w:w w:val="92"/>
              </w:rPr>
            </w:pPr>
            <w:hyperlink r:id="rId190">
              <w:r>
                <w:rPr>
                  <w:rFonts w:ascii="Arial" w:cs="Arial" w:eastAsia="Arial" w:hAnsi="Arial"/>
                  <w:sz w:val="18"/>
                  <w:szCs w:val="18"/>
                  <w:color w:val="0000EE"/>
                  <w:w w:val="92"/>
                </w:rPr>
                <w:t>(Beijing) Co., Ltd. and Feng Zhou (incorporated by reference to Exhibit 3.8 to the company’s Annual Report on Form 20-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F for the year ended December 31, 2017 filed with the SEC on April 20, 2018)</w:t>
              </w:r>
            </w:hyperlink>
          </w:p>
        </w:tc>
        <w:tc>
          <w:tcPr>
            <w:tcW w:w="3100" w:type="dxa"/>
            <w:vAlign w:val="bottom"/>
            <w:tcBorders>
              <w:top w:val="single" w:sz="8" w:color="0000EE"/>
            </w:tcBorders>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0" w:type="dxa"/>
            <w:vAlign w:val="bottom"/>
          </w:tcPr>
          <w:p>
            <w:pPr>
              <w:spacing w:after="0"/>
              <w:rPr>
                <w:sz w:val="14"/>
                <w:szCs w:val="14"/>
                <w:color w:val="auto"/>
              </w:rPr>
            </w:pPr>
          </w:p>
        </w:tc>
        <w:tc>
          <w:tcPr>
            <w:tcW w:w="7760" w:type="dxa"/>
            <w:vAlign w:val="bottom"/>
            <w:gridSpan w:val="5"/>
            <w:vMerge w:val="restart"/>
          </w:tcPr>
          <w:p>
            <w:pPr>
              <w:ind w:left="304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60" w:type="dxa"/>
            <w:vAlign w:val="bottom"/>
          </w:tcPr>
          <w:p>
            <w:pPr>
              <w:spacing w:after="0"/>
              <w:rPr>
                <w:sz w:val="14"/>
                <w:szCs w:val="14"/>
                <w:color w:val="auto"/>
              </w:rPr>
            </w:pPr>
          </w:p>
        </w:tc>
        <w:tc>
          <w:tcPr>
            <w:tcW w:w="77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8820" w:type="dxa"/>
            <w:vAlign w:val="bottom"/>
            <w:tcBorders>
              <w:top w:val="single" w:sz="8" w:color="auto"/>
            </w:tcBorders>
            <w:gridSpan w:val="6"/>
          </w:tcPr>
          <w:p>
            <w:pPr>
              <w:spacing w:after="0"/>
              <w:rPr>
                <w:rFonts w:ascii="Arial" w:cs="Arial" w:eastAsia="Arial" w:hAnsi="Arial"/>
                <w:sz w:val="18"/>
                <w:szCs w:val="18"/>
                <w:color w:val="0000EE"/>
                <w:w w:val="92"/>
              </w:rPr>
            </w:pPr>
            <w:hyperlink r:id="rId192">
              <w:r>
                <w:rPr>
                  <w:rFonts w:ascii="Arial" w:cs="Arial" w:eastAsia="Arial" w:hAnsi="Arial"/>
                  <w:sz w:val="18"/>
                  <w:szCs w:val="18"/>
                  <w:color w:val="0000EE"/>
                  <w:w w:val="92"/>
                </w:rPr>
                <w:t>2009 Restricted Share Unit Plan (incorporated by reference to Exhibit 10.1 to the company’s Registration Statement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Form S-8 (file no. 333-164249) filed with the SEC on January 8, 2010)</w:t>
              </w:r>
            </w:hyperlink>
          </w:p>
        </w:tc>
        <w:tc>
          <w:tcPr>
            <w:tcW w:w="3440" w:type="dxa"/>
            <w:vAlign w:val="bottom"/>
            <w:tcBorders>
              <w:top w:val="single" w:sz="8" w:color="0000EE"/>
            </w:tcBorders>
            <w:gridSpan w:val="2"/>
          </w:tcPr>
          <w:p>
            <w:pPr>
              <w:spacing w:after="0"/>
              <w:rPr>
                <w:sz w:val="17"/>
                <w:szCs w:val="17"/>
                <w:color w:val="auto"/>
              </w:rPr>
            </w:pPr>
          </w:p>
        </w:tc>
        <w:tc>
          <w:tcPr>
            <w:tcW w:w="2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8400" w:type="dxa"/>
            <w:vAlign w:val="bottom"/>
            <w:tcBorders>
              <w:bottom w:val="single" w:sz="8" w:color="0000EE"/>
            </w:tcBorders>
            <w:gridSpan w:val="3"/>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Form of Employment Agreement between NetEase.com, Inc. and its executive officers (incorporated by reference to</w:t>
              </w:r>
            </w:hyperlink>
          </w:p>
        </w:tc>
        <w:tc>
          <w:tcPr>
            <w:tcW w:w="4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6"/>
          </w:tcPr>
          <w:p>
            <w:pPr>
              <w:spacing w:after="0" w:line="196" w:lineRule="exact"/>
              <w:rPr>
                <w:rFonts w:ascii="Arial" w:cs="Arial" w:eastAsia="Arial" w:hAnsi="Arial"/>
                <w:sz w:val="18"/>
                <w:szCs w:val="18"/>
                <w:color w:val="0000EE"/>
                <w:w w:val="93"/>
              </w:rPr>
            </w:pPr>
            <w:hyperlink r:id="rId193">
              <w:r>
                <w:rPr>
                  <w:rFonts w:ascii="Arial" w:cs="Arial" w:eastAsia="Arial" w:hAnsi="Arial"/>
                  <w:sz w:val="18"/>
                  <w:szCs w:val="18"/>
                  <w:color w:val="0000EE"/>
                  <w:w w:val="93"/>
                </w:rPr>
                <w:t>Exhibit 4.3 to the company’s Annual Report on Form 20-F for the year ended December 31, 2009 filed with the SEC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June 29, 2010)</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7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0"/>
              </w:rPr>
              <w:t>Domain Name License Agreement dated February 3, 2000 between NetEase.com, Inc. (now known as NetEase, Inc.)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1"/>
              </w:rPr>
              <w:t>Guangzhou NetEase Computer System Co., Ltd. (incorporated by reference to Exhibit 10.7 to the company’s Registration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2"/>
              </w:rPr>
              <w:t>Copyright License Agreement dated February 3, 2000 between NetEase Information Technology (Beijing) Co., Ltd.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1"/>
              </w:rPr>
              <w:t>Guangzhou NetEase Computer System Co., Ltd. (incorporated by reference to Exhibit 10.8 to the company’s Registration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1"/>
              </w:rPr>
              <w:t>Trademark License Agreement dated February 3, 2000 between NetEase Information Technology (Beijing) Co., Ltd.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1"/>
              </w:rPr>
              <w:t>Guangzhou NetEase Computer System Co., Ltd. (incorporated by reference to Exhibit 10.9 to the company’s Registration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1"/>
              </w:rPr>
              <w:t>Supplemental Agreement (to Copyright License Agreement and Domain Name License Agreement) dated April 27, 2000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6"/>
              </w:rPr>
              <w:t>between NetEase Information Technology (Beijing) Co., Ltd. and Guangzhou NetEase Computer System Co., Ltd.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(incorporated by reference to Exhibit 10.10 to Amendment No.1 to the company’s Registration Statement on Form F-1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(file no. 333-11724) filed with the SEC on May 15,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9"/>
              </w:rPr>
              <w:t>Notice of Renewal dated April 2, 2001 relating to the Copyright License Agreement and the Trademark License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4"/>
              </w:rPr>
              <w:t>Agreement each dated February 3, 2000 and made between NetEase Information Technology (Beijing) Co., Ltd.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4"/>
              </w:rPr>
              <w:t>Guangzhou NetEase Computer System Co., Ltd. (incorporated by reference to Exhibit 4.14 to the company’s Annual</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Report on Form 20-F for the year ended December 31, 2000 filed with the SEC on August 31, 2001)</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Online Advertising Agreement dated February 15, 2000 between Guangzhou NetEase Computer System Co., Ltd. and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6"/>
              </w:rPr>
              <w:t>Beijing Guangyitong Advertising Co., Ltd. (incorporated by reference to Exhibit 10.15 to the company’s Registration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Statement on Form F-1 (file no. 333-11724) filed with the SEC on March 27,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2"/>
              </w:rPr>
              <w:t>Notice of Renewal dated April 2, 2001 relating to the Online Advertising Agreement dated February 15, 2000 and made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between Guangzhou NetEase Computer System Co., Ltd. and Beijing Guangyitong Advertising Co., Ltd. (incorporated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2"/>
              </w:rPr>
              <w:t>by reference to Exhibit 4.21 to the company’s Annual Report on Form 20-F for the year ended December 31, 2000 filed</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with the SEC on August 31, 2001)</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Supplemental Agreement dated May 15, 2000 (amending the Domain Name License Agreement) between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NetEase.com, Inc. and Guangzhou NetEase Computer System Co., Ltd. (incorporated by reference to Exhibit 10.37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6"/>
              </w:rPr>
              <w:t>Amendment No. 1 to the company’s Registration Statement on Form F-1 (file no. 333-11724) filed with the SEC on</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May 15,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Agreement dated May 12, 2000 between NetEase Information Technology (Beijing) Co., Ltd. and Guangzhou NetEase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Computer System Co., Ltd. (incorporated by reference to Exhibit 10.41 to Amendment No. 1 to the company’s</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Registration Statement on Form F-1 (file no. 333-11724) filed with the SEC on May 15,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4"/>
                <w:szCs w:val="24"/>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4"/>
              </w:rPr>
              <w:t>Supplemental Agreement dated May 12, 2000 (supplementing the Online Advertising Agreement dated February 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9"/>
              </w:rPr>
              <w:t>2000) between Guangzhou NetEase Computer System Co., Ltd. and Beijing Guangyitong Advertising Co., Ltd.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w w:val="93"/>
              </w:rPr>
              <w:t>(incorporated by reference to Exhibit 10.47 to Amendment No. 1 to the company’s Registration Statement on Form F-1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6"/>
          </w:tcPr>
          <w:p>
            <w:pPr>
              <w:spacing w:after="0"/>
              <w:rPr>
                <w:sz w:val="20"/>
                <w:szCs w:val="20"/>
                <w:color w:val="auto"/>
              </w:rPr>
            </w:pPr>
            <w:r>
              <w:rPr>
                <w:rFonts w:ascii="Arial" w:cs="Arial" w:eastAsia="Arial" w:hAnsi="Arial"/>
                <w:sz w:val="18"/>
                <w:szCs w:val="18"/>
                <w:color w:val="auto"/>
              </w:rPr>
              <w:t>(file no. 333-11724) filed with the SEC on May 15, 2000)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gridSpan w:val="18"/>
            <w:vMerge w:val="restart"/>
          </w:tcPr>
          <w:p>
            <w:pPr>
              <w:ind w:left="176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8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4"/>
                <w:szCs w:val="24"/>
                <w:color w:val="auto"/>
              </w:rPr>
            </w:pPr>
          </w:p>
        </w:tc>
        <w:tc>
          <w:tcPr>
            <w:tcW w:w="882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w w:val="92"/>
              </w:rPr>
              <w:t>Supplemental Agreement dated May 15, 2000 (supplementing the Domain Name License Agreement dated February 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3"/>
              </w:rPr>
              <w:t>2000) between NetEase.com, Inc. and Guangzhou NetEase Computer System Co., Ltd. (incorporated by reference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3"/>
              </w:rPr>
              <w:t>Exhibit 10.48 to Amendment No. 1 to the company’s Registration Statement on Form F-1 (file no. 333-11724) filed with</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rPr>
              <w:t>the SEC on May 15,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6"/>
              </w:rPr>
              <w:t>Letter of Agreement dated June 6, 2000 among William Lei Ding, Bo Ding and NetEase.com, Inc. (incorporated by</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6"/>
              </w:rPr>
              <w:t>reference to Exhibit 10.49 to Amendment No. 2 to the company’s Registration Statement on Form F-1 (file no. 333-</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rPr>
              <w:t>11724) filed with the SEC on June 15, 2000)</w:t>
            </w:r>
          </w:p>
        </w:tc>
        <w:tc>
          <w:tcPr>
            <w:tcW w:w="0" w:type="dxa"/>
            <w:vAlign w:val="bottom"/>
          </w:tcPr>
          <w:p>
            <w:pPr>
              <w:spacing w:after="0"/>
              <w:rPr>
                <w:sz w:val="1"/>
                <w:szCs w:val="1"/>
                <w:color w:val="auto"/>
              </w:rPr>
            </w:pP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4"/>
                <w:szCs w:val="24"/>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4"/>
              </w:rPr>
              <w:t>Supplemental Agreement dated June 15, 2000 (supplementing the Online Advertising Agreement dated February 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9"/>
              </w:rPr>
              <w:t>2000), between Beijing Guangyitong Advertising Co., Ltd. and Guangzhou NetEase Computer System Co., Ltd.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w w:val="93"/>
              </w:rPr>
              <w:t>(incorporated by reference to Exhibit 10.50 to Amendment No. 2 to the company’s Registration Statement on Form F-1</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0"/>
          </w:tcPr>
          <w:p>
            <w:pPr>
              <w:spacing w:after="0"/>
              <w:rPr>
                <w:sz w:val="20"/>
                <w:szCs w:val="20"/>
                <w:color w:val="auto"/>
              </w:rPr>
            </w:pPr>
            <w:r>
              <w:rPr>
                <w:rFonts w:ascii="Arial" w:cs="Arial" w:eastAsia="Arial" w:hAnsi="Arial"/>
                <w:sz w:val="18"/>
                <w:szCs w:val="18"/>
                <w:color w:val="auto"/>
              </w:rPr>
              <w:t>(file no. 333-11724) filed with the SEC on June 15, 2000)</w:t>
            </w:r>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4"/>
                <w:szCs w:val="24"/>
                <w:color w:val="auto"/>
              </w:rPr>
            </w:pPr>
          </w:p>
        </w:tc>
        <w:tc>
          <w:tcPr>
            <w:tcW w:w="8820" w:type="dxa"/>
            <w:vAlign w:val="bottom"/>
            <w:gridSpan w:val="20"/>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Supplemental Letter of Agreement dated May 17, 2004 (supplementing the Letter Agreement dated June 6, 2000 by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3"/>
              </w:rPr>
            </w:pPr>
            <w:hyperlink r:id="rId195">
              <w:r>
                <w:rPr>
                  <w:rFonts w:ascii="Arial" w:cs="Arial" w:eastAsia="Arial" w:hAnsi="Arial"/>
                  <w:sz w:val="18"/>
                  <w:szCs w:val="18"/>
                  <w:color w:val="0000EE"/>
                  <w:w w:val="93"/>
                </w:rPr>
                <w:t>among William Lei Ding, Bo Ding and NetEase.com, Inc.) by and among William Lei Ding, Bo Ding, Jun Liang and</w:t>
              </w:r>
            </w:hyperlink>
          </w:p>
        </w:tc>
        <w:tc>
          <w:tcPr>
            <w:tcW w:w="200" w:type="dxa"/>
            <w:vAlign w:val="bottom"/>
            <w:tcBorders>
              <w:top w:val="single" w:sz="8" w:color="0000EE"/>
            </w:tcBorders>
            <w:gridSpan w:val="2"/>
          </w:tcPr>
          <w:p>
            <w:pPr>
              <w:spacing w:after="0"/>
              <w:rPr>
                <w:sz w:val="17"/>
                <w:szCs w:val="17"/>
                <w:color w:val="auto"/>
              </w:rPr>
            </w:pPr>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NetEase.com, Inc. (incorporated by reference to Exhibit 4.39 to the company’s Annual Report on Form 20-F for the year</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0"/>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ended December 31, 2004 filed with the SEC on June 27, 2005)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Second Supplemental Letter of Agreement dated July 15, 2004 (supplementing the Letter Agreement dated June 6, 2000</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by and among William Lei Ding, Bo Ding and NetEase.com, Inc., as supplemented by the Supplemental Letter of</w:t>
              </w:r>
            </w:hyperlink>
          </w:p>
        </w:tc>
        <w:tc>
          <w:tcPr>
            <w:tcW w:w="6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96">
              <w:r>
                <w:rPr>
                  <w:rFonts w:ascii="Arial" w:cs="Arial" w:eastAsia="Arial" w:hAnsi="Arial"/>
                  <w:sz w:val="18"/>
                  <w:szCs w:val="18"/>
                  <w:color w:val="0000EE"/>
                  <w:w w:val="91"/>
                </w:rPr>
                <w:t>Agreement dated May 17, 2004 by and among William Lei Ding, Bo Ding, Jun Liang and NetEase.com, Inc.) by and</w:t>
              </w:r>
            </w:hyperlink>
          </w:p>
        </w:tc>
        <w:tc>
          <w:tcPr>
            <w:tcW w:w="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20" w:type="dxa"/>
            <w:vAlign w:val="bottom"/>
            <w:gridSpan w:val="20"/>
          </w:tcPr>
          <w:p>
            <w:pPr>
              <w:spacing w:after="0"/>
              <w:rPr>
                <w:rFonts w:ascii="Arial" w:cs="Arial" w:eastAsia="Arial" w:hAnsi="Arial"/>
                <w:sz w:val="18"/>
                <w:szCs w:val="18"/>
                <w:u w:val="single" w:color="auto"/>
                <w:color w:val="0000EE"/>
                <w:w w:val="95"/>
              </w:rPr>
            </w:pPr>
            <w:hyperlink r:id="rId196">
              <w:r>
                <w:rPr>
                  <w:rFonts w:ascii="Arial" w:cs="Arial" w:eastAsia="Arial" w:hAnsi="Arial"/>
                  <w:sz w:val="18"/>
                  <w:szCs w:val="18"/>
                  <w:u w:val="single" w:color="auto"/>
                  <w:color w:val="0000EE"/>
                  <w:w w:val="95"/>
                </w:rPr>
                <w:t>among William Lei Ding, Bo Ding, Jun Liang and NetEase.com, Inc. (incorporated by reference to Exhibit 4.40 to the</w:t>
              </w:r>
            </w:hyperlink>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0"/>
          </w:tcPr>
          <w:p>
            <w:pPr>
              <w:spacing w:after="0"/>
              <w:rPr>
                <w:rFonts w:ascii="Arial" w:cs="Arial" w:eastAsia="Arial" w:hAnsi="Arial"/>
                <w:sz w:val="18"/>
                <w:szCs w:val="18"/>
                <w:u w:val="single" w:color="auto"/>
                <w:color w:val="0000EE"/>
                <w:w w:val="94"/>
              </w:rPr>
            </w:pPr>
            <w:hyperlink r:id="rId196">
              <w:r>
                <w:rPr>
                  <w:rFonts w:ascii="Arial" w:cs="Arial" w:eastAsia="Arial" w:hAnsi="Arial"/>
                  <w:sz w:val="18"/>
                  <w:szCs w:val="18"/>
                  <w:u w:val="single" w:color="auto"/>
                  <w:color w:val="0000EE"/>
                  <w:w w:val="94"/>
                </w:rPr>
                <w:t>company’s Annual Report on Form 20-F for the year ended December 31, 2004 filed with the SEC on June 27, 2005)</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4.18</w:t>
            </w:r>
          </w:p>
        </w:tc>
        <w:tc>
          <w:tcPr>
            <w:tcW w:w="180" w:type="dxa"/>
            <w:vAlign w:val="bottom"/>
          </w:tcPr>
          <w:p>
            <w:pPr>
              <w:spacing w:after="0"/>
              <w:rPr>
                <w:sz w:val="24"/>
                <w:szCs w:val="24"/>
                <w:color w:val="auto"/>
              </w:rPr>
            </w:pPr>
          </w:p>
        </w:tc>
        <w:tc>
          <w:tcPr>
            <w:tcW w:w="8780" w:type="dxa"/>
            <w:vAlign w:val="bottom"/>
            <w:tcBorders>
              <w:bottom w:val="single" w:sz="8" w:color="0000EE"/>
            </w:tcBorders>
            <w:gridSpan w:val="18"/>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No. 3 Supplemental Letter of Agreement dated July 20, 2004 (supplementing the Letter Agreement dated June 6, 2000 by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and among William Lei Ding, Bo Ding and NetEase.com, Inc., as supplemented by the Supplemental Letter of Agreement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0"/>
          </w:tcPr>
          <w:p>
            <w:pPr>
              <w:spacing w:after="0" w:line="19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dated May 17, 2004 and the Second Supplemental Letter of Agreement dated July 15, 2004, each by and among William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6"/>
          </w:tcPr>
          <w:p>
            <w:pPr>
              <w:spacing w:after="0" w:line="196" w:lineRule="exact"/>
              <w:rPr>
                <w:rFonts w:ascii="Arial" w:cs="Arial" w:eastAsia="Arial" w:hAnsi="Arial"/>
                <w:sz w:val="18"/>
                <w:szCs w:val="18"/>
                <w:color w:val="0000EE"/>
                <w:w w:val="99"/>
              </w:rPr>
            </w:pPr>
            <w:hyperlink r:id="rId197">
              <w:r>
                <w:rPr>
                  <w:rFonts w:ascii="Arial" w:cs="Arial" w:eastAsia="Arial" w:hAnsi="Arial"/>
                  <w:sz w:val="18"/>
                  <w:szCs w:val="18"/>
                  <w:color w:val="0000EE"/>
                  <w:w w:val="99"/>
                </w:rPr>
                <w:t>Lei Ding, Bo Ding, Jun Liang and NetEase.com, Inc.) by and among William Lei Ding, Bo Ding, Jun Liang and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20" w:type="dxa"/>
            <w:vAlign w:val="bottom"/>
            <w:gridSpan w:val="20"/>
          </w:tcPr>
          <w:p>
            <w:pPr>
              <w:spacing w:after="0"/>
              <w:rPr>
                <w:rFonts w:ascii="Arial" w:cs="Arial" w:eastAsia="Arial" w:hAnsi="Arial"/>
                <w:sz w:val="18"/>
                <w:szCs w:val="18"/>
                <w:u w:val="single" w:color="auto"/>
                <w:color w:val="0000EE"/>
                <w:w w:val="92"/>
              </w:rPr>
            </w:pPr>
            <w:hyperlink r:id="rId197">
              <w:r>
                <w:rPr>
                  <w:rFonts w:ascii="Arial" w:cs="Arial" w:eastAsia="Arial" w:hAnsi="Arial"/>
                  <w:sz w:val="18"/>
                  <w:szCs w:val="18"/>
                  <w:u w:val="single" w:color="auto"/>
                  <w:color w:val="0000EE"/>
                  <w:w w:val="92"/>
                </w:rPr>
                <w:t>NetEase.com, Inc. (incorporated by reference to Exhibit 4.41 to the company’s Annual Report on Form 20-F for the year</w:t>
              </w:r>
            </w:hyperlink>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0"/>
          </w:tcPr>
          <w:p>
            <w:pPr>
              <w:spacing w:after="0"/>
              <w:rPr>
                <w:rFonts w:ascii="Arial" w:cs="Arial" w:eastAsia="Arial" w:hAnsi="Arial"/>
                <w:sz w:val="18"/>
                <w:szCs w:val="18"/>
                <w:u w:val="single" w:color="auto"/>
                <w:color w:val="0000EE"/>
              </w:rPr>
            </w:pPr>
            <w:hyperlink r:id="rId197">
              <w:r>
                <w:rPr>
                  <w:rFonts w:ascii="Arial" w:cs="Arial" w:eastAsia="Arial" w:hAnsi="Arial"/>
                  <w:sz w:val="18"/>
                  <w:szCs w:val="18"/>
                  <w:u w:val="single" w:color="auto"/>
                  <w:color w:val="0000EE"/>
                </w:rPr>
                <w:t>ended December 31, 2004 filed with the SEC on June 27, 2005)</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4"/>
                <w:szCs w:val="24"/>
                <w:color w:val="auto"/>
              </w:rPr>
            </w:pPr>
          </w:p>
        </w:tc>
        <w:tc>
          <w:tcPr>
            <w:tcW w:w="8760" w:type="dxa"/>
            <w:vAlign w:val="bottom"/>
            <w:tcBorders>
              <w:bottom w:val="single" w:sz="8" w:color="0000EE"/>
            </w:tcBorders>
            <w:gridSpan w:val="17"/>
          </w:tcPr>
          <w:p>
            <w:pPr>
              <w:spacing w:after="0"/>
              <w:rPr>
                <w:rFonts w:ascii="Arial" w:cs="Arial" w:eastAsia="Arial" w:hAnsi="Arial"/>
                <w:sz w:val="18"/>
                <w:szCs w:val="18"/>
                <w:color w:val="0000EE"/>
                <w:w w:val="91"/>
              </w:rPr>
            </w:pPr>
            <w:hyperlink r:id="rId198">
              <w:r>
                <w:rPr>
                  <w:rFonts w:ascii="Arial" w:cs="Arial" w:eastAsia="Arial" w:hAnsi="Arial"/>
                  <w:sz w:val="18"/>
                  <w:szCs w:val="18"/>
                  <w:color w:val="0000EE"/>
                  <w:w w:val="91"/>
                </w:rPr>
                <w:t>Form of Cooperative Agreement (incorporated by reference to Exhibit 4.25 to the company’s Annual Report on Form 20-</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F for the year ended December 31, 2012 filed with the SEC on April 22, 2013)</w:t>
              </w:r>
            </w:hyperlink>
          </w:p>
        </w:tc>
        <w:tc>
          <w:tcPr>
            <w:tcW w:w="3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24"/>
                <w:szCs w:val="24"/>
                <w:color w:val="auto"/>
              </w:rPr>
            </w:pPr>
          </w:p>
        </w:tc>
        <w:tc>
          <w:tcPr>
            <w:tcW w:w="8820" w:type="dxa"/>
            <w:vAlign w:val="bottom"/>
            <w:gridSpan w:val="20"/>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Loan Agreement dated March 23, 2009 between NetEase (Hangzhou) Network Co., Ltd. and Zhipeng Hu (incorporated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0"/>
          </w:tcPr>
          <w:p>
            <w:pPr>
              <w:spacing w:after="0" w:line="196" w:lineRule="exact"/>
              <w:rPr>
                <w:rFonts w:ascii="Arial" w:cs="Arial" w:eastAsia="Arial" w:hAnsi="Arial"/>
                <w:sz w:val="18"/>
                <w:szCs w:val="18"/>
                <w:color w:val="0000EE"/>
                <w:w w:val="92"/>
              </w:rPr>
            </w:pPr>
            <w:hyperlink r:id="rId199">
              <w:r>
                <w:rPr>
                  <w:rFonts w:ascii="Arial" w:cs="Arial" w:eastAsia="Arial" w:hAnsi="Arial"/>
                  <w:sz w:val="18"/>
                  <w:szCs w:val="18"/>
                  <w:color w:val="0000EE"/>
                  <w:w w:val="92"/>
                </w:rPr>
                <w:t>by reference to Exhibit 4.25 to the company’s Annual Report on Form 20-F for the year ended December 31, 2014 filed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with the SEC on April 24, 2015)</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24"/>
                <w:szCs w:val="24"/>
                <w:color w:val="auto"/>
              </w:rPr>
            </w:pPr>
          </w:p>
        </w:tc>
        <w:tc>
          <w:tcPr>
            <w:tcW w:w="8800" w:type="dxa"/>
            <w:vAlign w:val="bottom"/>
            <w:tcBorders>
              <w:bottom w:val="single" w:sz="8" w:color="0000EE"/>
            </w:tcBorders>
            <w:gridSpan w:val="19"/>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Loan Agreement dated March 23, 2009 between NetEase (Hangzhou) Network Co., Ltd. and Gang Chen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0"/>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reference to Exhibit 4.26 to the company’s Annual Report on Form 20-F for the year ended December 31, 2014 filed with</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the SEC on April 24, 2015)</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4.22</w:t>
            </w:r>
          </w:p>
        </w:tc>
        <w:tc>
          <w:tcPr>
            <w:tcW w:w="180" w:type="dxa"/>
            <w:vAlign w:val="bottom"/>
          </w:tcPr>
          <w:p>
            <w:pPr>
              <w:spacing w:after="0"/>
              <w:rPr>
                <w:sz w:val="24"/>
                <w:szCs w:val="24"/>
                <w:color w:val="auto"/>
              </w:rPr>
            </w:pPr>
          </w:p>
        </w:tc>
        <w:tc>
          <w:tcPr>
            <w:tcW w:w="8820" w:type="dxa"/>
            <w:vAlign w:val="bottom"/>
            <w:gridSpan w:val="20"/>
          </w:tcPr>
          <w:p>
            <w:pPr>
              <w:spacing w:after="0"/>
              <w:rPr>
                <w:rFonts w:ascii="Arial" w:cs="Arial" w:eastAsia="Arial" w:hAnsi="Arial"/>
                <w:sz w:val="18"/>
                <w:szCs w:val="18"/>
                <w:color w:val="0000EE"/>
                <w:w w:val="98"/>
              </w:rPr>
            </w:pPr>
            <w:hyperlink r:id="rId201">
              <w:r>
                <w:rPr>
                  <w:rFonts w:ascii="Arial" w:cs="Arial" w:eastAsia="Arial" w:hAnsi="Arial"/>
                  <w:sz w:val="18"/>
                  <w:szCs w:val="18"/>
                  <w:color w:val="0000EE"/>
                  <w:w w:val="98"/>
                </w:rPr>
                <w:t>Equity Pledge Agreement dated April 15, 2009 between NetEase (Hangzhou) Network Co., Ltd. and Zhipeng Hu</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6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r:id="rId201">
              <w:r>
                <w:rPr>
                  <w:rFonts w:ascii="Arial" w:cs="Arial" w:eastAsia="Arial" w:hAnsi="Arial"/>
                  <w:sz w:val="18"/>
                  <w:szCs w:val="18"/>
                  <w:color w:val="0000EE"/>
                  <w:w w:val="95"/>
                </w:rPr>
                <w:t>(incorporated by reference to Exhibit 4.27 to the company’s Annual Report on Form 20-F for the year ended</w:t>
              </w:r>
            </w:hyperlink>
          </w:p>
        </w:tc>
        <w:tc>
          <w:tcPr>
            <w:tcW w:w="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December 31, 2014 filed with the SEC on April 24, 2015)</w:t>
              </w:r>
            </w:hyperlink>
          </w:p>
        </w:tc>
        <w:tc>
          <w:tcPr>
            <w:tcW w:w="10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7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24"/>
                <w:szCs w:val="24"/>
                <w:color w:val="auto"/>
              </w:rPr>
            </w:pPr>
          </w:p>
        </w:tc>
        <w:tc>
          <w:tcPr>
            <w:tcW w:w="8120" w:type="dxa"/>
            <w:vAlign w:val="bottom"/>
            <w:tcBorders>
              <w:bottom w:val="single" w:sz="8" w:color="0000EE"/>
            </w:tcBorders>
            <w:gridSpan w:val="8"/>
          </w:tcPr>
          <w:p>
            <w:pPr>
              <w:spacing w:after="0"/>
              <w:rPr>
                <w:rFonts w:ascii="Arial" w:cs="Arial" w:eastAsia="Arial" w:hAnsi="Arial"/>
                <w:sz w:val="18"/>
                <w:szCs w:val="18"/>
                <w:color w:val="0000EE"/>
                <w:w w:val="90"/>
              </w:rPr>
            </w:pPr>
            <w:hyperlink r:id="rId202">
              <w:r>
                <w:rPr>
                  <w:rFonts w:ascii="Arial" w:cs="Arial" w:eastAsia="Arial" w:hAnsi="Arial"/>
                  <w:sz w:val="18"/>
                  <w:szCs w:val="18"/>
                  <w:color w:val="0000EE"/>
                  <w:w w:val="90"/>
                </w:rPr>
                <w:t>Equity Pledge Agreement dated April 15, 2009 between NetEase (Hangzhou) Network Co., Ltd. and Gang Chen</w:t>
              </w:r>
            </w:hyperlink>
          </w:p>
        </w:tc>
        <w:tc>
          <w:tcPr>
            <w:tcW w:w="7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0"/>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(incorporated by reference to Exhibit 4.28 to the company’s Annual Report on Form 20-F for the year ended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02">
              <w:r>
                <w:rPr>
                  <w:rFonts w:ascii="Arial" w:cs="Arial" w:eastAsia="Arial" w:hAnsi="Arial"/>
                  <w:sz w:val="18"/>
                  <w:szCs w:val="18"/>
                  <w:color w:val="0000EE"/>
                </w:rPr>
                <w:t>December 31, 2014 filed with the SEC on April 24, 2015)</w:t>
              </w:r>
            </w:hyperlink>
          </w:p>
        </w:tc>
        <w:tc>
          <w:tcPr>
            <w:tcW w:w="10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80" w:type="dxa"/>
            <w:vAlign w:val="bottom"/>
            <w:gridSpan w:val="22"/>
            <w:vMerge w:val="restart"/>
          </w:tcPr>
          <w:p>
            <w:pPr>
              <w:ind w:left="176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8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4.24</w:t>
            </w:r>
          </w:p>
        </w:tc>
        <w:tc>
          <w:tcPr>
            <w:tcW w:w="180" w:type="dxa"/>
            <w:vAlign w:val="bottom"/>
          </w:tcPr>
          <w:p>
            <w:pPr>
              <w:spacing w:after="0"/>
              <w:rPr>
                <w:sz w:val="15"/>
                <w:szCs w:val="15"/>
                <w:color w:val="auto"/>
              </w:rPr>
            </w:pPr>
          </w:p>
        </w:tc>
        <w:tc>
          <w:tcPr>
            <w:tcW w:w="8680" w:type="dxa"/>
            <w:vAlign w:val="bottom"/>
            <w:tcBorders>
              <w:top w:val="single" w:sz="8" w:color="auto"/>
              <w:bottom w:val="single" w:sz="8" w:color="0000EE"/>
            </w:tcBorders>
            <w:gridSpan w:val="18"/>
          </w:tcPr>
          <w:p>
            <w:pPr>
              <w:spacing w:after="0" w:line="182" w:lineRule="exact"/>
              <w:rPr>
                <w:rFonts w:ascii="Arial" w:cs="Arial" w:eastAsia="Arial" w:hAnsi="Arial"/>
                <w:sz w:val="18"/>
                <w:szCs w:val="18"/>
                <w:color w:val="0000EE"/>
                <w:w w:val="90"/>
              </w:rPr>
            </w:pPr>
            <w:hyperlink r:id="rId204">
              <w:r>
                <w:rPr>
                  <w:rFonts w:ascii="Arial" w:cs="Arial" w:eastAsia="Arial" w:hAnsi="Arial"/>
                  <w:sz w:val="18"/>
                  <w:szCs w:val="18"/>
                  <w:color w:val="0000EE"/>
                  <w:w w:val="90"/>
                </w:rPr>
                <w:t>Exclusive Purchase Option Agreement dated April 15, 2009 among NetEase (Hangzhou) Network Co., Ltd., Gang Chen</w:t>
              </w:r>
            </w:hyperlink>
          </w:p>
        </w:tc>
        <w:tc>
          <w:tcPr>
            <w:tcW w:w="140" w:type="dxa"/>
            <w:vAlign w:val="bottom"/>
            <w:tcBorders>
              <w:top w:val="single" w:sz="8" w:color="auto"/>
            </w:tcBorders>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4">
              <w:r>
                <w:rPr>
                  <w:rFonts w:ascii="Arial" w:cs="Arial" w:eastAsia="Arial" w:hAnsi="Arial"/>
                  <w:sz w:val="18"/>
                  <w:szCs w:val="18"/>
                  <w:color w:val="0000EE"/>
                  <w:w w:val="91"/>
                </w:rPr>
                <w:t>and Hangzhou NetEase Leihuo Technology Co., Ltd (incorporated by reference to Exhibit 4.29 to the company’s Annual</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rPr>
            </w:pPr>
            <w:hyperlink r:id="rId204">
              <w:r>
                <w:rPr>
                  <w:rFonts w:ascii="Arial" w:cs="Arial" w:eastAsia="Arial" w:hAnsi="Arial"/>
                  <w:sz w:val="18"/>
                  <w:szCs w:val="18"/>
                  <w:color w:val="0000EE"/>
                </w:rPr>
                <w:t>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24"/>
                <w:szCs w:val="24"/>
                <w:color w:val="auto"/>
              </w:rPr>
            </w:pPr>
          </w:p>
        </w:tc>
        <w:tc>
          <w:tcPr>
            <w:tcW w:w="8740" w:type="dxa"/>
            <w:vAlign w:val="bottom"/>
            <w:tcBorders>
              <w:bottom w:val="single" w:sz="8" w:color="0000EE"/>
            </w:tcBorders>
            <w:gridSpan w:val="21"/>
          </w:tcPr>
          <w:p>
            <w:pPr>
              <w:spacing w:after="0"/>
              <w:rPr>
                <w:rFonts w:ascii="Arial" w:cs="Arial" w:eastAsia="Arial" w:hAnsi="Arial"/>
                <w:sz w:val="18"/>
                <w:szCs w:val="18"/>
                <w:color w:val="0000EE"/>
                <w:w w:val="91"/>
              </w:rPr>
            </w:pPr>
            <w:hyperlink r:id="rId205">
              <w:r>
                <w:rPr>
                  <w:rFonts w:ascii="Arial" w:cs="Arial" w:eastAsia="Arial" w:hAnsi="Arial"/>
                  <w:sz w:val="18"/>
                  <w:szCs w:val="18"/>
                  <w:color w:val="0000EE"/>
                  <w:w w:val="91"/>
                </w:rPr>
                <w:t>Exclusive Purchase Option Agreement dated April 15, 2009 among NetEase (Hangzhou) Network Co., Ltd., Zhipeng Hu</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5">
              <w:r>
                <w:rPr>
                  <w:rFonts w:ascii="Arial" w:cs="Arial" w:eastAsia="Arial" w:hAnsi="Arial"/>
                  <w:sz w:val="18"/>
                  <w:szCs w:val="18"/>
                  <w:color w:val="0000EE"/>
                  <w:w w:val="91"/>
                </w:rPr>
                <w:t>and Hangzhou NetEase Leihuo Technology Co., Ltd (incorporated by reference to Exhibit 4.30 to the company’s Annual</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rPr>
            </w:pPr>
            <w:hyperlink r:id="rId205">
              <w:r>
                <w:rPr>
                  <w:rFonts w:ascii="Arial" w:cs="Arial" w:eastAsia="Arial" w:hAnsi="Arial"/>
                  <w:sz w:val="18"/>
                  <w:szCs w:val="18"/>
                  <w:color w:val="0000EE"/>
                </w:rPr>
                <w:t>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4.26</w:t>
            </w:r>
          </w:p>
        </w:tc>
        <w:tc>
          <w:tcPr>
            <w:tcW w:w="180" w:type="dxa"/>
            <w:vAlign w:val="bottom"/>
          </w:tcPr>
          <w:p>
            <w:pPr>
              <w:spacing w:after="0"/>
              <w:rPr>
                <w:sz w:val="24"/>
                <w:szCs w:val="24"/>
                <w:color w:val="auto"/>
              </w:rPr>
            </w:pPr>
          </w:p>
        </w:tc>
        <w:tc>
          <w:tcPr>
            <w:tcW w:w="8720" w:type="dxa"/>
            <w:vAlign w:val="bottom"/>
            <w:tcBorders>
              <w:bottom w:val="single" w:sz="8" w:color="0000EE"/>
            </w:tcBorders>
            <w:gridSpan w:val="20"/>
          </w:tcPr>
          <w:p>
            <w:pPr>
              <w:spacing w:after="0"/>
              <w:rPr>
                <w:rFonts w:ascii="Arial" w:cs="Arial" w:eastAsia="Arial" w:hAnsi="Arial"/>
                <w:sz w:val="18"/>
                <w:szCs w:val="18"/>
                <w:color w:val="0000EE"/>
                <w:w w:val="91"/>
              </w:rPr>
            </w:pPr>
            <w:hyperlink r:id="rId206">
              <w:r>
                <w:rPr>
                  <w:rFonts w:ascii="Arial" w:cs="Arial" w:eastAsia="Arial" w:hAnsi="Arial"/>
                  <w:sz w:val="18"/>
                  <w:szCs w:val="18"/>
                  <w:color w:val="0000EE"/>
                  <w:w w:val="91"/>
                </w:rPr>
                <w:t>Operating Agreement dated April 15, 2009 among NetEase (Hangzhou) Network Co., Ltd., Zhipeng Hu, Gang Chen and</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6">
              <w:r>
                <w:rPr>
                  <w:rFonts w:ascii="Arial" w:cs="Arial" w:eastAsia="Arial" w:hAnsi="Arial"/>
                  <w:sz w:val="18"/>
                  <w:szCs w:val="18"/>
                  <w:color w:val="0000EE"/>
                  <w:w w:val="91"/>
                </w:rPr>
                <w:t>Hangzhou NetEase Leihuo Technology Co., Ltd (incorporated by reference to Exhibit 4.31 to the company’s Annual</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rPr>
            </w:pPr>
            <w:hyperlink r:id="rId206">
              <w:r>
                <w:rPr>
                  <w:rFonts w:ascii="Arial" w:cs="Arial" w:eastAsia="Arial" w:hAnsi="Arial"/>
                  <w:sz w:val="18"/>
                  <w:szCs w:val="18"/>
                  <w:color w:val="0000EE"/>
                </w:rPr>
                <w:t>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4.27</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1"/>
              </w:rPr>
            </w:pPr>
            <w:hyperlink r:id="rId207">
              <w:r>
                <w:rPr>
                  <w:rFonts w:ascii="Arial" w:cs="Arial" w:eastAsia="Arial" w:hAnsi="Arial"/>
                  <w:sz w:val="18"/>
                  <w:szCs w:val="18"/>
                  <w:color w:val="0000EE"/>
                  <w:w w:val="91"/>
                </w:rPr>
                <w:t>Cooperation Agreement dated January 1, 2010 between NetEase (Hangzhou) Network Co., Ltd. and Hangzhou NetEase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Leihuo Technology Co., Ltd (incorporated by reference to Exhibit 4.32 to the company’s Annual Report on Form 20-F for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the year ended December 31, 2014 filed with the SEC on April 24, 2015)</w:t>
              </w:r>
            </w:hyperlink>
          </w:p>
        </w:tc>
        <w:tc>
          <w:tcPr>
            <w:tcW w:w="3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4.28</w:t>
            </w:r>
          </w:p>
        </w:tc>
        <w:tc>
          <w:tcPr>
            <w:tcW w:w="180" w:type="dxa"/>
            <w:vAlign w:val="bottom"/>
          </w:tcPr>
          <w:p>
            <w:pPr>
              <w:spacing w:after="0"/>
              <w:rPr>
                <w:sz w:val="24"/>
                <w:szCs w:val="24"/>
                <w:color w:val="auto"/>
              </w:rPr>
            </w:pPr>
          </w:p>
        </w:tc>
        <w:tc>
          <w:tcPr>
            <w:tcW w:w="8780" w:type="dxa"/>
            <w:vAlign w:val="bottom"/>
            <w:tcBorders>
              <w:bottom w:val="single" w:sz="8" w:color="0000EE"/>
            </w:tcBorders>
            <w:gridSpan w:val="22"/>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Amendment and Novation of Operating Agreement dated May 1, 2014 among NetEase Information Technology (Beijing)</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208">
              <w:r>
                <w:rPr>
                  <w:rFonts w:ascii="Arial" w:cs="Arial" w:eastAsia="Arial" w:hAnsi="Arial"/>
                  <w:sz w:val="18"/>
                  <w:szCs w:val="18"/>
                  <w:color w:val="0000EE"/>
                  <w:w w:val="92"/>
                </w:rPr>
                <w:t>Co., Ltd., Beijing Guangyitong Advertising Co., Ltd., Bo Ding and William Lei Ding (incorporated by reference to</w:t>
              </w:r>
            </w:hyperlink>
          </w:p>
        </w:tc>
        <w:tc>
          <w:tcPr>
            <w:tcW w:w="5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08">
              <w:r>
                <w:rPr>
                  <w:rFonts w:ascii="Arial" w:cs="Arial" w:eastAsia="Arial" w:hAnsi="Arial"/>
                  <w:sz w:val="18"/>
                  <w:szCs w:val="18"/>
                  <w:color w:val="0000EE"/>
                  <w:w w:val="91"/>
                </w:rPr>
                <w:t>Exhibit 4.33 to the company’s Annual Report on Form 20-F for the year ended December 31, 2014 filed with the SEC on</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08">
              <w:r>
                <w:rPr>
                  <w:rFonts w:ascii="Arial" w:cs="Arial" w:eastAsia="Arial" w:hAnsi="Arial"/>
                  <w:sz w:val="18"/>
                  <w:szCs w:val="18"/>
                  <w:color w:val="0000EE"/>
                  <w:w w:val="93"/>
                </w:rPr>
                <w:t>April 24, 2015)</w:t>
              </w:r>
            </w:hyperlink>
          </w:p>
        </w:tc>
        <w:tc>
          <w:tcPr>
            <w:tcW w:w="77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4"/>
                <w:szCs w:val="24"/>
                <w:color w:val="auto"/>
              </w:rPr>
            </w:pPr>
          </w:p>
        </w:tc>
        <w:tc>
          <w:tcPr>
            <w:tcW w:w="8600" w:type="dxa"/>
            <w:vAlign w:val="bottom"/>
            <w:tcBorders>
              <w:bottom w:val="single" w:sz="8" w:color="0000EE"/>
            </w:tcBorders>
            <w:gridSpan w:val="15"/>
          </w:tcPr>
          <w:p>
            <w:pPr>
              <w:spacing w:after="0"/>
              <w:rPr>
                <w:rFonts w:ascii="Arial" w:cs="Arial" w:eastAsia="Arial" w:hAnsi="Arial"/>
                <w:sz w:val="18"/>
                <w:szCs w:val="18"/>
                <w:color w:val="0000EE"/>
                <w:w w:val="92"/>
              </w:rPr>
            </w:pPr>
            <w:hyperlink r:id="rId209">
              <w:r>
                <w:rPr>
                  <w:rFonts w:ascii="Arial" w:cs="Arial" w:eastAsia="Arial" w:hAnsi="Arial"/>
                  <w:sz w:val="18"/>
                  <w:szCs w:val="18"/>
                  <w:color w:val="0000EE"/>
                  <w:w w:val="92"/>
                </w:rPr>
                <w:t>Amendment and Novation of Letter of Agreement dated May 1, 2014 among NetEase Inc., William Lei Ding, Bo Ding</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and Xiaojun Hui (incorporated by reference to Exhibit 4.34 to the company’s Annual Report on Form 20-F for the year</w:t>
              </w:r>
            </w:hyperlink>
          </w:p>
        </w:tc>
        <w:tc>
          <w:tcPr>
            <w:tcW w:w="2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209">
              <w:r>
                <w:rPr>
                  <w:rFonts w:ascii="Arial" w:cs="Arial" w:eastAsia="Arial" w:hAnsi="Arial"/>
                  <w:sz w:val="18"/>
                  <w:szCs w:val="18"/>
                  <w:color w:val="0000EE"/>
                  <w:w w:val="91"/>
                </w:rPr>
                <w:t>ended December 31, 2014 filed with the SEC on April 24, 2015)</w:t>
              </w:r>
            </w:hyperlink>
          </w:p>
        </w:tc>
        <w:tc>
          <w:tcPr>
            <w:tcW w:w="41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4"/>
                <w:szCs w:val="24"/>
                <w:color w:val="auto"/>
              </w:rPr>
            </w:pPr>
          </w:p>
        </w:tc>
        <w:tc>
          <w:tcPr>
            <w:tcW w:w="8320" w:type="dxa"/>
            <w:vAlign w:val="bottom"/>
            <w:tcBorders>
              <w:bottom w:val="single" w:sz="8" w:color="0000EE"/>
            </w:tcBorders>
            <w:gridSpan w:val="12"/>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Loan Agreement dated May 1, 2014 between NetEase Information Technology (Beijing) Co., Ltd. and Xiaojun Hui</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(incorporated by reference to Exhibit 4.35 to the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0">
              <w:r>
                <w:rPr>
                  <w:rFonts w:ascii="Arial" w:cs="Arial" w:eastAsia="Arial" w:hAnsi="Arial"/>
                  <w:sz w:val="18"/>
                  <w:szCs w:val="18"/>
                  <w:color w:val="0000EE"/>
                </w:rPr>
                <w:t>December 31, 2014 filed with the SEC on April 24, 2015)</w:t>
              </w:r>
            </w:hyperlink>
          </w:p>
        </w:tc>
        <w:tc>
          <w:tcPr>
            <w:tcW w:w="1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3"/>
              </w:rPr>
            </w:pPr>
            <w:hyperlink r:id="rId211">
              <w:r>
                <w:rPr>
                  <w:rFonts w:ascii="Arial" w:cs="Arial" w:eastAsia="Arial" w:hAnsi="Arial"/>
                  <w:sz w:val="18"/>
                  <w:szCs w:val="18"/>
                  <w:color w:val="0000EE"/>
                  <w:w w:val="93"/>
                </w:rPr>
                <w:t>Equity Pledge Agreement dated May 1, 2014 between NetEase Information Technology (Beijing) Co., Ltd. and Xiaojun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top w:val="single" w:sz="8" w:color="0000EE"/>
            </w:tcBorders>
            <w:gridSpan w:val="16"/>
          </w:tcPr>
          <w:p>
            <w:pPr>
              <w:spacing w:after="0" w:line="196" w:lineRule="exact"/>
              <w:rPr>
                <w:rFonts w:ascii="Arial" w:cs="Arial" w:eastAsia="Arial" w:hAnsi="Arial"/>
                <w:sz w:val="18"/>
                <w:szCs w:val="18"/>
                <w:color w:val="0000EE"/>
                <w:w w:val="96"/>
              </w:rPr>
            </w:pPr>
            <w:hyperlink r:id="rId211">
              <w:r>
                <w:rPr>
                  <w:rFonts w:ascii="Arial" w:cs="Arial" w:eastAsia="Arial" w:hAnsi="Arial"/>
                  <w:sz w:val="18"/>
                  <w:szCs w:val="18"/>
                  <w:color w:val="0000EE"/>
                  <w:w w:val="96"/>
                </w:rPr>
                <w:t>Hui (incorporated by reference to Exhibit 4.36 to the company’s Annual Report on Form 20-F for the year ended</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211">
              <w:r>
                <w:rPr>
                  <w:rFonts w:ascii="Arial" w:cs="Arial" w:eastAsia="Arial" w:hAnsi="Arial"/>
                  <w:sz w:val="18"/>
                  <w:szCs w:val="18"/>
                  <w:color w:val="0000EE"/>
                </w:rPr>
                <w:t>December 31, 2014 filed with the SEC on April 24, 2015)</w:t>
              </w:r>
            </w:hyperlink>
          </w:p>
        </w:tc>
        <w:tc>
          <w:tcPr>
            <w:tcW w:w="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4.32</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6"/>
              </w:rPr>
            </w:pPr>
            <w:hyperlink r:id="rId212">
              <w:r>
                <w:rPr>
                  <w:rFonts w:ascii="Arial" w:cs="Arial" w:eastAsia="Arial" w:hAnsi="Arial"/>
                  <w:sz w:val="18"/>
                  <w:szCs w:val="18"/>
                  <w:color w:val="0000EE"/>
                  <w:w w:val="96"/>
                </w:rPr>
                <w:t>Amended and Restated Letter of Agreement dated November 30, 2015 among NetEase, Inc., William Lei Ding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660" w:type="dxa"/>
            <w:vAlign w:val="bottom"/>
            <w:gridSpan w:val="3"/>
            <w:shd w:val="clear" w:color="auto" w:fill="0000EE"/>
          </w:tcPr>
          <w:p>
            <w:pPr>
              <w:spacing w:after="0" w:line="20" w:lineRule="exact"/>
              <w:rPr>
                <w:sz w:val="1"/>
                <w:szCs w:val="1"/>
                <w:color w:val="auto"/>
              </w:rPr>
            </w:pPr>
          </w:p>
        </w:tc>
        <w:tc>
          <w:tcPr>
            <w:tcW w:w="284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w w:val="92"/>
              </w:rPr>
            </w:pPr>
            <w:hyperlink r:id="rId212">
              <w:r>
                <w:rPr>
                  <w:rFonts w:ascii="Arial" w:cs="Arial" w:eastAsia="Arial" w:hAnsi="Arial"/>
                  <w:sz w:val="18"/>
                  <w:szCs w:val="18"/>
                  <w:color w:val="0000EE"/>
                  <w:w w:val="92"/>
                </w:rPr>
                <w:t>Xiaojun Hui (incorporated by reference to Exhibit 4.44 to the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December 31, 2015 filed with the SEC on April 22, 2016)</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1"/>
              </w:rPr>
            </w:pPr>
            <w:hyperlink r:id="rId213">
              <w:r>
                <w:rPr>
                  <w:rFonts w:ascii="Arial" w:cs="Arial" w:eastAsia="Arial" w:hAnsi="Arial"/>
                  <w:sz w:val="18"/>
                  <w:szCs w:val="18"/>
                  <w:color w:val="0000EE"/>
                  <w:w w:val="91"/>
                </w:rPr>
                <w:t>Loan Agreement dated December 1, 2015 between NetEase (Hangzhou) Network Co., Ltd. and Tianlei Hu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00" w:type="dxa"/>
            <w:vAlign w:val="bottom"/>
            <w:tcBorders>
              <w:top w:val="single" w:sz="8" w:color="0000EE"/>
            </w:tcBorders>
            <w:gridSpan w:val="19"/>
          </w:tcPr>
          <w:p>
            <w:pPr>
              <w:spacing w:after="0" w:line="196" w:lineRule="exact"/>
              <w:rPr>
                <w:rFonts w:ascii="Arial" w:cs="Arial" w:eastAsia="Arial" w:hAnsi="Arial"/>
                <w:sz w:val="18"/>
                <w:szCs w:val="18"/>
                <w:color w:val="0000EE"/>
                <w:w w:val="91"/>
              </w:rPr>
            </w:pPr>
            <w:hyperlink r:id="rId213">
              <w:r>
                <w:rPr>
                  <w:rFonts w:ascii="Arial" w:cs="Arial" w:eastAsia="Arial" w:hAnsi="Arial"/>
                  <w:sz w:val="18"/>
                  <w:szCs w:val="18"/>
                  <w:color w:val="0000EE"/>
                  <w:w w:val="91"/>
                </w:rPr>
                <w:t>by reference to Exhibit 4.45 to the company’s Annual Report on Form 20-F for the year ended December 31, 2015 filed</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213">
              <w:r>
                <w:rPr>
                  <w:rFonts w:ascii="Arial" w:cs="Arial" w:eastAsia="Arial" w:hAnsi="Arial"/>
                  <w:sz w:val="18"/>
                  <w:szCs w:val="18"/>
                  <w:color w:val="0000EE"/>
                </w:rPr>
                <w:t>with the SEC on April 22, 2016)</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4"/>
                <w:szCs w:val="24"/>
                <w:color w:val="auto"/>
              </w:rPr>
            </w:pPr>
          </w:p>
        </w:tc>
        <w:tc>
          <w:tcPr>
            <w:tcW w:w="7840" w:type="dxa"/>
            <w:vAlign w:val="bottom"/>
            <w:tcBorders>
              <w:bottom w:val="single" w:sz="8" w:color="0000EE"/>
            </w:tcBorders>
            <w:gridSpan w:val="9"/>
          </w:tcPr>
          <w:p>
            <w:pPr>
              <w:spacing w:after="0"/>
              <w:rPr>
                <w:rFonts w:ascii="Arial" w:cs="Arial" w:eastAsia="Arial" w:hAnsi="Arial"/>
                <w:sz w:val="18"/>
                <w:szCs w:val="18"/>
                <w:color w:val="0000EE"/>
                <w:w w:val="90"/>
              </w:rPr>
            </w:pPr>
            <w:hyperlink r:id="rId214">
              <w:r>
                <w:rPr>
                  <w:rFonts w:ascii="Arial" w:cs="Arial" w:eastAsia="Arial" w:hAnsi="Arial"/>
                  <w:sz w:val="18"/>
                  <w:szCs w:val="18"/>
                  <w:color w:val="0000EE"/>
                  <w:w w:val="90"/>
                </w:rPr>
                <w:t>Loan Agreement dated December 1, 2015 between NetEase (Hangzhou) Network Co., Ltd. and Zhipeng Hu.</w:t>
              </w:r>
            </w:hyperlink>
          </w:p>
        </w:tc>
        <w:tc>
          <w:tcPr>
            <w:tcW w:w="9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(incorporated by reference to Exhibit 4.46 to the company’s Annual Report on Form 20-F for the year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4">
              <w:r>
                <w:rPr>
                  <w:rFonts w:ascii="Arial" w:cs="Arial" w:eastAsia="Arial" w:hAnsi="Arial"/>
                  <w:sz w:val="18"/>
                  <w:szCs w:val="18"/>
                  <w:color w:val="0000EE"/>
                </w:rPr>
                <w:t>December 31, 2015 filed with the SEC on April 22, 2016)</w:t>
              </w:r>
            </w:hyperlink>
          </w:p>
        </w:tc>
        <w:tc>
          <w:tcPr>
            <w:tcW w:w="10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24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5"/>
              </w:rPr>
            </w:pPr>
            <w:hyperlink r:id="rId215">
              <w:r>
                <w:rPr>
                  <w:rFonts w:ascii="Arial" w:cs="Arial" w:eastAsia="Arial" w:hAnsi="Arial"/>
                  <w:sz w:val="18"/>
                  <w:szCs w:val="18"/>
                  <w:color w:val="0000EE"/>
                  <w:w w:val="95"/>
                </w:rPr>
                <w:t>Amended and Restated Equity Pledge Agreement dated December 1, 2015 between NetEase (Hangzhou) Network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4"/>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Co., Ltd. and Tianlei Hu (incorporated by reference to Exhibit 4.47 to the company’s Annual Report on Form 20-F for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year ended December 31, 2015 filed with the SEC on April 22, 2016)</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gridSpan w:val="5"/>
            <w:shd w:val="clear" w:color="auto" w:fill="0000EE"/>
          </w:tcPr>
          <w:p>
            <w:pPr>
              <w:spacing w:after="0" w:line="20" w:lineRule="exact"/>
              <w:rPr>
                <w:sz w:val="1"/>
                <w:szCs w:val="1"/>
                <w:color w:val="auto"/>
              </w:rPr>
            </w:pPr>
          </w:p>
        </w:tc>
        <w:tc>
          <w:tcPr>
            <w:tcW w:w="3660" w:type="dxa"/>
            <w:vAlign w:val="bottom"/>
            <w:gridSpan w:val="1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24"/>
                <w:szCs w:val="24"/>
                <w:color w:val="auto"/>
              </w:rPr>
            </w:pPr>
          </w:p>
        </w:tc>
        <w:tc>
          <w:tcPr>
            <w:tcW w:w="8820" w:type="dxa"/>
            <w:vAlign w:val="bottom"/>
            <w:gridSpan w:val="24"/>
          </w:tcPr>
          <w:p>
            <w:pPr>
              <w:spacing w:after="0"/>
              <w:rPr>
                <w:rFonts w:ascii="Arial" w:cs="Arial" w:eastAsia="Arial" w:hAnsi="Arial"/>
                <w:sz w:val="18"/>
                <w:szCs w:val="18"/>
                <w:color w:val="0000EE"/>
                <w:w w:val="95"/>
              </w:rPr>
            </w:pPr>
            <w:hyperlink r:id="rId216">
              <w:r>
                <w:rPr>
                  <w:rFonts w:ascii="Arial" w:cs="Arial" w:eastAsia="Arial" w:hAnsi="Arial"/>
                  <w:sz w:val="18"/>
                  <w:szCs w:val="18"/>
                  <w:color w:val="0000EE"/>
                  <w:w w:val="95"/>
                </w:rPr>
                <w:t>Amended and Restated Equity Pledge Agreement dated December 1, 2015 between NetEase (Hangzhou) Network</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40" w:type="dxa"/>
            <w:vAlign w:val="bottom"/>
            <w:gridSpan w:val="11"/>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Co., Ltd. and Zhipeng Hu. (incorporated by reference to Exhibit 4.48 to the company’s Annual Report on Form 20-F for</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216">
              <w:r>
                <w:rPr>
                  <w:rFonts w:ascii="Arial" w:cs="Arial" w:eastAsia="Arial" w:hAnsi="Arial"/>
                  <w:sz w:val="18"/>
                  <w:szCs w:val="18"/>
                  <w:color w:val="0000EE"/>
                  <w:w w:val="91"/>
                </w:rPr>
                <w:t>the year ended December 31, 2015 filed with the SEC on April 22, 2016)</w:t>
              </w:r>
            </w:hyperlink>
          </w:p>
        </w:tc>
        <w:tc>
          <w:tcPr>
            <w:tcW w:w="35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820" w:type="dxa"/>
            <w:vAlign w:val="bottom"/>
            <w:gridSpan w:val="25"/>
            <w:vMerge w:val="restart"/>
          </w:tcPr>
          <w:p>
            <w:pPr>
              <w:ind w:left="410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820" w:type="dxa"/>
            <w:vAlign w:val="bottom"/>
            <w:gridSpan w:val="2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4"/>
                <w:szCs w:val="24"/>
                <w:color w:val="auto"/>
              </w:rPr>
            </w:pPr>
          </w:p>
        </w:tc>
        <w:tc>
          <w:tcPr>
            <w:tcW w:w="8820" w:type="dxa"/>
            <w:vAlign w:val="bottom"/>
            <w:tcBorders>
              <w:top w:val="single" w:sz="8" w:color="auto"/>
            </w:tcBorders>
            <w:gridSpan w:val="25"/>
          </w:tcPr>
          <w:p>
            <w:pPr>
              <w:spacing w:after="0"/>
              <w:rPr>
                <w:rFonts w:ascii="Arial" w:cs="Arial" w:eastAsia="Arial" w:hAnsi="Arial"/>
                <w:sz w:val="18"/>
                <w:szCs w:val="18"/>
                <w:color w:val="0000EE"/>
                <w:w w:val="98"/>
              </w:rPr>
            </w:pPr>
            <w:hyperlink r:id="rId218">
              <w:r>
                <w:rPr>
                  <w:rFonts w:ascii="Arial" w:cs="Arial" w:eastAsia="Arial" w:hAnsi="Arial"/>
                  <w:sz w:val="18"/>
                  <w:szCs w:val="18"/>
                  <w:color w:val="0000EE"/>
                  <w:w w:val="98"/>
                </w:rPr>
                <w:t>Exclusive Purchase Option Agreement dated December 1, 2015 among NetEase (Hangzhou) Network Co., Ltd.,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1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218">
              <w:r>
                <w:rPr>
                  <w:rFonts w:ascii="Arial" w:cs="Arial" w:eastAsia="Arial" w:hAnsi="Arial"/>
                  <w:sz w:val="18"/>
                  <w:szCs w:val="18"/>
                  <w:color w:val="0000EE"/>
                  <w:w w:val="91"/>
                </w:rPr>
                <w:t>Hangzhou NetEase Leihuo Technology Co., Ltd. and Tianlei Hu (incorporated by reference to Exhibit 4.49 to the</w:t>
              </w:r>
            </w:hyperlink>
          </w:p>
        </w:tc>
        <w:tc>
          <w:tcPr>
            <w:tcW w:w="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w w:val="94"/>
              </w:rPr>
            </w:pPr>
            <w:hyperlink r:id="rId218">
              <w:r>
                <w:rPr>
                  <w:rFonts w:ascii="Arial" w:cs="Arial" w:eastAsia="Arial" w:hAnsi="Arial"/>
                  <w:sz w:val="18"/>
                  <w:szCs w:val="18"/>
                  <w:u w:val="single" w:color="auto"/>
                  <w:color w:val="0000EE"/>
                  <w:w w:val="94"/>
                </w:rPr>
                <w:t>company’s Annual Report on Form 20-F for the year ended December 31, 2015 filed with the SEC on April 22, 2016)</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4.38</w:t>
            </w:r>
          </w:p>
        </w:tc>
        <w:tc>
          <w:tcPr>
            <w:tcW w:w="180" w:type="dxa"/>
            <w:vAlign w:val="bottom"/>
          </w:tcPr>
          <w:p>
            <w:pPr>
              <w:spacing w:after="0"/>
              <w:rPr>
                <w:sz w:val="24"/>
                <w:szCs w:val="24"/>
                <w:color w:val="auto"/>
              </w:rPr>
            </w:pPr>
          </w:p>
        </w:tc>
        <w:tc>
          <w:tcPr>
            <w:tcW w:w="8820" w:type="dxa"/>
            <w:vAlign w:val="bottom"/>
            <w:gridSpan w:val="25"/>
          </w:tcPr>
          <w:p>
            <w:pPr>
              <w:spacing w:after="0"/>
              <w:rPr>
                <w:rFonts w:ascii="Arial" w:cs="Arial" w:eastAsia="Arial" w:hAnsi="Arial"/>
                <w:sz w:val="18"/>
                <w:szCs w:val="18"/>
                <w:color w:val="0000EE"/>
                <w:w w:val="98"/>
              </w:rPr>
            </w:pPr>
            <w:hyperlink r:id="rId219">
              <w:r>
                <w:rPr>
                  <w:rFonts w:ascii="Arial" w:cs="Arial" w:eastAsia="Arial" w:hAnsi="Arial"/>
                  <w:sz w:val="18"/>
                  <w:szCs w:val="18"/>
                  <w:color w:val="0000EE"/>
                  <w:w w:val="98"/>
                </w:rPr>
                <w:t>Exclusive Purchase Option Agreement dated December 1, 2015 among NetEase (Hangzhou) Network Co., Ltd.,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219">
              <w:r>
                <w:rPr>
                  <w:rFonts w:ascii="Arial" w:cs="Arial" w:eastAsia="Arial" w:hAnsi="Arial"/>
                  <w:sz w:val="18"/>
                  <w:szCs w:val="18"/>
                  <w:color w:val="0000EE"/>
                  <w:w w:val="91"/>
                </w:rPr>
                <w:t>Hangzhou NetEase Leihuo Technology Co., Ltd. and Zhipeng Hu (incorporated by reference to Exhibit 4.50 to the</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w w:val="94"/>
              </w:rPr>
            </w:pPr>
            <w:hyperlink r:id="rId219">
              <w:r>
                <w:rPr>
                  <w:rFonts w:ascii="Arial" w:cs="Arial" w:eastAsia="Arial" w:hAnsi="Arial"/>
                  <w:sz w:val="18"/>
                  <w:szCs w:val="18"/>
                  <w:u w:val="single" w:color="auto"/>
                  <w:color w:val="0000EE"/>
                  <w:w w:val="94"/>
                </w:rPr>
                <w:t>company’s Annual Report on Form 20-F for the year ended December 31, 2015 filed with the SEC on April 22, 2016)</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24"/>
                <w:szCs w:val="24"/>
                <w:color w:val="auto"/>
              </w:rPr>
            </w:pPr>
          </w:p>
        </w:tc>
        <w:tc>
          <w:tcPr>
            <w:tcW w:w="8300" w:type="dxa"/>
            <w:vAlign w:val="bottom"/>
            <w:tcBorders>
              <w:bottom w:val="single" w:sz="8" w:color="0000EE"/>
            </w:tcBorders>
            <w:gridSpan w:val="11"/>
          </w:tcPr>
          <w:p>
            <w:pPr>
              <w:spacing w:after="0"/>
              <w:rPr>
                <w:rFonts w:ascii="Arial" w:cs="Arial" w:eastAsia="Arial" w:hAnsi="Arial"/>
                <w:sz w:val="18"/>
                <w:szCs w:val="18"/>
                <w:color w:val="0000EE"/>
                <w:w w:val="90"/>
              </w:rPr>
            </w:pPr>
            <w:hyperlink r:id="rId220">
              <w:r>
                <w:rPr>
                  <w:rFonts w:ascii="Arial" w:cs="Arial" w:eastAsia="Arial" w:hAnsi="Arial"/>
                  <w:sz w:val="18"/>
                  <w:szCs w:val="18"/>
                  <w:color w:val="0000EE"/>
                  <w:w w:val="90"/>
                </w:rPr>
                <w:t>Operating Agreement dated December 1, 2015 among NetEase (Hangzhou) Network Co., Ltd., Hangzhou NetEase</w:t>
              </w:r>
            </w:hyperlink>
          </w:p>
        </w:tc>
        <w:tc>
          <w:tcPr>
            <w:tcW w:w="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2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20">
              <w:r>
                <w:rPr>
                  <w:rFonts w:ascii="Arial" w:cs="Arial" w:eastAsia="Arial" w:hAnsi="Arial"/>
                  <w:sz w:val="18"/>
                  <w:szCs w:val="18"/>
                  <w:color w:val="0000EE"/>
                  <w:w w:val="91"/>
                </w:rPr>
                <w:t>Leihuo Technology Co., Ltd., Tianlei Hu and Zhipeng Hu (incorporated by reference to Exhibit 4.51 to the company’s</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rPr>
            </w:pPr>
            <w:hyperlink r:id="rId220">
              <w:r>
                <w:rPr>
                  <w:rFonts w:ascii="Arial" w:cs="Arial" w:eastAsia="Arial" w:hAnsi="Arial"/>
                  <w:sz w:val="18"/>
                  <w:szCs w:val="18"/>
                  <w:u w:val="single" w:color="auto"/>
                  <w:color w:val="0000EE"/>
                </w:rPr>
                <w:t>Annual Report on Form 20-F for the year ended December 31, 2015 filed with the SEC on April 22, 2016)</w:t>
              </w:r>
            </w:hyperlink>
          </w:p>
        </w:tc>
        <w:tc>
          <w:tcPr>
            <w:tcW w:w="0" w:type="dxa"/>
            <w:vAlign w:val="bottom"/>
          </w:tcPr>
          <w:p>
            <w:pPr>
              <w:spacing w:after="0"/>
              <w:rPr>
                <w:sz w:val="1"/>
                <w:szCs w:val="1"/>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4"/>
                <w:szCs w:val="24"/>
                <w:color w:val="auto"/>
              </w:rPr>
            </w:pPr>
          </w:p>
        </w:tc>
        <w:tc>
          <w:tcPr>
            <w:tcW w:w="8820" w:type="dxa"/>
            <w:vAlign w:val="bottom"/>
            <w:gridSpan w:val="25"/>
          </w:tcPr>
          <w:p>
            <w:pPr>
              <w:spacing w:after="0"/>
              <w:rPr>
                <w:rFonts w:ascii="Arial" w:cs="Arial" w:eastAsia="Arial" w:hAnsi="Arial"/>
                <w:sz w:val="18"/>
                <w:szCs w:val="18"/>
                <w:color w:val="0000EE"/>
                <w:w w:val="94"/>
              </w:rPr>
            </w:pPr>
            <w:hyperlink r:id="rId221">
              <w:r>
                <w:rPr>
                  <w:rFonts w:ascii="Arial" w:cs="Arial" w:eastAsia="Arial" w:hAnsi="Arial"/>
                  <w:sz w:val="18"/>
                  <w:szCs w:val="18"/>
                  <w:color w:val="0000EE"/>
                  <w:w w:val="94"/>
                </w:rPr>
                <w:t>Loan Agreement dated September 26, 2016 between William Lei Ding and NetEase Youdao Information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21">
              <w:r>
                <w:rPr>
                  <w:rFonts w:ascii="Arial" w:cs="Arial" w:eastAsia="Arial" w:hAnsi="Arial"/>
                  <w:sz w:val="18"/>
                  <w:szCs w:val="18"/>
                  <w:color w:val="0000EE"/>
                  <w:w w:val="92"/>
                </w:rPr>
                <w:t>(Beijing) Co., Ltd. (incorporated by reference to Exhibit 4.51 to the company’s Annual Report on Form 20-F for the year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21">
              <w:r>
                <w:rPr>
                  <w:rFonts w:ascii="Arial" w:cs="Arial" w:eastAsia="Arial" w:hAnsi="Arial"/>
                  <w:sz w:val="18"/>
                  <w:szCs w:val="18"/>
                  <w:color w:val="0000EE"/>
                  <w:w w:val="91"/>
                </w:rPr>
                <w:t>ended December 31, 2016 filed with the SEC on April 21, 2017)</w:t>
              </w:r>
            </w:hyperlink>
          </w:p>
        </w:tc>
        <w:tc>
          <w:tcPr>
            <w:tcW w:w="4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24"/>
                <w:szCs w:val="24"/>
                <w:color w:val="auto"/>
              </w:rPr>
            </w:pPr>
          </w:p>
        </w:tc>
        <w:tc>
          <w:tcPr>
            <w:tcW w:w="8200" w:type="dxa"/>
            <w:vAlign w:val="bottom"/>
            <w:tcBorders>
              <w:bottom w:val="single" w:sz="8" w:color="0000EE"/>
            </w:tcBorders>
            <w:gridSpan w:val="8"/>
          </w:tcPr>
          <w:p>
            <w:pPr>
              <w:spacing w:after="0"/>
              <w:rPr>
                <w:rFonts w:ascii="Arial" w:cs="Arial" w:eastAsia="Arial" w:hAnsi="Arial"/>
                <w:sz w:val="18"/>
                <w:szCs w:val="18"/>
                <w:color w:val="0000EE"/>
                <w:w w:val="90"/>
              </w:rPr>
            </w:pPr>
            <w:hyperlink r:id="rId222">
              <w:r>
                <w:rPr>
                  <w:rFonts w:ascii="Arial" w:cs="Arial" w:eastAsia="Arial" w:hAnsi="Arial"/>
                  <w:sz w:val="18"/>
                  <w:szCs w:val="18"/>
                  <w:color w:val="0000EE"/>
                  <w:w w:val="90"/>
                </w:rPr>
                <w:t>Equity Pledge Agreement dated September 26, 2016 between William Lei Ding and NetEase Youdao Information</w:t>
              </w:r>
            </w:hyperlink>
          </w:p>
        </w:tc>
        <w:tc>
          <w:tcPr>
            <w:tcW w:w="6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222">
              <w:r>
                <w:rPr>
                  <w:rFonts w:ascii="Arial" w:cs="Arial" w:eastAsia="Arial" w:hAnsi="Arial"/>
                  <w:sz w:val="18"/>
                  <w:szCs w:val="18"/>
                  <w:color w:val="0000EE"/>
                  <w:w w:val="92"/>
                </w:rPr>
                <w:t>Technology (Beijing) Co., Ltd. (incorporated by reference to Exhibit 4.52 to the company’s Annual Report on Form 20-F</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5"/>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4.42</w:t>
            </w:r>
          </w:p>
        </w:tc>
        <w:tc>
          <w:tcPr>
            <w:tcW w:w="180" w:type="dxa"/>
            <w:vAlign w:val="bottom"/>
          </w:tcPr>
          <w:p>
            <w:pPr>
              <w:spacing w:after="0"/>
              <w:rPr>
                <w:sz w:val="24"/>
                <w:szCs w:val="24"/>
                <w:color w:val="auto"/>
              </w:rPr>
            </w:pPr>
          </w:p>
        </w:tc>
        <w:tc>
          <w:tcPr>
            <w:tcW w:w="8820" w:type="dxa"/>
            <w:vAlign w:val="bottom"/>
            <w:gridSpan w:val="25"/>
          </w:tcPr>
          <w:p>
            <w:pPr>
              <w:spacing w:after="0"/>
              <w:rPr>
                <w:rFonts w:ascii="Arial" w:cs="Arial" w:eastAsia="Arial" w:hAnsi="Arial"/>
                <w:sz w:val="18"/>
                <w:szCs w:val="18"/>
                <w:color w:val="0000EE"/>
                <w:w w:val="91"/>
              </w:rPr>
            </w:pPr>
            <w:hyperlink r:id="rId223">
              <w:r>
                <w:rPr>
                  <w:rFonts w:ascii="Arial" w:cs="Arial" w:eastAsia="Arial" w:hAnsi="Arial"/>
                  <w:sz w:val="18"/>
                  <w:szCs w:val="18"/>
                  <w:color w:val="0000EE"/>
                  <w:w w:val="91"/>
                </w:rPr>
                <w:t>Exclusive Purchase Option Agreement dated September 26, 2016 among William Lei Ding, NetEase Youdao Information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223">
              <w:r>
                <w:rPr>
                  <w:rFonts w:ascii="Arial" w:cs="Arial" w:eastAsia="Arial" w:hAnsi="Arial"/>
                  <w:sz w:val="18"/>
                  <w:szCs w:val="18"/>
                  <w:color w:val="0000EE"/>
                  <w:w w:val="91"/>
                </w:rPr>
                <w:t>Technology (Beijing) Co., Ltd. and Youdao Computer System Co., Ltd. (incorporated by reference to Exhibit 4.53 to the</w:t>
              </w:r>
            </w:hyperlink>
          </w:p>
        </w:tc>
        <w:tc>
          <w:tcPr>
            <w:tcW w:w="80" w:type="dxa"/>
            <w:vAlign w:val="bottom"/>
            <w:tcBorders>
              <w:top w:val="single" w:sz="8" w:color="0000EE"/>
            </w:tcBorders>
            <w:gridSpan w:val="3"/>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w w:val="94"/>
              </w:rPr>
            </w:pPr>
            <w:hyperlink r:id="rId223">
              <w:r>
                <w:rPr>
                  <w:rFonts w:ascii="Arial" w:cs="Arial" w:eastAsia="Arial" w:hAnsi="Arial"/>
                  <w:sz w:val="18"/>
                  <w:szCs w:val="18"/>
                  <w:u w:val="single" w:color="auto"/>
                  <w:color w:val="0000EE"/>
                  <w:w w:val="94"/>
                </w:rPr>
                <w:t>company’s Annual Report on Form 20-F for the year ended December 31, 2016 filed with the SEC on April 21, 2017)</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4.43</w:t>
            </w:r>
          </w:p>
        </w:tc>
        <w:tc>
          <w:tcPr>
            <w:tcW w:w="180" w:type="dxa"/>
            <w:vAlign w:val="bottom"/>
          </w:tcPr>
          <w:p>
            <w:pPr>
              <w:spacing w:after="0"/>
              <w:rPr>
                <w:sz w:val="24"/>
                <w:szCs w:val="24"/>
                <w:color w:val="auto"/>
              </w:rPr>
            </w:pPr>
          </w:p>
        </w:tc>
        <w:tc>
          <w:tcPr>
            <w:tcW w:w="7940" w:type="dxa"/>
            <w:vAlign w:val="bottom"/>
            <w:tcBorders>
              <w:bottom w:val="single" w:sz="8" w:color="0000EE"/>
            </w:tcBorders>
            <w:gridSpan w:val="5"/>
          </w:tcPr>
          <w:p>
            <w:pPr>
              <w:spacing w:after="0"/>
              <w:rPr>
                <w:rFonts w:ascii="Arial" w:cs="Arial" w:eastAsia="Arial" w:hAnsi="Arial"/>
                <w:sz w:val="18"/>
                <w:szCs w:val="18"/>
                <w:color w:val="0000EE"/>
                <w:w w:val="89"/>
              </w:rPr>
            </w:pPr>
            <w:hyperlink r:id="rId224">
              <w:r>
                <w:rPr>
                  <w:rFonts w:ascii="Arial" w:cs="Arial" w:eastAsia="Arial" w:hAnsi="Arial"/>
                  <w:sz w:val="18"/>
                  <w:szCs w:val="18"/>
                  <w:color w:val="0000EE"/>
                  <w:w w:val="89"/>
                </w:rPr>
                <w:t>Operating Agreement dated September 26, 2016 among Youdao Computer System Co., Ltd., NetEase Youdao</w:t>
              </w:r>
            </w:hyperlink>
          </w:p>
        </w:tc>
        <w:tc>
          <w:tcPr>
            <w:tcW w:w="8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5"/>
          </w:tcPr>
          <w:p>
            <w:pPr>
              <w:spacing w:after="0" w:line="196" w:lineRule="exact"/>
              <w:rPr>
                <w:rFonts w:ascii="Arial" w:cs="Arial" w:eastAsia="Arial" w:hAnsi="Arial"/>
                <w:sz w:val="18"/>
                <w:szCs w:val="18"/>
                <w:color w:val="0000EE"/>
                <w:w w:val="98"/>
              </w:rPr>
            </w:pPr>
            <w:hyperlink r:id="rId224">
              <w:r>
                <w:rPr>
                  <w:rFonts w:ascii="Arial" w:cs="Arial" w:eastAsia="Arial" w:hAnsi="Arial"/>
                  <w:sz w:val="18"/>
                  <w:szCs w:val="18"/>
                  <w:color w:val="0000EE"/>
                  <w:w w:val="98"/>
                </w:rPr>
                <w:t>Information Technology (Beijing) Co., Ltd. and William Lei Ding. (incorporated by reference to Exhibit 4.54 to the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w w:val="94"/>
              </w:rPr>
            </w:pPr>
            <w:hyperlink r:id="rId224">
              <w:r>
                <w:rPr>
                  <w:rFonts w:ascii="Arial" w:cs="Arial" w:eastAsia="Arial" w:hAnsi="Arial"/>
                  <w:sz w:val="18"/>
                  <w:szCs w:val="18"/>
                  <w:u w:val="single" w:color="auto"/>
                  <w:color w:val="0000EE"/>
                  <w:w w:val="94"/>
                </w:rPr>
                <w:t>company’s Annual Report on Form 20-F for the year ended December 31, 2016 filed with the SEC on April 21, 2017)</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4.44</w:t>
            </w:r>
          </w:p>
        </w:tc>
        <w:tc>
          <w:tcPr>
            <w:tcW w:w="180" w:type="dxa"/>
            <w:vAlign w:val="bottom"/>
          </w:tcPr>
          <w:p>
            <w:pPr>
              <w:spacing w:after="0"/>
              <w:rPr>
                <w:sz w:val="24"/>
                <w:szCs w:val="24"/>
                <w:color w:val="auto"/>
              </w:rPr>
            </w:pPr>
          </w:p>
        </w:tc>
        <w:tc>
          <w:tcPr>
            <w:tcW w:w="8820" w:type="dxa"/>
            <w:vAlign w:val="bottom"/>
            <w:gridSpan w:val="25"/>
          </w:tcPr>
          <w:p>
            <w:pPr>
              <w:spacing w:after="0"/>
              <w:rPr>
                <w:rFonts w:ascii="Arial" w:cs="Arial" w:eastAsia="Arial" w:hAnsi="Arial"/>
                <w:sz w:val="18"/>
                <w:szCs w:val="18"/>
                <w:color w:val="0000EE"/>
                <w:w w:val="94"/>
              </w:rPr>
            </w:pPr>
            <w:hyperlink r:id="rId225">
              <w:r>
                <w:rPr>
                  <w:rFonts w:ascii="Arial" w:cs="Arial" w:eastAsia="Arial" w:hAnsi="Arial"/>
                  <w:sz w:val="18"/>
                  <w:szCs w:val="18"/>
                  <w:color w:val="0000EE"/>
                  <w:w w:val="94"/>
                </w:rPr>
                <w:t>Cooperation Agreement dated July 1, 2015 between NetEase Youdao Information Technology (Beijing) Co., Ltd. and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225">
              <w:r>
                <w:rPr>
                  <w:rFonts w:ascii="Arial" w:cs="Arial" w:eastAsia="Arial" w:hAnsi="Arial"/>
                  <w:sz w:val="18"/>
                  <w:szCs w:val="18"/>
                  <w:color w:val="0000EE"/>
                  <w:w w:val="91"/>
                </w:rPr>
                <w:t>Youdao Computer System Co., Ltd. (incorporated by reference to Exhibit 4.55 to the company’s Annual Report on</w:t>
              </w:r>
            </w:hyperlink>
          </w:p>
        </w:tc>
        <w:tc>
          <w:tcPr>
            <w:tcW w:w="200" w:type="dxa"/>
            <w:vAlign w:val="bottom"/>
            <w:tcBorders>
              <w:top w:val="single" w:sz="8" w:color="0000EE"/>
            </w:tcBorders>
            <w:gridSpan w:val="5"/>
          </w:tcPr>
          <w:p>
            <w:pPr>
              <w:spacing w:after="0"/>
              <w:rPr>
                <w:sz w:val="17"/>
                <w:szCs w:val="17"/>
                <w:color w:val="auto"/>
              </w:rPr>
            </w:pPr>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5"/>
          </w:tcPr>
          <w:p>
            <w:pPr>
              <w:spacing w:after="0" w:line="196" w:lineRule="exact"/>
              <w:rPr>
                <w:rFonts w:ascii="Arial" w:cs="Arial" w:eastAsia="Arial" w:hAnsi="Arial"/>
                <w:sz w:val="18"/>
                <w:szCs w:val="18"/>
                <w:color w:val="0000EE"/>
              </w:rPr>
            </w:pPr>
            <w:hyperlink r:id="rId225">
              <w:r>
                <w:rPr>
                  <w:rFonts w:ascii="Arial" w:cs="Arial" w:eastAsia="Arial" w:hAnsi="Arial"/>
                  <w:sz w:val="18"/>
                  <w:szCs w:val="18"/>
                  <w:color w:val="0000EE"/>
                </w:rPr>
                <w:t>Form 20-F for the year ended December 31, 2016 filed with the SEC on April 21, 2017)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24"/>
                <w:szCs w:val="24"/>
                <w:color w:val="auto"/>
              </w:rPr>
            </w:pPr>
          </w:p>
        </w:tc>
        <w:tc>
          <w:tcPr>
            <w:tcW w:w="8660" w:type="dxa"/>
            <w:vAlign w:val="bottom"/>
            <w:tcBorders>
              <w:bottom w:val="single" w:sz="8" w:color="0000EE"/>
            </w:tcBorders>
            <w:gridSpan w:val="20"/>
          </w:tcPr>
          <w:p>
            <w:pPr>
              <w:spacing w:after="0"/>
              <w:rPr>
                <w:rFonts w:ascii="Arial" w:cs="Arial" w:eastAsia="Arial" w:hAnsi="Arial"/>
                <w:sz w:val="18"/>
                <w:szCs w:val="18"/>
                <w:color w:val="0000EE"/>
                <w:w w:val="90"/>
              </w:rPr>
            </w:pPr>
            <w:hyperlink r:id="rId226">
              <w:r>
                <w:rPr>
                  <w:rFonts w:ascii="Arial" w:cs="Arial" w:eastAsia="Arial" w:hAnsi="Arial"/>
                  <w:sz w:val="18"/>
                  <w:szCs w:val="18"/>
                  <w:color w:val="0000EE"/>
                  <w:w w:val="90"/>
                </w:rPr>
                <w:t>Loan Agreement dated November 20, 2017 between Feng Zhou and NetEase Youdao Information Technology (Beijing)</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26">
              <w:r>
                <w:rPr>
                  <w:rFonts w:ascii="Arial" w:cs="Arial" w:eastAsia="Arial" w:hAnsi="Arial"/>
                  <w:sz w:val="18"/>
                  <w:szCs w:val="18"/>
                  <w:color w:val="0000EE"/>
                  <w:w w:val="91"/>
                </w:rPr>
                <w:t>Co., Ltd. (incorporated by reference to Exhibit 4.52 to the company’s Annual Report on Form 20-F for the year ended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25"/>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December 31, 2017 filed with the SEC on April 20,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24"/>
                <w:szCs w:val="24"/>
                <w:color w:val="auto"/>
              </w:rPr>
            </w:pPr>
          </w:p>
        </w:tc>
        <w:tc>
          <w:tcPr>
            <w:tcW w:w="8600" w:type="dxa"/>
            <w:vAlign w:val="bottom"/>
            <w:tcBorders>
              <w:bottom w:val="single" w:sz="8" w:color="0000EE"/>
            </w:tcBorders>
            <w:gridSpan w:val="18"/>
          </w:tcPr>
          <w:p>
            <w:pPr>
              <w:spacing w:after="0"/>
              <w:rPr>
                <w:rFonts w:ascii="Arial" w:cs="Arial" w:eastAsia="Arial" w:hAnsi="Arial"/>
                <w:sz w:val="18"/>
                <w:szCs w:val="18"/>
                <w:color w:val="0000EE"/>
                <w:w w:val="90"/>
              </w:rPr>
            </w:pPr>
            <w:hyperlink r:id="rId227">
              <w:r>
                <w:rPr>
                  <w:rFonts w:ascii="Arial" w:cs="Arial" w:eastAsia="Arial" w:hAnsi="Arial"/>
                  <w:sz w:val="18"/>
                  <w:szCs w:val="18"/>
                  <w:color w:val="0000EE"/>
                  <w:w w:val="90"/>
                </w:rPr>
                <w:t>Equity Pledge Agreement dated November 20, 2017 between Feng Zhou and NetEase Youdao Information Technology</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2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227">
              <w:r>
                <w:rPr>
                  <w:rFonts w:ascii="Arial" w:cs="Arial" w:eastAsia="Arial" w:hAnsi="Arial"/>
                  <w:sz w:val="18"/>
                  <w:szCs w:val="18"/>
                  <w:color w:val="0000EE"/>
                  <w:w w:val="92"/>
                </w:rPr>
                <w:t>(Beijing) Co., Ltd. (incorporated by reference to Exhibit 4.53 to the company’s Annual Report on Form 20-F for the year</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27">
              <w:r>
                <w:rPr>
                  <w:rFonts w:ascii="Arial" w:cs="Arial" w:eastAsia="Arial" w:hAnsi="Arial"/>
                  <w:sz w:val="18"/>
                  <w:szCs w:val="18"/>
                  <w:color w:val="0000EE"/>
                  <w:w w:val="91"/>
                </w:rPr>
                <w:t>ended December 31, 2017 filed with the SEC on April 20, 2018)</w:t>
              </w:r>
            </w:hyperlink>
          </w:p>
        </w:tc>
        <w:tc>
          <w:tcPr>
            <w:tcW w:w="41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24"/>
                <w:szCs w:val="24"/>
                <w:color w:val="auto"/>
              </w:rPr>
            </w:pPr>
          </w:p>
        </w:tc>
        <w:tc>
          <w:tcPr>
            <w:tcW w:w="8820" w:type="dxa"/>
            <w:vAlign w:val="bottom"/>
            <w:gridSpan w:val="25"/>
          </w:tcPr>
          <w:p>
            <w:pPr>
              <w:spacing w:after="0"/>
              <w:rPr>
                <w:rFonts w:ascii="Arial" w:cs="Arial" w:eastAsia="Arial" w:hAnsi="Arial"/>
                <w:sz w:val="18"/>
                <w:szCs w:val="18"/>
                <w:color w:val="0000EE"/>
                <w:w w:val="96"/>
              </w:rPr>
            </w:pPr>
            <w:hyperlink r:id="rId228">
              <w:r>
                <w:rPr>
                  <w:rFonts w:ascii="Arial" w:cs="Arial" w:eastAsia="Arial" w:hAnsi="Arial"/>
                  <w:sz w:val="18"/>
                  <w:szCs w:val="18"/>
                  <w:color w:val="0000EE"/>
                  <w:w w:val="96"/>
                </w:rPr>
                <w:t>Exclusive Purchase Option Agreement dated November 20, 2017 among NetEase Youdao Information Technology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gridSpan w:val="10"/>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6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28">
              <w:r>
                <w:rPr>
                  <w:rFonts w:ascii="Arial" w:cs="Arial" w:eastAsia="Arial" w:hAnsi="Arial"/>
                  <w:sz w:val="18"/>
                  <w:szCs w:val="18"/>
                  <w:color w:val="0000EE"/>
                  <w:w w:val="91"/>
                </w:rPr>
                <w:t>(Beijing) Co., Ltd., Feng Zhou and Youdao Computer System Co., Ltd. (incorporated by reference to Exhibit 4.54 to the</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w w:val="94"/>
              </w:rPr>
            </w:pPr>
            <w:hyperlink r:id="rId228">
              <w:r>
                <w:rPr>
                  <w:rFonts w:ascii="Arial" w:cs="Arial" w:eastAsia="Arial" w:hAnsi="Arial"/>
                  <w:sz w:val="18"/>
                  <w:szCs w:val="18"/>
                  <w:u w:val="single" w:color="auto"/>
                  <w:color w:val="0000EE"/>
                  <w:w w:val="94"/>
                </w:rPr>
                <w:t>company’s Annual Report on Form 20-F for the year ended December 31, 2017 filed with the SEC on April 20, 2018)</w:t>
              </w:r>
            </w:hyperlink>
          </w:p>
        </w:tc>
        <w:tc>
          <w:tcPr>
            <w:tcW w:w="0" w:type="dxa"/>
            <w:vAlign w:val="bottom"/>
          </w:tcPr>
          <w:p>
            <w:pPr>
              <w:spacing w:after="0"/>
              <w:rPr>
                <w:sz w:val="1"/>
                <w:szCs w:val="1"/>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4.48</w:t>
            </w:r>
          </w:p>
        </w:tc>
        <w:tc>
          <w:tcPr>
            <w:tcW w:w="180" w:type="dxa"/>
            <w:vAlign w:val="bottom"/>
          </w:tcPr>
          <w:p>
            <w:pPr>
              <w:spacing w:after="0"/>
              <w:rPr>
                <w:sz w:val="24"/>
                <w:szCs w:val="24"/>
                <w:color w:val="auto"/>
              </w:rPr>
            </w:pPr>
          </w:p>
        </w:tc>
        <w:tc>
          <w:tcPr>
            <w:tcW w:w="8480" w:type="dxa"/>
            <w:vAlign w:val="bottom"/>
            <w:tcBorders>
              <w:bottom w:val="single" w:sz="8" w:color="0000EE"/>
            </w:tcBorders>
            <w:gridSpan w:val="15"/>
          </w:tcPr>
          <w:p>
            <w:pPr>
              <w:spacing w:after="0"/>
              <w:rPr>
                <w:rFonts w:ascii="Arial" w:cs="Arial" w:eastAsia="Arial" w:hAnsi="Arial"/>
                <w:sz w:val="18"/>
                <w:szCs w:val="18"/>
                <w:color w:val="0000EE"/>
                <w:w w:val="91"/>
              </w:rPr>
            </w:pPr>
            <w:hyperlink r:id="rId229">
              <w:r>
                <w:rPr>
                  <w:rFonts w:ascii="Arial" w:cs="Arial" w:eastAsia="Arial" w:hAnsi="Arial"/>
                  <w:sz w:val="18"/>
                  <w:szCs w:val="18"/>
                  <w:color w:val="0000EE"/>
                  <w:w w:val="91"/>
                </w:rPr>
                <w:t>Operating Agreement dated November 20, 2017 among NetEase Youdao Information Technology (Beijing) Co., Ltd.,</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4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Youdao Computer System Co., Ltd. and Feng Zhou (incorporated by reference to Exhibit 4.55 to the company’s Annual</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25"/>
          </w:tcPr>
          <w:p>
            <w:pPr>
              <w:spacing w:after="0"/>
              <w:rPr>
                <w:rFonts w:ascii="Arial" w:cs="Arial" w:eastAsia="Arial" w:hAnsi="Arial"/>
                <w:sz w:val="18"/>
                <w:szCs w:val="18"/>
                <w:u w:val="single" w:color="auto"/>
                <w:color w:val="0000EE"/>
              </w:rPr>
            </w:pPr>
            <w:hyperlink r:id="rId229">
              <w:r>
                <w:rPr>
                  <w:rFonts w:ascii="Arial" w:cs="Arial" w:eastAsia="Arial" w:hAnsi="Arial"/>
                  <w:sz w:val="18"/>
                  <w:szCs w:val="18"/>
                  <w:u w:val="single" w:color="auto"/>
                  <w:color w:val="0000EE"/>
                </w:rPr>
                <w:t>Report on Form 20-F for the year ended December 31, 2017 filed with the SEC on April 20, 2018)</w:t>
              </w:r>
            </w:hyperlink>
          </w:p>
        </w:tc>
        <w:tc>
          <w:tcPr>
            <w:tcW w:w="0" w:type="dxa"/>
            <w:vAlign w:val="bottom"/>
          </w:tcPr>
          <w:p>
            <w:pPr>
              <w:spacing w:after="0"/>
              <w:rPr>
                <w:sz w:val="1"/>
                <w:szCs w:val="1"/>
                <w:color w:val="auto"/>
              </w:rPr>
            </w:pPr>
          </w:p>
        </w:tc>
      </w:tr>
      <w:tr>
        <w:trPr>
          <w:trHeight w:val="864"/>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tcPr>
          <w:p>
            <w:pPr>
              <w:ind w:left="3720"/>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gridSpan w:val="15"/>
            <w:vMerge w:val="restart"/>
          </w:tcPr>
          <w:p>
            <w:pPr>
              <w:ind w:left="250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20" w:type="dxa"/>
            <w:vAlign w:val="bottom"/>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4.49</w:t>
            </w:r>
          </w:p>
        </w:tc>
        <w:tc>
          <w:tcPr>
            <w:tcW w:w="180" w:type="dxa"/>
            <w:vAlign w:val="bottom"/>
          </w:tcPr>
          <w:p>
            <w:pPr>
              <w:spacing w:after="0"/>
              <w:rPr>
                <w:sz w:val="15"/>
                <w:szCs w:val="15"/>
                <w:color w:val="auto"/>
              </w:rPr>
            </w:pPr>
          </w:p>
        </w:tc>
        <w:tc>
          <w:tcPr>
            <w:tcW w:w="8820" w:type="dxa"/>
            <w:vAlign w:val="bottom"/>
            <w:tcBorders>
              <w:top w:val="single" w:sz="8" w:color="auto"/>
            </w:tcBorders>
            <w:gridSpan w:val="18"/>
          </w:tcPr>
          <w:p>
            <w:pPr>
              <w:spacing w:after="0" w:line="182" w:lineRule="exact"/>
              <w:rPr>
                <w:rFonts w:ascii="Arial" w:cs="Arial" w:eastAsia="Arial" w:hAnsi="Arial"/>
                <w:sz w:val="18"/>
                <w:szCs w:val="18"/>
                <w:color w:val="0000EE"/>
                <w:w w:val="94"/>
              </w:rPr>
            </w:pPr>
            <w:hyperlink r:id="rId230">
              <w:r>
                <w:rPr>
                  <w:rFonts w:ascii="Arial" w:cs="Arial" w:eastAsia="Arial" w:hAnsi="Arial"/>
                  <w:sz w:val="18"/>
                  <w:szCs w:val="18"/>
                  <w:u w:val="single" w:color="auto"/>
                  <w:color w:val="0000EE"/>
                  <w:w w:val="94"/>
                </w:rPr>
                <w:t>US$</w:t>
              </w:r>
              <w:r>
                <w:rPr>
                  <w:rFonts w:ascii="Arial" w:cs="Arial" w:eastAsia="Arial" w:hAnsi="Arial"/>
                  <w:sz w:val="18"/>
                  <w:szCs w:val="18"/>
                  <w:color w:val="0000EE"/>
                  <w:w w:val="94"/>
                </w:rPr>
                <w:t>500,000,000 Syndicated Facility Agreement between the Registrant and the parties thereto dated August 9, 2018</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20" w:type="dxa"/>
            <w:vAlign w:val="bottom"/>
            <w:tcBorders>
              <w:top w:val="single" w:sz="8" w:color="0000EE"/>
            </w:tcBorders>
            <w:gridSpan w:val="8"/>
          </w:tcPr>
          <w:p>
            <w:pPr>
              <w:spacing w:after="0" w:line="196" w:lineRule="exact"/>
              <w:rPr>
                <w:rFonts w:ascii="Arial" w:cs="Arial" w:eastAsia="Arial" w:hAnsi="Arial"/>
                <w:sz w:val="18"/>
                <w:szCs w:val="18"/>
                <w:color w:val="0000EE"/>
                <w:w w:val="98"/>
              </w:rPr>
            </w:pPr>
            <w:hyperlink r:id="rId230">
              <w:r>
                <w:rPr>
                  <w:rFonts w:ascii="Arial" w:cs="Arial" w:eastAsia="Arial" w:hAnsi="Arial"/>
                  <w:sz w:val="18"/>
                  <w:szCs w:val="18"/>
                  <w:color w:val="0000EE"/>
                  <w:w w:val="98"/>
                </w:rPr>
                <w:t>(incorporated by reference to Exhibit 4.56 to the company’s Annual Report on Form 20-F for the year ended</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December 31, 2018 filed with the SEC on April 26, 2019)</w:t>
              </w:r>
            </w:hyperlink>
          </w:p>
        </w:tc>
        <w:tc>
          <w:tcPr>
            <w:tcW w:w="10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w w:val="90"/>
              </w:rPr>
            </w:pPr>
            <w:hyperlink r:id="rId231">
              <w:r>
                <w:rPr>
                  <w:rFonts w:ascii="Arial" w:cs="Arial" w:eastAsia="Arial" w:hAnsi="Arial"/>
                  <w:sz w:val="18"/>
                  <w:szCs w:val="18"/>
                  <w:color w:val="0000EE"/>
                  <w:w w:val="90"/>
                </w:rPr>
                <w:t>Letter of Amendment between the Registrant and the Agent (as defined therein) dated September 21, 2018 relating to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231">
              <w:r>
                <w:rPr>
                  <w:rFonts w:ascii="Arial" w:cs="Arial" w:eastAsia="Arial" w:hAnsi="Arial"/>
                  <w:sz w:val="18"/>
                  <w:szCs w:val="18"/>
                  <w:u w:val="single" w:color="auto"/>
                  <w:color w:val="0000EE"/>
                  <w:w w:val="91"/>
                </w:rPr>
                <w:t>US$</w:t>
              </w:r>
              <w:r>
                <w:rPr>
                  <w:rFonts w:ascii="Arial" w:cs="Arial" w:eastAsia="Arial" w:hAnsi="Arial"/>
                  <w:sz w:val="18"/>
                  <w:szCs w:val="18"/>
                  <w:color w:val="0000EE"/>
                  <w:w w:val="91"/>
                </w:rPr>
                <w:t>500,000,000 Syndicated Facility Agreement dated August 9, 2018 (incorporated by reference to Exhibit 4.57 to the</w:t>
              </w:r>
            </w:hyperlink>
          </w:p>
        </w:tc>
        <w:tc>
          <w:tcPr>
            <w:tcW w:w="100" w:type="dxa"/>
            <w:vAlign w:val="bottom"/>
            <w:tcBorders>
              <w:top w:val="single" w:sz="8" w:color="0000EE"/>
            </w:tcBorders>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8"/>
          </w:tcPr>
          <w:p>
            <w:pPr>
              <w:spacing w:after="0"/>
              <w:rPr>
                <w:rFonts w:ascii="Arial" w:cs="Arial" w:eastAsia="Arial" w:hAnsi="Arial"/>
                <w:sz w:val="18"/>
                <w:szCs w:val="18"/>
                <w:u w:val="single" w:color="auto"/>
                <w:color w:val="0000EE"/>
                <w:w w:val="94"/>
              </w:rPr>
            </w:pPr>
            <w:hyperlink r:id="rId231">
              <w:r>
                <w:rPr>
                  <w:rFonts w:ascii="Arial" w:cs="Arial" w:eastAsia="Arial" w:hAnsi="Arial"/>
                  <w:sz w:val="18"/>
                  <w:szCs w:val="18"/>
                  <w:u w:val="single" w:color="auto"/>
                  <w:color w:val="0000EE"/>
                  <w:w w:val="94"/>
                </w:rPr>
                <w:t>company’s Annual Report on Form 20-F for the year ended December 31, 2018 filed with the SEC on April 26, 2019)</w:t>
              </w:r>
            </w:hyperlink>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4.51</w:t>
            </w:r>
          </w:p>
        </w:tc>
        <w:tc>
          <w:tcPr>
            <w:tcW w:w="180" w:type="dxa"/>
            <w:vAlign w:val="bottom"/>
          </w:tcPr>
          <w:p>
            <w:pPr>
              <w:spacing w:after="0"/>
              <w:rPr>
                <w:sz w:val="24"/>
                <w:szCs w:val="24"/>
                <w:color w:val="auto"/>
              </w:rPr>
            </w:pPr>
          </w:p>
        </w:tc>
        <w:tc>
          <w:tcPr>
            <w:tcW w:w="8520" w:type="dxa"/>
            <w:vAlign w:val="bottom"/>
            <w:tcBorders>
              <w:bottom w:val="single" w:sz="8" w:color="0000EE"/>
            </w:tcBorders>
            <w:gridSpan w:val="11"/>
          </w:tcPr>
          <w:p>
            <w:pPr>
              <w:spacing w:after="0"/>
              <w:rPr>
                <w:rFonts w:ascii="Arial" w:cs="Arial" w:eastAsia="Arial" w:hAnsi="Arial"/>
                <w:sz w:val="18"/>
                <w:szCs w:val="18"/>
                <w:color w:val="0000EE"/>
                <w:w w:val="90"/>
              </w:rPr>
            </w:pPr>
            <w:hyperlink r:id="rId232">
              <w:r>
                <w:rPr>
                  <w:rFonts w:ascii="Arial" w:cs="Arial" w:eastAsia="Arial" w:hAnsi="Arial"/>
                  <w:sz w:val="18"/>
                  <w:szCs w:val="18"/>
                  <w:color w:val="0000EE"/>
                  <w:w w:val="90"/>
                </w:rPr>
                <w:t>Supplementary Agreement of Assignment among NetEase (Hangzhou) Network Co., Ltd., Hangzhou NetEase Leihuo</w:t>
              </w:r>
            </w:hyperlink>
          </w:p>
        </w:tc>
        <w:tc>
          <w:tcPr>
            <w:tcW w:w="3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w w:val="97"/>
              </w:rPr>
            </w:pPr>
            <w:hyperlink r:id="rId232">
              <w:r>
                <w:rPr>
                  <w:rFonts w:ascii="Arial" w:cs="Arial" w:eastAsia="Arial" w:hAnsi="Arial"/>
                  <w:sz w:val="18"/>
                  <w:szCs w:val="18"/>
                  <w:color w:val="0000EE"/>
                  <w:w w:val="97"/>
                </w:rPr>
                <w:t>Technology Co., Ltd., Zhipeng Hu, Tianlei Hu and Long Cheng dated April 18, 2019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40" w:type="dxa"/>
            <w:vAlign w:val="bottom"/>
            <w:tcBorders>
              <w:right w:val="single" w:sz="8" w:color="0000EE"/>
            </w:tcBorders>
            <w:gridSpan w:val="2"/>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7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32">
              <w:r>
                <w:rPr>
                  <w:rFonts w:ascii="Arial" w:cs="Arial" w:eastAsia="Arial" w:hAnsi="Arial"/>
                  <w:sz w:val="18"/>
                  <w:szCs w:val="18"/>
                  <w:color w:val="0000EE"/>
                  <w:w w:val="91"/>
                </w:rPr>
                <w:t>Exhibit 4.58 to the company’s Annual Report on Form 20-F for the year ended December 31, 2018 filed with the SEC on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Borders>
              <w:bottom w:val="single" w:sz="8" w:color="0000EE"/>
            </w:tcBorders>
          </w:tcPr>
          <w:p>
            <w:pPr>
              <w:spacing w:after="0" w:line="196" w:lineRule="exact"/>
              <w:rPr>
                <w:rFonts w:ascii="Arial" w:cs="Arial" w:eastAsia="Arial" w:hAnsi="Arial"/>
                <w:sz w:val="18"/>
                <w:szCs w:val="18"/>
                <w:color w:val="0000EE"/>
                <w:w w:val="93"/>
              </w:rPr>
            </w:pPr>
            <w:hyperlink r:id="rId232">
              <w:r>
                <w:rPr>
                  <w:rFonts w:ascii="Arial" w:cs="Arial" w:eastAsia="Arial" w:hAnsi="Arial"/>
                  <w:sz w:val="18"/>
                  <w:szCs w:val="18"/>
                  <w:color w:val="0000EE"/>
                  <w:w w:val="93"/>
                </w:rPr>
                <w:t>April 26, 2019)</w:t>
              </w:r>
            </w:hyperlink>
          </w:p>
        </w:tc>
        <w:tc>
          <w:tcPr>
            <w:tcW w:w="77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4.52*</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Master Transaction Agreement dated September 27, 2019 between NetEase, Inc. and Youdao, Inc.</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4.53*</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Transitional Services Agreement dated September 27, 2019 between NetEase, Inc. and Youdao, Inc.</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rPr>
            </w:pPr>
            <w:hyperlink w:anchor="page255">
              <w:r>
                <w:rPr>
                  <w:rFonts w:ascii="Arial" w:cs="Arial" w:eastAsia="Arial" w:hAnsi="Arial"/>
                  <w:sz w:val="18"/>
                  <w:szCs w:val="18"/>
                  <w:u w:val="single" w:color="auto"/>
                  <w:color w:val="0000EE"/>
                </w:rPr>
                <w:t>Non-Competition Agreement dated September 27, 2019 between NetEase, Inc. and Youdao, Inc</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268">
              <w:r>
                <w:rPr>
                  <w:rFonts w:ascii="Arial" w:cs="Arial" w:eastAsia="Arial" w:hAnsi="Arial"/>
                  <w:sz w:val="18"/>
                  <w:szCs w:val="18"/>
                  <w:u w:val="single" w:color="auto"/>
                  <w:color w:val="0000EE"/>
                </w:rPr>
                <w:t>Cooperation Framework Agreement dated September 27, 2019 between NetEase, Inc. and Youdao, Inc.</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Intellectual Property License Agreement dated September 27, 2019 between NetEase, Inc. and Youdao, Inc.</w:t>
              </w:r>
            </w:hyperlink>
          </w:p>
        </w:tc>
        <w:tc>
          <w:tcPr>
            <w:tcW w:w="0" w:type="dxa"/>
            <w:vAlign w:val="bottom"/>
          </w:tcPr>
          <w:p>
            <w:pPr>
              <w:spacing w:after="0"/>
              <w:rPr>
                <w:sz w:val="1"/>
                <w:szCs w:val="1"/>
                <w:color w:val="auto"/>
              </w:rPr>
            </w:pPr>
          </w:p>
        </w:tc>
      </w:tr>
      <w:tr>
        <w:trPr>
          <w:trHeight w:val="392"/>
        </w:trPr>
        <w:tc>
          <w:tcPr>
            <w:tcW w:w="920" w:type="dxa"/>
            <w:vAlign w:val="bottom"/>
            <w:gridSpan w:val="2"/>
          </w:tcPr>
          <w:p>
            <w:pPr>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w w:val="90"/>
              </w:rPr>
            </w:pPr>
            <w:hyperlink w:anchor="page296">
              <w:r>
                <w:rPr>
                  <w:rFonts w:ascii="Arial" w:cs="Arial" w:eastAsia="Arial" w:hAnsi="Arial"/>
                  <w:sz w:val="18"/>
                  <w:szCs w:val="18"/>
                  <w:color w:val="0000EE"/>
                  <w:w w:val="90"/>
                </w:rPr>
                <w:t>Share Purchase Agreement dated September 6, 2019 among Taobao Holding Limited, HQG, Inc., NetEase E-Commerce,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96">
              <w:r>
                <w:rPr>
                  <w:rFonts w:ascii="Arial" w:cs="Arial" w:eastAsia="Arial" w:hAnsi="Arial"/>
                  <w:sz w:val="18"/>
                  <w:szCs w:val="18"/>
                  <w:color w:val="0000EE"/>
                  <w:w w:val="89"/>
                </w:rPr>
                <w:t>Inc. and NetEase, Inc.</w:t>
              </w:r>
            </w:hyperlink>
          </w:p>
        </w:tc>
        <w:tc>
          <w:tcPr>
            <w:tcW w:w="7120" w:type="dxa"/>
            <w:vAlign w:val="bottom"/>
            <w:tcBorders>
              <w:top w:val="single" w:sz="8" w:color="0000EE"/>
            </w:tcBorders>
            <w:gridSpan w:val="13"/>
          </w:tcPr>
          <w:p>
            <w:pPr>
              <w:spacing w:after="0"/>
              <w:rPr>
                <w:sz w:val="17"/>
                <w:szCs w:val="17"/>
                <w:color w:val="auto"/>
              </w:rPr>
            </w:pP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24"/>
                <w:szCs w:val="24"/>
                <w:color w:val="auto"/>
              </w:rPr>
            </w:pPr>
          </w:p>
        </w:tc>
        <w:tc>
          <w:tcPr>
            <w:tcW w:w="8500" w:type="dxa"/>
            <w:vAlign w:val="bottom"/>
            <w:tcBorders>
              <w:bottom w:val="single" w:sz="8" w:color="0000EE"/>
            </w:tcBorders>
            <w:gridSpan w:val="10"/>
          </w:tcPr>
          <w:p>
            <w:pPr>
              <w:spacing w:after="0"/>
              <w:rPr>
                <w:rFonts w:ascii="Arial" w:cs="Arial" w:eastAsia="Arial" w:hAnsi="Arial"/>
                <w:sz w:val="18"/>
                <w:szCs w:val="18"/>
                <w:color w:val="0000EE"/>
                <w:w w:val="90"/>
              </w:rPr>
            </w:pPr>
            <w:hyperlink r:id="rId233">
              <w:r>
                <w:rPr>
                  <w:rFonts w:ascii="Arial" w:cs="Arial" w:eastAsia="Arial" w:hAnsi="Arial"/>
                  <w:sz w:val="18"/>
                  <w:szCs w:val="18"/>
                  <w:color w:val="0000EE"/>
                  <w:w w:val="90"/>
                </w:rPr>
                <w:t>2019 Restricted Share Unit Plan (incorporated by reference to Exhibit 4.7 to the company’s Registration Statement on</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r:id="rId233">
              <w:r>
                <w:rPr>
                  <w:rFonts w:ascii="Arial" w:cs="Arial" w:eastAsia="Arial" w:hAnsi="Arial"/>
                  <w:sz w:val="18"/>
                  <w:szCs w:val="18"/>
                  <w:color w:val="0000EE"/>
                </w:rPr>
                <w:t>Form S-8 (file no. 333-234189) filed with the SEC on October 15, 2019)</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840" w:type="dxa"/>
            <w:vAlign w:val="bottom"/>
            <w:tcBorders>
              <w:right w:val="single" w:sz="8" w:color="0000EE"/>
            </w:tcBorders>
            <w:gridSpan w:val="3"/>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402">
              <w:r>
                <w:rPr>
                  <w:rFonts w:ascii="Arial" w:cs="Arial" w:eastAsia="Arial" w:hAnsi="Arial"/>
                  <w:sz w:val="18"/>
                  <w:szCs w:val="18"/>
                  <w:u w:val="single" w:color="auto"/>
                  <w:color w:val="0000EE"/>
                </w:rPr>
                <w:t>List of Significant Subsidiaries and Variable Interest Entities of NetEase, Inc.</w:t>
              </w:r>
            </w:hyperlink>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Arial" w:cs="Arial" w:eastAsia="Arial" w:hAnsi="Arial"/>
                <w:sz w:val="18"/>
                <w:szCs w:val="18"/>
                <w:color w:val="0000EE"/>
                <w:w w:val="91"/>
              </w:rPr>
            </w:pPr>
            <w:hyperlink r:id="rId234">
              <w:r>
                <w:rPr>
                  <w:rFonts w:ascii="Arial" w:cs="Arial" w:eastAsia="Arial" w:hAnsi="Arial"/>
                  <w:sz w:val="18"/>
                  <w:szCs w:val="18"/>
                  <w:color w:val="0000EE"/>
                  <w:w w:val="91"/>
                </w:rPr>
                <w:t>Code of Business Conduct (incorporated by reference to Exhibit 11.1 to the company’s Annual Report on Form 20-F for</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20" w:type="dxa"/>
            <w:vAlign w:val="bottom"/>
            <w:gridSpan w:val="18"/>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the year ended December 31, 2006 filed with the SEC on June 26, 2007)</w:t>
              </w:r>
            </w:hyperlink>
          </w:p>
        </w:tc>
        <w:tc>
          <w:tcPr>
            <w:tcW w:w="0" w:type="dxa"/>
            <w:vAlign w:val="bottom"/>
          </w:tcPr>
          <w:p>
            <w:pPr>
              <w:spacing w:after="0"/>
              <w:rPr>
                <w:sz w:val="1"/>
                <w:szCs w:val="1"/>
                <w:color w:val="auto"/>
              </w:rPr>
            </w:pPr>
          </w:p>
        </w:tc>
      </w:tr>
      <w:tr>
        <w:trPr>
          <w:trHeight w:val="453"/>
        </w:trPr>
        <w:tc>
          <w:tcPr>
            <w:tcW w:w="920" w:type="dxa"/>
            <w:vAlign w:val="bottom"/>
            <w:gridSpan w:val="2"/>
          </w:tcPr>
          <w:p>
            <w:pPr>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4"/>
                <w:szCs w:val="24"/>
                <w:color w:val="auto"/>
              </w:rPr>
            </w:pPr>
          </w:p>
        </w:tc>
        <w:tc>
          <w:tcPr>
            <w:tcW w:w="5240" w:type="dxa"/>
            <w:vAlign w:val="bottom"/>
            <w:tcBorders>
              <w:top w:val="single" w:sz="8" w:color="0000EE"/>
            </w:tcBorders>
            <w:gridSpan w:val="5"/>
          </w:tcPr>
          <w:p>
            <w:pPr>
              <w:spacing w:after="0"/>
              <w:rPr>
                <w:rFonts w:ascii="Arial" w:cs="Arial" w:eastAsia="Arial" w:hAnsi="Arial"/>
                <w:sz w:val="18"/>
                <w:szCs w:val="18"/>
                <w:u w:val="single" w:color="auto"/>
                <w:color w:val="0000EE"/>
                <w:w w:val="98"/>
              </w:rPr>
            </w:pPr>
            <w:hyperlink w:anchor="page403">
              <w:r>
                <w:rPr>
                  <w:rFonts w:ascii="Arial" w:cs="Arial" w:eastAsia="Arial" w:hAnsi="Arial"/>
                  <w:sz w:val="18"/>
                  <w:szCs w:val="18"/>
                  <w:u w:val="single" w:color="auto"/>
                  <w:color w:val="0000EE"/>
                  <w:w w:val="98"/>
                </w:rPr>
                <w:t>Certification of Chief Executive Officer Required by Rule 13a-14(a)</w:t>
              </w:r>
            </w:hyperlink>
          </w:p>
        </w:tc>
        <w:tc>
          <w:tcPr>
            <w:tcW w:w="3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404">
              <w:r>
                <w:rPr>
                  <w:rFonts w:ascii="Arial" w:cs="Arial" w:eastAsia="Arial" w:hAnsi="Arial"/>
                  <w:sz w:val="18"/>
                  <w:szCs w:val="18"/>
                  <w:u w:val="single" w:color="auto"/>
                  <w:color w:val="0000EE"/>
                </w:rPr>
                <w:t>Certification of Chief Financial Officer Required by Rule 13a-14(a)</w:t>
              </w:r>
            </w:hyperlink>
          </w:p>
        </w:tc>
        <w:tc>
          <w:tcPr>
            <w:tcW w:w="0" w:type="dxa"/>
            <w:vAlign w:val="bottom"/>
          </w:tcPr>
          <w:p>
            <w:pPr>
              <w:spacing w:after="0"/>
              <w:rPr>
                <w:sz w:val="1"/>
                <w:szCs w:val="1"/>
                <w:color w:val="auto"/>
              </w:rPr>
            </w:pPr>
          </w:p>
        </w:tc>
      </w:tr>
      <w:tr>
        <w:trPr>
          <w:trHeight w:val="391"/>
        </w:trPr>
        <w:tc>
          <w:tcPr>
            <w:tcW w:w="920" w:type="dxa"/>
            <w:vAlign w:val="bottom"/>
            <w:gridSpan w:val="2"/>
          </w:tcPr>
          <w:p>
            <w:pPr>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4"/>
                <w:szCs w:val="24"/>
                <w:color w:val="auto"/>
              </w:rPr>
            </w:pPr>
          </w:p>
        </w:tc>
        <w:tc>
          <w:tcPr>
            <w:tcW w:w="854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405">
              <w:r>
                <w:rPr>
                  <w:rFonts w:ascii="Arial" w:cs="Arial" w:eastAsia="Arial" w:hAnsi="Arial"/>
                  <w:sz w:val="18"/>
                  <w:szCs w:val="18"/>
                  <w:color w:val="0000EE"/>
                  <w:w w:val="92"/>
                </w:rPr>
                <w:t>Certification of Chief Executive Officer Required by Rule 13a-14(b) and Section 1350 of Chapter 63 of Title 18 of the</w:t>
              </w:r>
            </w:hyperlink>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05">
              <w:r>
                <w:rPr>
                  <w:rFonts w:ascii="Arial" w:cs="Arial" w:eastAsia="Arial" w:hAnsi="Arial"/>
                  <w:sz w:val="18"/>
                  <w:szCs w:val="18"/>
                  <w:color w:val="0000EE"/>
                  <w:w w:val="88"/>
                </w:rPr>
                <w:t>United States Code</w:t>
              </w:r>
            </w:hyperlink>
          </w:p>
        </w:tc>
        <w:tc>
          <w:tcPr>
            <w:tcW w:w="7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color w:val="0000EE"/>
                <w:w w:val="95"/>
              </w:rPr>
            </w:pPr>
            <w:hyperlink w:anchor="page406">
              <w:r>
                <w:rPr>
                  <w:rFonts w:ascii="Arial" w:cs="Arial" w:eastAsia="Arial" w:hAnsi="Arial"/>
                  <w:sz w:val="18"/>
                  <w:szCs w:val="18"/>
                  <w:color w:val="0000EE"/>
                  <w:w w:val="95"/>
                </w:rPr>
                <w:t>Certification of Chief Financial Officer Required by Rule 13a-14(b) and Section 1350 of Chapter 63 of Title 18 of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406">
              <w:r>
                <w:rPr>
                  <w:rFonts w:ascii="Arial" w:cs="Arial" w:eastAsia="Arial" w:hAnsi="Arial"/>
                  <w:sz w:val="18"/>
                  <w:szCs w:val="18"/>
                  <w:color w:val="0000EE"/>
                  <w:w w:val="88"/>
                </w:rPr>
                <w:t>United States Code</w:t>
              </w:r>
            </w:hyperlink>
          </w:p>
        </w:tc>
        <w:tc>
          <w:tcPr>
            <w:tcW w:w="7080" w:type="dxa"/>
            <w:vAlign w:val="bottom"/>
            <w:tcBorders>
              <w:top w:val="single" w:sz="8" w:color="0000EE"/>
            </w:tcBorders>
            <w:gridSpan w:val="7"/>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4"/>
                <w:szCs w:val="24"/>
                <w:color w:val="auto"/>
              </w:rPr>
            </w:pPr>
          </w:p>
        </w:tc>
        <w:tc>
          <w:tcPr>
            <w:tcW w:w="8660" w:type="dxa"/>
            <w:vAlign w:val="bottom"/>
            <w:tcBorders>
              <w:bottom w:val="single" w:sz="8" w:color="0000EE"/>
            </w:tcBorders>
            <w:gridSpan w:val="14"/>
          </w:tcPr>
          <w:p>
            <w:pPr>
              <w:spacing w:after="0"/>
              <w:rPr>
                <w:rFonts w:ascii="Arial" w:cs="Arial" w:eastAsia="Arial" w:hAnsi="Arial"/>
                <w:sz w:val="18"/>
                <w:szCs w:val="18"/>
                <w:color w:val="0000EE"/>
                <w:w w:val="91"/>
              </w:rPr>
            </w:pPr>
            <w:hyperlink r:id="rId235">
              <w:r>
                <w:rPr>
                  <w:rFonts w:ascii="Arial" w:cs="Arial" w:eastAsia="Arial" w:hAnsi="Arial"/>
                  <w:sz w:val="18"/>
                  <w:szCs w:val="18"/>
                  <w:color w:val="0000EE"/>
                  <w:w w:val="91"/>
                </w:rPr>
                <w:t>Charter of Audit Committee of the Board of Directors of the Registrant (incorporated by reference to Exhibit 15.1 to the</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gridSpan w:val="18"/>
          </w:tcPr>
          <w:p>
            <w:pPr>
              <w:spacing w:after="0"/>
              <w:rPr>
                <w:rFonts w:ascii="Arial" w:cs="Arial" w:eastAsia="Arial" w:hAnsi="Arial"/>
                <w:sz w:val="18"/>
                <w:szCs w:val="18"/>
                <w:u w:val="single" w:color="auto"/>
                <w:color w:val="0000EE"/>
                <w:w w:val="94"/>
              </w:rPr>
            </w:pPr>
            <w:hyperlink r:id="rId235">
              <w:r>
                <w:rPr>
                  <w:rFonts w:ascii="Arial" w:cs="Arial" w:eastAsia="Arial" w:hAnsi="Arial"/>
                  <w:sz w:val="18"/>
                  <w:szCs w:val="18"/>
                  <w:u w:val="single" w:color="auto"/>
                  <w:color w:val="0000EE"/>
                  <w:w w:val="94"/>
                </w:rPr>
                <w:t>company’s Annual Report on Form 20-F for the year ended December 31, 2014 filed with the SEC on April 24, 2015)</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407">
              <w:r>
                <w:rPr>
                  <w:rFonts w:ascii="Arial" w:cs="Arial" w:eastAsia="Arial" w:hAnsi="Arial"/>
                  <w:sz w:val="18"/>
                  <w:szCs w:val="18"/>
                  <w:u w:val="single" w:color="auto"/>
                  <w:color w:val="0000EE"/>
                </w:rPr>
                <w:t>Consent of PricewaterhouseCoopers Zhong Tian LLP, Independent Registered Public Accounting Firm</w:t>
              </w:r>
            </w:hyperlink>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24"/>
                <w:szCs w:val="24"/>
                <w:color w:val="auto"/>
              </w:rPr>
            </w:pPr>
          </w:p>
        </w:tc>
        <w:tc>
          <w:tcPr>
            <w:tcW w:w="8820" w:type="dxa"/>
            <w:vAlign w:val="bottom"/>
            <w:gridSpan w:val="18"/>
          </w:tcPr>
          <w:p>
            <w:pPr>
              <w:spacing w:after="0"/>
              <w:rPr>
                <w:rFonts w:ascii="Arial" w:cs="Arial" w:eastAsia="Arial" w:hAnsi="Arial"/>
                <w:sz w:val="18"/>
                <w:szCs w:val="18"/>
                <w:u w:val="single" w:color="auto"/>
                <w:color w:val="0000EE"/>
              </w:rPr>
            </w:pPr>
            <w:hyperlink w:anchor="page408">
              <w:r>
                <w:rPr>
                  <w:rFonts w:ascii="Arial" w:cs="Arial" w:eastAsia="Arial" w:hAnsi="Arial"/>
                  <w:sz w:val="18"/>
                  <w:szCs w:val="18"/>
                  <w:u w:val="single" w:color="auto"/>
                  <w:color w:val="0000EE"/>
                </w:rPr>
                <w:t>Consent of Maples and Calder (Hong Kong) LLP</w:t>
              </w:r>
            </w:hyperlink>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80" w:type="dxa"/>
            <w:vAlign w:val="bottom"/>
            <w:gridSpan w:val="4"/>
          </w:tcPr>
          <w:p>
            <w:pPr>
              <w:ind w:left="3720"/>
              <w:spacing w:after="0"/>
              <w:rPr>
                <w:sz w:val="20"/>
                <w:szCs w:val="20"/>
                <w:color w:val="auto"/>
              </w:rPr>
            </w:pPr>
            <w:r>
              <w:rPr>
                <w:rFonts w:ascii="Arial" w:cs="Arial" w:eastAsia="Arial" w:hAnsi="Arial"/>
                <w:sz w:val="18"/>
                <w:szCs w:val="18"/>
                <w:color w:val="auto"/>
              </w:rPr>
              <w:t>138</w:t>
            </w:r>
          </w:p>
        </w:tc>
        <w:tc>
          <w:tcPr>
            <w:tcW w:w="1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820" w:type="dxa"/>
            <w:vAlign w:val="bottom"/>
            <w:vMerge w:val="restart"/>
          </w:tcPr>
          <w:p>
            <w:pPr>
              <w:ind w:left="4100"/>
              <w:spacing w:after="0"/>
              <w:rPr>
                <w:sz w:val="20"/>
                <w:szCs w:val="20"/>
                <w:color w:val="auto"/>
              </w:rPr>
            </w:pPr>
            <w:r>
              <w:rPr>
                <w:rFonts w:ascii="Arial" w:cs="Arial" w:eastAsia="Arial" w:hAnsi="Arial"/>
                <w:sz w:val="14"/>
                <w:szCs w:val="14"/>
                <w:b w:val="1"/>
                <w:bCs w:val="1"/>
                <w:color w:val="auto"/>
              </w:rPr>
              <w:t>Document</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4"/>
                <w:szCs w:val="24"/>
                <w:color w:val="auto"/>
              </w:rPr>
            </w:pPr>
          </w:p>
        </w:tc>
        <w:tc>
          <w:tcPr>
            <w:tcW w:w="8820" w:type="dxa"/>
            <w:vAlign w:val="bottom"/>
            <w:tcBorders>
              <w:top w:val="single" w:sz="8" w:color="auto"/>
            </w:tcBorders>
          </w:tcPr>
          <w:p>
            <w:pPr>
              <w:spacing w:after="0"/>
              <w:rPr>
                <w:rFonts w:ascii="Arial" w:cs="Arial" w:eastAsia="Arial" w:hAnsi="Arial"/>
                <w:sz w:val="18"/>
                <w:szCs w:val="18"/>
                <w:u w:val="single" w:color="auto"/>
                <w:color w:val="0000EE"/>
              </w:rPr>
            </w:pPr>
            <w:hyperlink w:anchor="page409">
              <w:r>
                <w:rPr>
                  <w:rFonts w:ascii="Arial" w:cs="Arial" w:eastAsia="Arial" w:hAnsi="Arial"/>
                  <w:sz w:val="18"/>
                  <w:szCs w:val="18"/>
                  <w:u w:val="single" w:color="auto"/>
                  <w:color w:val="0000EE"/>
                </w:rPr>
                <w:t>Consent of Jun He Law Offices</w:t>
              </w:r>
            </w:hyperlink>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88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8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8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8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82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32"/>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8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68580</wp:posOffset>
            </wp:positionV>
            <wp:extent cx="156845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*Filed with this annual report on Form 20-F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NETEASE, INC.</w:t>
      </w:r>
    </w:p>
    <w:p>
      <w:pPr>
        <w:spacing w:after="0" w:line="229" w:lineRule="exact"/>
        <w:rPr>
          <w:sz w:val="20"/>
          <w:szCs w:val="20"/>
          <w:color w:val="auto"/>
        </w:rPr>
      </w:pPr>
    </w:p>
    <w:p>
      <w:pPr>
        <w:ind w:left="50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785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William Lei Ding</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Date: April 29,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0"/>
        </w:trPr>
        <w:tc>
          <w:tcPr>
            <w:tcW w:w="924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tc>
        <w:tc>
          <w:tcPr>
            <w:tcW w:w="680" w:type="dxa"/>
            <w:vAlign w:val="bottom"/>
          </w:tcPr>
          <w:p>
            <w:pPr>
              <w:spacing w:after="0"/>
              <w:rPr>
                <w:sz w:val="20"/>
                <w:szCs w:val="20"/>
                <w:color w:val="auto"/>
              </w:rPr>
            </w:pPr>
          </w:p>
        </w:tc>
      </w:tr>
      <w:tr>
        <w:trPr>
          <w:trHeight w:val="797"/>
        </w:trPr>
        <w:tc>
          <w:tcPr>
            <w:tcW w:w="9240" w:type="dxa"/>
            <w:vAlign w:val="bottom"/>
          </w:tcPr>
          <w:p>
            <w:pPr>
              <w:spacing w:after="0"/>
              <w:rPr>
                <w:sz w:val="20"/>
                <w:szCs w:val="20"/>
                <w:color w:val="auto"/>
              </w:rPr>
            </w:pPr>
            <w:r>
              <w:rPr>
                <w:rFonts w:ascii="Arial" w:cs="Arial" w:eastAsia="Arial" w:hAnsi="Arial"/>
                <w:sz w:val="18"/>
                <w:szCs w:val="18"/>
                <w:b w:val="1"/>
                <w:bCs w:val="1"/>
                <w:color w:val="auto"/>
              </w:rPr>
              <w:t>NETEASE, INC.</w:t>
            </w:r>
          </w:p>
        </w:tc>
        <w:tc>
          <w:tcPr>
            <w:tcW w:w="680" w:type="dxa"/>
            <w:vAlign w:val="bottom"/>
          </w:tcPr>
          <w:p>
            <w:pPr>
              <w:spacing w:after="0"/>
              <w:rPr>
                <w:sz w:val="24"/>
                <w:szCs w:val="24"/>
                <w:color w:val="auto"/>
              </w:rPr>
            </w:pPr>
          </w:p>
        </w:tc>
      </w:tr>
      <w:tr>
        <w:trPr>
          <w:trHeight w:val="445"/>
        </w:trPr>
        <w:tc>
          <w:tcPr>
            <w:tcW w:w="924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Management’s report on internal control over financial reporting</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F-1</w:t>
            </w:r>
          </w:p>
        </w:tc>
      </w:tr>
      <w:tr>
        <w:trPr>
          <w:trHeight w:val="432"/>
        </w:trPr>
        <w:tc>
          <w:tcPr>
            <w:tcW w:w="924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Report of independent registered public accounting firm</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F-2</w:t>
            </w:r>
          </w:p>
        </w:tc>
      </w:tr>
      <w:tr>
        <w:trPr>
          <w:trHeight w:val="432"/>
        </w:trPr>
        <w:tc>
          <w:tcPr>
            <w:tcW w:w="924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Consolidated balance sheets at December 31, 2018 and 2019</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F-5</w:t>
            </w:r>
          </w:p>
        </w:tc>
      </w:tr>
      <w:tr>
        <w:trPr>
          <w:trHeight w:val="432"/>
        </w:trPr>
        <w:tc>
          <w:tcPr>
            <w:tcW w:w="9240" w:type="dxa"/>
            <w:vAlign w:val="bottom"/>
          </w:tcPr>
          <w:p>
            <w:pPr>
              <w:spacing w:after="0"/>
              <w:rPr>
                <w:rFonts w:ascii="Arial" w:cs="Arial" w:eastAsia="Arial" w:hAnsi="Arial"/>
                <w:sz w:val="18"/>
                <w:szCs w:val="18"/>
                <w:u w:val="single" w:color="auto"/>
                <w:color w:val="0000EE"/>
                <w:w w:val="93"/>
              </w:rPr>
            </w:pPr>
            <w:hyperlink w:anchor="page150">
              <w:r>
                <w:rPr>
                  <w:rFonts w:ascii="Arial" w:cs="Arial" w:eastAsia="Arial" w:hAnsi="Arial"/>
                  <w:sz w:val="18"/>
                  <w:szCs w:val="18"/>
                  <w:u w:val="single" w:color="auto"/>
                  <w:color w:val="0000EE"/>
                  <w:w w:val="93"/>
                </w:rPr>
                <w:t>Consolidated statements of operations and comprehensive income for the years ended December 31, 2017, 2018 and 2019</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F-6</w:t>
            </w:r>
          </w:p>
        </w:tc>
      </w:tr>
      <w:tr>
        <w:trPr>
          <w:trHeight w:val="432"/>
        </w:trPr>
        <w:tc>
          <w:tcPr>
            <w:tcW w:w="924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Consolidated statements of shareholders’ equity for the years ended December 31, 2017, 2018 and 2019</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F-7</w:t>
            </w:r>
          </w:p>
        </w:tc>
      </w:tr>
      <w:tr>
        <w:trPr>
          <w:trHeight w:val="432"/>
        </w:trPr>
        <w:tc>
          <w:tcPr>
            <w:tcW w:w="9240" w:type="dxa"/>
            <w:vAlign w:val="bottom"/>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Consolidated statements of cash flows for the years ended December 31, 2017, 2018 and 2019</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F-8</w:t>
            </w:r>
          </w:p>
        </w:tc>
      </w:tr>
      <w:tr>
        <w:trPr>
          <w:trHeight w:val="432"/>
        </w:trPr>
        <w:tc>
          <w:tcPr>
            <w:tcW w:w="924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Notes to the consolidated financial statements</w:t>
              </w:r>
            </w:hyperlink>
          </w:p>
        </w:tc>
        <w:tc>
          <w:tcPr>
            <w:tcW w:w="680" w:type="dxa"/>
            <w:vAlign w:val="bottom"/>
          </w:tcPr>
          <w:p>
            <w:pPr>
              <w:ind w:left="420"/>
              <w:spacing w:after="0"/>
              <w:rPr>
                <w:sz w:val="20"/>
                <w:szCs w:val="20"/>
                <w:color w:val="auto"/>
              </w:rPr>
            </w:pPr>
            <w:r>
              <w:rPr>
                <w:rFonts w:ascii="Arial" w:cs="Arial" w:eastAsia="Arial" w:hAnsi="Arial"/>
                <w:sz w:val="18"/>
                <w:szCs w:val="18"/>
                <w:color w:val="auto"/>
                <w:w w:val="88"/>
              </w:rPr>
              <w:t>F-9</w:t>
            </w:r>
          </w:p>
        </w:tc>
      </w:tr>
      <w:tr>
        <w:trPr>
          <w:trHeight w:val="1006"/>
        </w:trPr>
        <w:tc>
          <w:tcPr>
            <w:tcW w:w="9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management of NetEase, Inc., or the Company, is responsible for establishing and maintaining adequate internal control over financial reporting as defined in Rule 13a-15(f) and 15d-15(f) promulgated under the Securities Exchange Act of 1934, as amended.</w:t>
      </w:r>
    </w:p>
    <w:p>
      <w:pPr>
        <w:spacing w:after="0" w:line="1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Company’s management, with the participation of the Company’s principal executive and principal financial officer, assessed the effectiveness of the Company’s internal control over financial reporting as of the end of the most recent fiscal year, December 31, 2019. In making this 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its assessment, management concluded that, as of the end of the Company’s most recent fiscal year, December 31, 2019, the Company’s internal control over financial reporting is effective based on those criteria.</w:t>
      </w:r>
    </w:p>
    <w:p>
      <w:pPr>
        <w:spacing w:after="0" w:line="19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PricewaterhouseCoopers Zhong Tian LLP, the Company’s independent registered public accounting firm, has audited the effectiveness of the Company’s internal control over financial reporting as of December 31, 2019,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NetEase,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NetEase, Inc. and its subsidiaries (the “Company”) as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December 31, 2019 and 2018, and the related consolidated statements of operations and comprehensive income, of shareholders’ equity and of cash flows for each of the three years in the period ended December 31, 2019, including the related notes (collectively referred to as the “consolidated financial statements”). We also have audited the Company’s internal control over financial reporting as of December 31, 2019 , based on criteria established in Internal Control - Integrated Framework (2013) issued by the Committee of Sponsoring Organizations of the Treadway Commission (COSO).</w:t>
      </w:r>
    </w:p>
    <w:p>
      <w:pPr>
        <w:spacing w:after="0" w:line="19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the COSO.</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on Page F-1 of this Annual Report on Form 20-F.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 of average playing period of paying players for recognition of in-game virtual items revenue</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described in Notes 2(c) and 26 to the consolidated financial statements, the Company recognized RMB 46.4 billion of revenues from online game services for the year ended December 31, 2019. Revenues of mobile game in-game virtual items and PC game permanent life in-game items are recognized ratably over the estimated average playing period of paying players. Management considered the average period that players typically play the games and other game player behavior patterns, as well as various other factors, to arrive at estimates for the estimated average playing period of the paying players for each game. Significant management assumptions applied to estimate the average playing period of paying players for recognition of mobile game in-game virtual items and PC game permanent life in-game items revenue include: (i) estimating future players’ churn rates based on historical players’ churn rates; and (ii) similarities between new games and existing games with sufficient historical data in terms of characteristics and playing patterns of paying players, such as targeted players and purchasing frequency.</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principal consideration for our determination that performing procedures relating to the estimates of average playing period of paying players for recognition of in-game virtual items revenue is a critical audit matter is that there are significant assumptions made by management in developing these estimates, which in turn led to a high degree of auditor judgment, and effort in performing procedures to evaluate the reasonableness of the significant assumptions used by management, including estimates of future players’ churn rates and estimates of the average playing period of paying players for new games.</w:t>
      </w:r>
    </w:p>
    <w:p>
      <w:pPr>
        <w:spacing w:after="0" w:line="17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key judgements, inputs and assumptions of the estimates of average playing period of paying players for recognition of in-game virtual items revenue. These procedures also included, among others, testing management’s process for developing the estimate of the average playing period of paying players; testing the completeness, accuracy and relevance of underlying data used in management’s development of the estimates; and evaluating significant assumptions used by management. Evaluating management’s assumptions involved (i) checking the mathematic formula used in calculating the historical players’ churn rate and estimated average playing period of paying players for recognition of mobile game in-game virtual items and PC game permanent life in-game items revenue; and (ii) assessing the reasonableness of the significant assumptions used by management including estimating future players’ churn rates based on historical players’ churn rates and similarities between new games and existing games with sufficient historical data in terms of characteristics and playing patterns of paying players, such as targeted players and purchasing frequency.</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assessment of equity method investments and long-term equity investments without readily determinable fair values</w:t>
      </w:r>
    </w:p>
    <w:p>
      <w:pPr>
        <w:spacing w:after="0" w:line="23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described in Notes 2(i) and 10 to the consolidated financial statements, the Company’s consolidated balance of investments in equity method investees and long-term equity investments without readily determinable fair values as at December 31, 2019 was RMB 1,137.8 million and RMB 4,604.5 million, respectively. Long-term equity investments without readily determinable fair value include ownership of stock or in-substance common stock issued by privately-held companies on which the Company does not have significant influence, and investments in privately-held companies’ shares that are not ordinary shares or in-substance ordinary shares. Management conducts impairment tests for investments in equity method investees and long-term equity investments without readily determinable fair values at each balance sheet date, or more frequently if events or circumstances indicate that the carrying amount may not be recoverable. For equity method investments, the Company considers if the investment is impaired when events or circumstances suggest the carrying amount may not be recoverable, and recognizes any impairment charge in the consolidated statement of comprehensive income for a decline in value that is determined to be other than temporary. For long-term equity investments without readily determinable fair values, the Company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 of comprehensive income to the extent the carrying amount exceeds the fair value. Significant judgements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judgements as to whether a decline in value of equity method investments was other than temporary.</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principal considerations for our determination that the impairment assessment of equity method investments and long-term equity investments without readily determinable fair values is a critical audit matter are (i) there was a high degree of auditor judgment and subjectivity involved in performing procedures relating to evaluating the reasonableness of significant judgements management applied in the impairment assessment; (ii) significant audit effort was necessary to perform procedures and evaluate evidence relating to significant assumptions management used to value the equity investments, such as selection of comparable companies and multiples, timing and probabilities of different scenarios, estimated volatility rate, risk-free rate and discount for lack of marketability; and (iii) the audit effort involved the use of professionals with specialized skill and knowledge to assist in performing these procedures and evaluating the audit evidence obtained from these procedures.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impairment assessment of equity method investments and long-term equity investments without readily determinable fair values. These procedures also included, among others, (i) testing management’s qualitative evaluation as to whether indicators of impairment existed by assessing the evidence considered by management, as well as other relevant market information; (ii) assessing the appropriateness of the valuation methodology by exercising professional judgements based on our knowledge of the industry and the investee; (iii) testing assumptions used in management’s valuation, including selection of comparable companies and multiples, timing and probabilities of different scenarios, estimated volatility rate, risk-free rate and discount for lack of marketability, by comparing certain assumptions to the applicable industry/business data external to the Company, and leveraging our industry knowledge and information from our independent research; and (iv) testing the accuracy of the mathematical calculation applied in the valuation models and the calculation of impairment charges. We involved professionals with specialized skill and knowledge to assist in assessing the valuation model, assumptions used in management’s valuation, including selection of comparable companies and multiples, estimated volatility rate and discount for lack of marketability, and testing of mathematical calculation in the valuation models.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December 31,</w:t>
            </w:r>
          </w:p>
        </w:tc>
        <w:tc>
          <w:tcPr>
            <w:tcW w:w="860" w:type="dxa"/>
            <w:vAlign w:val="bottom"/>
          </w:tcPr>
          <w:p>
            <w:pPr>
              <w:jc w:val="right"/>
              <w:ind w:right="66"/>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2018</w:t>
            </w:r>
          </w:p>
        </w:tc>
        <w:tc>
          <w:tcPr>
            <w:tcW w:w="200" w:type="dxa"/>
            <w:vAlign w:val="bottom"/>
          </w:tcPr>
          <w:p>
            <w:pPr>
              <w:spacing w:after="0"/>
              <w:rPr>
                <w:sz w:val="11"/>
                <w:szCs w:val="11"/>
                <w:color w:val="auto"/>
              </w:rPr>
            </w:pPr>
          </w:p>
        </w:tc>
        <w:tc>
          <w:tcPr>
            <w:tcW w:w="840" w:type="dxa"/>
            <w:vAlign w:val="bottom"/>
            <w:tcBorders>
              <w:bottom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840" w:type="dxa"/>
            <w:vAlign w:val="bottom"/>
          </w:tcPr>
          <w:p>
            <w:pPr>
              <w:jc w:val="right"/>
              <w:ind w:right="226"/>
              <w:spacing w:after="0" w:line="10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8"/>
                <w:szCs w:val="8"/>
                <w:color w:val="auto"/>
              </w:rPr>
            </w:pPr>
          </w:p>
        </w:tc>
        <w:tc>
          <w:tcPr>
            <w:tcW w:w="840" w:type="dxa"/>
            <w:vAlign w:val="bottom"/>
          </w:tcPr>
          <w:p>
            <w:pPr>
              <w:jc w:val="right"/>
              <w:ind w:right="226"/>
              <w:spacing w:after="0" w:line="102" w:lineRule="exact"/>
              <w:rPr>
                <w:sz w:val="20"/>
                <w:szCs w:val="20"/>
                <w:color w:val="auto"/>
              </w:rPr>
            </w:pPr>
            <w:r>
              <w:rPr>
                <w:rFonts w:ascii="Arial" w:cs="Arial" w:eastAsia="Arial" w:hAnsi="Arial"/>
                <w:sz w:val="11"/>
                <w:szCs w:val="11"/>
                <w:b w:val="1"/>
                <w:bCs w:val="1"/>
                <w:color w:val="auto"/>
              </w:rPr>
              <w:t>RMB</w:t>
            </w:r>
          </w:p>
        </w:tc>
        <w:tc>
          <w:tcPr>
            <w:tcW w:w="200" w:type="dxa"/>
            <w:vAlign w:val="bottom"/>
          </w:tcPr>
          <w:p>
            <w:pPr>
              <w:spacing w:after="0"/>
              <w:rPr>
                <w:sz w:val="8"/>
                <w:szCs w:val="8"/>
                <w:color w:val="auto"/>
              </w:rPr>
            </w:pPr>
          </w:p>
        </w:tc>
        <w:tc>
          <w:tcPr>
            <w:tcW w:w="8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3"/>
              </w:rPr>
              <w:t>US$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Arial" w:cs="Arial" w:eastAsia="Arial" w:hAnsi="Arial"/>
                <w:sz w:val="11"/>
                <w:szCs w:val="11"/>
                <w:b w:val="1"/>
                <w:bCs w:val="1"/>
                <w:color w:val="auto"/>
                <w:w w:val="88"/>
              </w:rPr>
              <w:t>Note 2(o)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Assets</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line="122" w:lineRule="exact"/>
              <w:rPr>
                <w:sz w:val="20"/>
                <w:szCs w:val="20"/>
                <w:color w:val="auto"/>
              </w:rPr>
            </w:pPr>
            <w:r>
              <w:rPr>
                <w:rFonts w:ascii="Arial" w:cs="Arial" w:eastAsia="Arial" w:hAnsi="Arial"/>
                <w:sz w:val="11"/>
                <w:szCs w:val="11"/>
                <w:color w:val="auto"/>
              </w:rPr>
              <w:t>Current assets:</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Cash and cash equivalents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4,977,432</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3,246,373</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466,312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Time deposits</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32,900,287</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53,487,075</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7,682,937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Restricted cash</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4,692,050</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3,150,354</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452,520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Accounts receivable, net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4,002,487</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4,169,358</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598,891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Inventories, net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1,065,615</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650,557</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93,447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Prepayments and other current assets</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3,925,205</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4,817,422</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691,979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Short-term investments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11,674,775</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15,312,595</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2,199,517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Assets held for sale</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5,477,869</w:t>
            </w:r>
          </w:p>
        </w:tc>
        <w:tc>
          <w:tcPr>
            <w:tcW w:w="2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271,278</w:t>
            </w:r>
          </w:p>
        </w:tc>
        <w:tc>
          <w:tcPr>
            <w:tcW w:w="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38,967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shd w:val="clear" w:color="auto" w:fill="CCEEFF"/>
          </w:tcPr>
          <w:p>
            <w:pPr>
              <w:ind w:left="200"/>
              <w:spacing w:after="0" w:line="115" w:lineRule="exact"/>
              <w:rPr>
                <w:sz w:val="20"/>
                <w:szCs w:val="20"/>
                <w:color w:val="auto"/>
              </w:rPr>
            </w:pPr>
            <w:r>
              <w:rPr>
                <w:rFonts w:ascii="Arial" w:cs="Arial" w:eastAsia="Arial" w:hAnsi="Arial"/>
                <w:sz w:val="11"/>
                <w:szCs w:val="11"/>
                <w:color w:val="auto"/>
              </w:rPr>
              <w:t>Total current assets</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68,715,720</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85,105,012</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12,224,570</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Non-current assets:</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Property, equipment and software, net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4,672,079</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4,621,712</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663,867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Land use rights, net</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3,271,512</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3,707,179</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532,503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Operating lease right-of-use assets, net</w:t>
            </w:r>
          </w:p>
        </w:tc>
        <w:tc>
          <w:tcPr>
            <w:tcW w:w="10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463,688</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66,605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Deferred tax assets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1,064,295</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903,904</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129,838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Time deposits</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100,000</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2,360,000</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338,993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Long-term investments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5,245,108</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9,293,868</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1,334,980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Other long-term assets</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2,930,069</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5,666,610</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813,958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Assets held for sale</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969,145</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2,398</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Borders>
              <w:bottom w:val="single" w:sz="8" w:color="CCEEFF"/>
            </w:tcBorders>
          </w:tcPr>
          <w:p>
            <w:pPr>
              <w:ind w:left="200"/>
              <w:spacing w:after="0" w:line="115" w:lineRule="exact"/>
              <w:rPr>
                <w:sz w:val="20"/>
                <w:szCs w:val="20"/>
                <w:color w:val="auto"/>
              </w:rPr>
            </w:pPr>
            <w:r>
              <w:rPr>
                <w:rFonts w:ascii="Arial" w:cs="Arial" w:eastAsia="Arial" w:hAnsi="Arial"/>
                <w:sz w:val="11"/>
                <w:szCs w:val="11"/>
                <w:color w:val="auto"/>
              </w:rPr>
              <w:t>Total non-current assets</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18,252,208</w:t>
            </w:r>
          </w:p>
        </w:tc>
        <w:tc>
          <w:tcPr>
            <w:tcW w:w="2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27,019,359</w:t>
            </w:r>
          </w:p>
        </w:tc>
        <w:tc>
          <w:tcPr>
            <w:tcW w:w="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3,881,088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980" w:type="dxa"/>
            <w:vAlign w:val="bottom"/>
            <w:gridSpan w:val="2"/>
          </w:tcPr>
          <w:p>
            <w:pPr>
              <w:spacing w:after="0" w:line="122" w:lineRule="exact"/>
              <w:rPr>
                <w:sz w:val="20"/>
                <w:szCs w:val="20"/>
                <w:color w:val="auto"/>
              </w:rPr>
            </w:pPr>
            <w:r>
              <w:rPr>
                <w:rFonts w:ascii="Arial" w:cs="Arial" w:eastAsia="Arial" w:hAnsi="Arial"/>
                <w:sz w:val="11"/>
                <w:szCs w:val="11"/>
                <w:color w:val="auto"/>
              </w:rPr>
              <w:t>Total assets</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86,967,928</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112,124,371</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16,105,658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696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 Redeemable noncontrolling interests and Shareholders’ equity</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Current liabilities:</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ind w:left="100"/>
              <w:spacing w:after="0" w:line="112" w:lineRule="exact"/>
              <w:rPr>
                <w:sz w:val="20"/>
                <w:szCs w:val="20"/>
                <w:color w:val="auto"/>
              </w:rPr>
            </w:pPr>
            <w:r>
              <w:rPr>
                <w:rFonts w:ascii="Arial" w:cs="Arial" w:eastAsia="Arial" w:hAnsi="Arial"/>
                <w:sz w:val="11"/>
                <w:szCs w:val="11"/>
                <w:color w:val="auto"/>
                <w:w w:val="93"/>
              </w:rPr>
              <w:t>Accounts payable (including accounts payable of the consolidated VIEs without recourse to the primary beneficiaries of RMB909,449 and RMB846,893</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100"/>
              <w:spacing w:after="0"/>
              <w:rPr>
                <w:sz w:val="20"/>
                <w:szCs w:val="20"/>
                <w:color w:val="auto"/>
              </w:rPr>
            </w:pPr>
            <w:r>
              <w:rPr>
                <w:rFonts w:ascii="Arial" w:cs="Arial" w:eastAsia="Arial" w:hAnsi="Arial"/>
                <w:sz w:val="11"/>
                <w:szCs w:val="11"/>
                <w:color w:val="auto"/>
              </w:rPr>
              <w:t>as of December 31, 2018 and 2019, respectively)</w:t>
            </w:r>
          </w:p>
        </w:tc>
        <w:tc>
          <w:tcPr>
            <w:tcW w:w="840" w:type="dxa"/>
            <w:vAlign w:val="bottom"/>
          </w:tcPr>
          <w:p>
            <w:pPr>
              <w:jc w:val="right"/>
              <w:spacing w:after="0"/>
              <w:rPr>
                <w:sz w:val="20"/>
                <w:szCs w:val="20"/>
                <w:color w:val="auto"/>
              </w:rPr>
            </w:pPr>
            <w:r>
              <w:rPr>
                <w:rFonts w:ascii="Arial" w:cs="Arial" w:eastAsia="Arial" w:hAnsi="Arial"/>
                <w:sz w:val="11"/>
                <w:szCs w:val="11"/>
                <w:color w:val="auto"/>
              </w:rPr>
              <w:t>1,201,210</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1,212,303</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174,136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Salary and welfare payables (including salary and welfare payables of the consolidated VIEs without recourse to the primary beneficiaries of</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RMB108,699 and RMB97,636 as of December 31, 2018 and 2019,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2,799,212</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2,957,360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424,798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ind w:left="100"/>
              <w:spacing w:after="0" w:line="112" w:lineRule="exact"/>
              <w:rPr>
                <w:sz w:val="20"/>
                <w:szCs w:val="20"/>
                <w:color w:val="auto"/>
              </w:rPr>
            </w:pPr>
            <w:r>
              <w:rPr>
                <w:rFonts w:ascii="Arial" w:cs="Arial" w:eastAsia="Arial" w:hAnsi="Arial"/>
                <w:sz w:val="11"/>
                <w:szCs w:val="11"/>
                <w:color w:val="auto"/>
                <w:w w:val="94"/>
              </w:rPr>
              <w:t>Taxes payable (including taxes payable of the consolidated VIEs without recourse to the primary beneficiaries of RMB84,118 and RMB122,179 as of</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100"/>
              <w:spacing w:after="0"/>
              <w:rPr>
                <w:sz w:val="20"/>
                <w:szCs w:val="20"/>
                <w:color w:val="auto"/>
              </w:rPr>
            </w:pPr>
            <w:r>
              <w:rPr>
                <w:rFonts w:ascii="Arial" w:cs="Arial" w:eastAsia="Arial" w:hAnsi="Arial"/>
                <w:sz w:val="11"/>
                <w:szCs w:val="11"/>
                <w:color w:val="auto"/>
              </w:rPr>
              <w:t>December 31, 2018 and 2019, respectively)</w:t>
            </w:r>
          </w:p>
        </w:tc>
        <w:tc>
          <w:tcPr>
            <w:tcW w:w="840" w:type="dxa"/>
            <w:vAlign w:val="bottom"/>
          </w:tcPr>
          <w:p>
            <w:pPr>
              <w:jc w:val="right"/>
              <w:spacing w:after="0"/>
              <w:rPr>
                <w:sz w:val="20"/>
                <w:szCs w:val="20"/>
                <w:color w:val="auto"/>
              </w:rPr>
            </w:pPr>
            <w:r>
              <w:rPr>
                <w:rFonts w:ascii="Arial" w:cs="Arial" w:eastAsia="Arial" w:hAnsi="Arial"/>
                <w:sz w:val="11"/>
                <w:szCs w:val="11"/>
                <w:color w:val="auto"/>
              </w:rPr>
              <w:t>2,260,646</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3,156,513</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453,405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2"/>
              </w:rPr>
              <w:t>Short-term loans (including short-term loans of the consolidated VIEs without recourse to the primary beneficiaries of RMB129,900 and RMB197,420 as</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of December 31, 2018 and 2019,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13,658,554</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16,828,226</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2,417,223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ind w:left="100"/>
              <w:spacing w:after="0" w:line="112" w:lineRule="exact"/>
              <w:rPr>
                <w:sz w:val="20"/>
                <w:szCs w:val="20"/>
                <w:color w:val="auto"/>
              </w:rPr>
            </w:pPr>
            <w:r>
              <w:rPr>
                <w:rFonts w:ascii="Arial" w:cs="Arial" w:eastAsia="Arial" w:hAnsi="Arial"/>
                <w:sz w:val="11"/>
                <w:szCs w:val="11"/>
                <w:color w:val="auto"/>
              </w:rPr>
              <w:t>Deferred revenue (including deferred revenue of the consolidated VIEs without recourse to the primary beneficiaries of RMB6,672,715 and</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100"/>
              <w:spacing w:after="0"/>
              <w:rPr>
                <w:sz w:val="20"/>
                <w:szCs w:val="20"/>
                <w:color w:val="auto"/>
              </w:rPr>
            </w:pPr>
            <w:r>
              <w:rPr>
                <w:rFonts w:ascii="Arial" w:cs="Arial" w:eastAsia="Arial" w:hAnsi="Arial"/>
                <w:sz w:val="11"/>
                <w:szCs w:val="11"/>
                <w:color w:val="auto"/>
              </w:rPr>
              <w:t>RMB7,634,637 as of December 31, 2018 and 2019, respectively)</w:t>
            </w:r>
          </w:p>
        </w:tc>
        <w:tc>
          <w:tcPr>
            <w:tcW w:w="840" w:type="dxa"/>
            <w:vAlign w:val="bottom"/>
          </w:tcPr>
          <w:p>
            <w:pPr>
              <w:jc w:val="right"/>
              <w:spacing w:after="0"/>
              <w:rPr>
                <w:sz w:val="20"/>
                <w:szCs w:val="20"/>
                <w:color w:val="auto"/>
              </w:rPr>
            </w:pPr>
            <w:r>
              <w:rPr>
                <w:rFonts w:ascii="Arial" w:cs="Arial" w:eastAsia="Arial" w:hAnsi="Arial"/>
                <w:sz w:val="11"/>
                <w:szCs w:val="11"/>
                <w:color w:val="auto"/>
              </w:rPr>
              <w:t>7,718,485</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8,602,227</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1,235,633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8"/>
              </w:rPr>
              <w:t>Accrued liabilities and other payables (including accrued liabilities and other payables of the consolidated VIEs without recourse to the primary</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beneficiaries of RMB1,865,978 and RMB1,919,549 as of December 31, 2018 and 2019,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5,005,190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5,292,774</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760,259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ind w:left="100"/>
              <w:spacing w:after="0" w:line="112" w:lineRule="exact"/>
              <w:rPr>
                <w:sz w:val="20"/>
                <w:szCs w:val="20"/>
                <w:color w:val="auto"/>
              </w:rPr>
            </w:pPr>
            <w:r>
              <w:rPr>
                <w:rFonts w:ascii="Arial" w:cs="Arial" w:eastAsia="Arial" w:hAnsi="Arial"/>
                <w:sz w:val="11"/>
                <w:szCs w:val="11"/>
                <w:color w:val="auto"/>
              </w:rPr>
              <w:t>Short-term operating lease liabilities (including short-term operating lease liabilities of the consolidated VIEs without recourse to the primary</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100"/>
              <w:spacing w:after="0"/>
              <w:rPr>
                <w:sz w:val="20"/>
                <w:szCs w:val="20"/>
                <w:color w:val="auto"/>
              </w:rPr>
            </w:pPr>
            <w:r>
              <w:rPr>
                <w:rFonts w:ascii="Arial" w:cs="Arial" w:eastAsia="Arial" w:hAnsi="Arial"/>
                <w:sz w:val="11"/>
                <w:szCs w:val="11"/>
                <w:color w:val="auto"/>
              </w:rPr>
              <w:t>beneficiaries of nil and RMB14,683 as of December 31, 2018 and 2019, respectively)</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191,454</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27,501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Liabilites held for sale</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2,465,713</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2,156</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310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Borders>
              <w:bottom w:val="single" w:sz="8" w:color="CCEEFF"/>
            </w:tcBorders>
          </w:tcPr>
          <w:p>
            <w:pPr>
              <w:ind w:left="200"/>
              <w:spacing w:after="0" w:line="115" w:lineRule="exact"/>
              <w:rPr>
                <w:sz w:val="20"/>
                <w:szCs w:val="20"/>
                <w:color w:val="auto"/>
              </w:rPr>
            </w:pPr>
            <w:r>
              <w:rPr>
                <w:rFonts w:ascii="Arial" w:cs="Arial" w:eastAsia="Arial" w:hAnsi="Arial"/>
                <w:sz w:val="11"/>
                <w:szCs w:val="11"/>
                <w:color w:val="auto"/>
              </w:rPr>
              <w:t>Total current liabilities</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35,109,010</w:t>
            </w:r>
          </w:p>
        </w:tc>
        <w:tc>
          <w:tcPr>
            <w:tcW w:w="2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38,243,013</w:t>
            </w:r>
          </w:p>
        </w:tc>
        <w:tc>
          <w:tcPr>
            <w:tcW w:w="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5,493,265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6960" w:type="dxa"/>
            <w:vAlign w:val="bottom"/>
          </w:tcPr>
          <w:p>
            <w:pPr>
              <w:spacing w:after="0" w:line="122" w:lineRule="exact"/>
              <w:rPr>
                <w:sz w:val="20"/>
                <w:szCs w:val="20"/>
                <w:color w:val="auto"/>
              </w:rPr>
            </w:pPr>
            <w:r>
              <w:rPr>
                <w:rFonts w:ascii="Arial" w:cs="Arial" w:eastAsia="Arial" w:hAnsi="Arial"/>
                <w:sz w:val="11"/>
                <w:szCs w:val="11"/>
                <w:color w:val="auto"/>
              </w:rPr>
              <w:t>Non-current liabilities:</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Deferred tax liabilities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392,598</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382,030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54,875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tcPr>
          <w:p>
            <w:pPr>
              <w:ind w:left="100"/>
              <w:spacing w:after="0" w:line="112" w:lineRule="exact"/>
              <w:rPr>
                <w:sz w:val="20"/>
                <w:szCs w:val="20"/>
                <w:color w:val="auto"/>
              </w:rPr>
            </w:pPr>
            <w:r>
              <w:rPr>
                <w:rFonts w:ascii="Arial" w:cs="Arial" w:eastAsia="Arial" w:hAnsi="Arial"/>
                <w:sz w:val="11"/>
                <w:szCs w:val="11"/>
                <w:color w:val="auto"/>
                <w:w w:val="92"/>
              </w:rPr>
              <w:t>Long-term operating lease liabilities (including long-term operating lease liabilities of the consolidated VIEs without recourse to the primary beneficiaries</w:t>
            </w: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tcPr>
          <w:p>
            <w:pPr>
              <w:ind w:left="100"/>
              <w:spacing w:after="0"/>
              <w:rPr>
                <w:sz w:val="20"/>
                <w:szCs w:val="20"/>
                <w:color w:val="auto"/>
              </w:rPr>
            </w:pPr>
            <w:r>
              <w:rPr>
                <w:rFonts w:ascii="Arial" w:cs="Arial" w:eastAsia="Arial" w:hAnsi="Arial"/>
                <w:sz w:val="11"/>
                <w:szCs w:val="11"/>
                <w:color w:val="auto"/>
              </w:rPr>
              <w:t>of nil and RMB12,133 as of December 31, 2018 and 2019, respectively)</w:t>
            </w: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279,949</w:t>
            </w:r>
          </w:p>
        </w:tc>
        <w:tc>
          <w:tcPr>
            <w:tcW w:w="2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40,212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3"/>
              </w:rPr>
              <w:t>Other long-term payable (including long-term payable of the consolidated VIEs without recourse to the primary beneficiaries of RMB7,500 and nil as of</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December 31, 2018 and 2019, respectively)</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48,921</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176,963</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Borders>
              <w:bottom w:val="single" w:sz="8" w:color="CCEEFF"/>
            </w:tcBorders>
          </w:tcPr>
          <w:p>
            <w:pPr>
              <w:ind w:left="100"/>
              <w:spacing w:after="0" w:line="122" w:lineRule="exact"/>
              <w:rPr>
                <w:sz w:val="20"/>
                <w:szCs w:val="20"/>
                <w:color w:val="auto"/>
              </w:rPr>
            </w:pPr>
            <w:r>
              <w:rPr>
                <w:rFonts w:ascii="Arial" w:cs="Arial" w:eastAsia="Arial" w:hAnsi="Arial"/>
                <w:sz w:val="11"/>
                <w:szCs w:val="11"/>
                <w:color w:val="auto"/>
              </w:rPr>
              <w:t>Liabilities held for sale</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5,818</w:t>
            </w:r>
          </w:p>
        </w:tc>
        <w:tc>
          <w:tcPr>
            <w:tcW w:w="2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961</w:t>
            </w:r>
          </w:p>
        </w:tc>
        <w:tc>
          <w:tcPr>
            <w:tcW w:w="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shd w:val="clear" w:color="auto" w:fill="CCEEFF"/>
          </w:tcPr>
          <w:p>
            <w:pPr>
              <w:ind w:left="200"/>
              <w:spacing w:after="0" w:line="115" w:lineRule="exact"/>
              <w:rPr>
                <w:sz w:val="20"/>
                <w:szCs w:val="20"/>
                <w:color w:val="auto"/>
              </w:rPr>
            </w:pPr>
            <w:r>
              <w:rPr>
                <w:rFonts w:ascii="Arial" w:cs="Arial" w:eastAsia="Arial" w:hAnsi="Arial"/>
                <w:sz w:val="11"/>
                <w:szCs w:val="11"/>
                <w:color w:val="auto"/>
              </w:rPr>
              <w:t>Total non-current liabilities</w:t>
            </w: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447,337</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839,903</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120,644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tcBorders>
              <w:bottom w:val="single" w:sz="8" w:color="CCEEFF"/>
            </w:tcBorders>
            <w:shd w:val="clear" w:color="auto" w:fill="CCEEFF"/>
          </w:tcPr>
          <w:p>
            <w:pPr>
              <w:spacing w:after="0" w:line="122" w:lineRule="exact"/>
              <w:rPr>
                <w:sz w:val="20"/>
                <w:szCs w:val="20"/>
                <w:color w:val="auto"/>
              </w:rPr>
            </w:pPr>
            <w:r>
              <w:rPr>
                <w:rFonts w:ascii="Arial" w:cs="Arial" w:eastAsia="Arial" w:hAnsi="Arial"/>
                <w:sz w:val="11"/>
                <w:szCs w:val="11"/>
                <w:color w:val="auto"/>
              </w:rPr>
              <w:t>Total liabilities</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35,556,347</w:t>
            </w:r>
          </w:p>
        </w:tc>
        <w:tc>
          <w:tcPr>
            <w:tcW w:w="2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39,082,916</w:t>
            </w:r>
          </w:p>
        </w:tc>
        <w:tc>
          <w:tcPr>
            <w:tcW w:w="20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5,613,909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Commitments and contingencies (See Note 22)</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Redeemable noncontrolling interests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5,385,736</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10,448,600</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1,500,847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69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6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Shareholders’ equity:</w:t>
            </w: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spacing w:after="0" w:line="122" w:lineRule="exact"/>
              <w:rPr>
                <w:sz w:val="20"/>
                <w:szCs w:val="20"/>
                <w:color w:val="auto"/>
              </w:rPr>
            </w:pPr>
            <w:r>
              <w:rPr>
                <w:rFonts w:ascii="Arial" w:cs="Arial" w:eastAsia="Arial" w:hAnsi="Arial"/>
                <w:sz w:val="11"/>
                <w:szCs w:val="11"/>
                <w:color w:val="auto"/>
              </w:rPr>
              <w:t>Ordinary shares, US$0.0001 par value:</w:t>
            </w: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96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w w:val="91"/>
              </w:rPr>
              <w:t>1,000,300,000 shares authorized, 3,199,018 shares issued and outstanding as of December 31, 2018 and 3,228,531 shares issued and outstanding as of</w:t>
            </w: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2,620</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2,640</w:t>
            </w: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Additional paid-in capital</w:t>
            </w:r>
          </w:p>
        </w:tc>
        <w:tc>
          <w:tcPr>
            <w:tcW w:w="104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3,913,656</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562,162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Statutory reserves</w:t>
            </w: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1,214,578</w:t>
            </w: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1,215,208</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174,554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tcPr>
          <w:p>
            <w:pPr>
              <w:ind w:left="100"/>
              <w:spacing w:after="0" w:line="122" w:lineRule="exact"/>
              <w:rPr>
                <w:sz w:val="20"/>
                <w:szCs w:val="20"/>
                <w:color w:val="auto"/>
              </w:rPr>
            </w:pPr>
            <w:r>
              <w:rPr>
                <w:rFonts w:ascii="Arial" w:cs="Arial" w:eastAsia="Arial" w:hAnsi="Arial"/>
                <w:sz w:val="11"/>
                <w:szCs w:val="11"/>
                <w:color w:val="auto"/>
              </w:rPr>
              <w:t>Accumulated other comprehensive income/(loss)</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17,050</w:t>
            </w:r>
          </w:p>
        </w:tc>
        <w:tc>
          <w:tcPr>
            <w:tcW w:w="20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(71,445)</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(10,262)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Retained earnings</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43,997,388</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56,393,640</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8,100,439</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Pr>
          <w:p>
            <w:pPr>
              <w:ind w:left="100"/>
              <w:spacing w:after="0" w:line="115" w:lineRule="exact"/>
              <w:rPr>
                <w:sz w:val="20"/>
                <w:szCs w:val="20"/>
                <w:color w:val="auto"/>
              </w:rPr>
            </w:pPr>
            <w:r>
              <w:rPr>
                <w:rFonts w:ascii="Arial" w:cs="Arial" w:eastAsia="Arial" w:hAnsi="Arial"/>
                <w:sz w:val="11"/>
                <w:szCs w:val="11"/>
                <w:color w:val="auto"/>
              </w:rPr>
              <w:t>NetEase, Inc.’s shareholders’ equity</w:t>
            </w:r>
          </w:p>
        </w:tc>
        <w:tc>
          <w:tcPr>
            <w:tcW w:w="840" w:type="dxa"/>
            <w:vAlign w:val="bottom"/>
          </w:tcPr>
          <w:p>
            <w:pPr>
              <w:jc w:val="right"/>
              <w:spacing w:after="0" w:line="115" w:lineRule="exact"/>
              <w:rPr>
                <w:sz w:val="20"/>
                <w:szCs w:val="20"/>
                <w:color w:val="auto"/>
              </w:rPr>
            </w:pPr>
            <w:r>
              <w:rPr>
                <w:rFonts w:ascii="Arial" w:cs="Arial" w:eastAsia="Arial" w:hAnsi="Arial"/>
                <w:sz w:val="11"/>
                <w:szCs w:val="11"/>
                <w:color w:val="auto"/>
              </w:rPr>
              <w:t>45,231,636</w:t>
            </w:r>
          </w:p>
        </w:tc>
        <w:tc>
          <w:tcPr>
            <w:tcW w:w="200" w:type="dxa"/>
            <w:vAlign w:val="bottom"/>
          </w:tcPr>
          <w:p>
            <w:pPr>
              <w:spacing w:after="0"/>
              <w:rPr>
                <w:sz w:val="10"/>
                <w:szCs w:val="10"/>
                <w:color w:val="auto"/>
              </w:rPr>
            </w:pPr>
          </w:p>
        </w:tc>
        <w:tc>
          <w:tcPr>
            <w:tcW w:w="840" w:type="dxa"/>
            <w:vAlign w:val="bottom"/>
          </w:tcPr>
          <w:p>
            <w:pPr>
              <w:jc w:val="right"/>
              <w:spacing w:after="0" w:line="115" w:lineRule="exact"/>
              <w:rPr>
                <w:sz w:val="20"/>
                <w:szCs w:val="20"/>
                <w:color w:val="auto"/>
              </w:rPr>
            </w:pPr>
            <w:r>
              <w:rPr>
                <w:rFonts w:ascii="Arial" w:cs="Arial" w:eastAsia="Arial" w:hAnsi="Arial"/>
                <w:sz w:val="11"/>
                <w:szCs w:val="11"/>
                <w:color w:val="auto"/>
              </w:rPr>
              <w:t>61,453,699</w:t>
            </w:r>
          </w:p>
        </w:tc>
        <w:tc>
          <w:tcPr>
            <w:tcW w:w="200" w:type="dxa"/>
            <w:vAlign w:val="bottom"/>
          </w:tcPr>
          <w:p>
            <w:pPr>
              <w:spacing w:after="0"/>
              <w:rPr>
                <w:sz w:val="10"/>
                <w:szCs w:val="10"/>
                <w:color w:val="auto"/>
              </w:rPr>
            </w:pPr>
          </w:p>
        </w:tc>
        <w:tc>
          <w:tcPr>
            <w:tcW w:w="860" w:type="dxa"/>
            <w:vAlign w:val="bottom"/>
          </w:tcPr>
          <w:p>
            <w:pPr>
              <w:jc w:val="right"/>
              <w:spacing w:after="0" w:line="115" w:lineRule="exact"/>
              <w:rPr>
                <w:sz w:val="20"/>
                <w:szCs w:val="20"/>
                <w:color w:val="auto"/>
              </w:rPr>
            </w:pPr>
            <w:r>
              <w:rPr>
                <w:rFonts w:ascii="Arial" w:cs="Arial" w:eastAsia="Arial" w:hAnsi="Arial"/>
                <w:sz w:val="11"/>
                <w:szCs w:val="11"/>
                <w:color w:val="auto"/>
              </w:rPr>
              <w:t>8,827,272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96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interests</w:t>
            </w: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794,209</w:t>
            </w:r>
          </w:p>
        </w:tc>
        <w:tc>
          <w:tcPr>
            <w:tcW w:w="200" w:type="dxa"/>
            <w:vAlign w:val="bottom"/>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1,139,156</w:t>
            </w:r>
          </w:p>
        </w:tc>
        <w:tc>
          <w:tcPr>
            <w:tcW w:w="20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163,630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tcBorders>
              <w:bottom w:val="single" w:sz="8" w:color="CCEEFF"/>
            </w:tcBorders>
          </w:tcPr>
          <w:p>
            <w:pPr>
              <w:ind w:left="200"/>
              <w:spacing w:after="0" w:line="115" w:lineRule="exact"/>
              <w:rPr>
                <w:sz w:val="20"/>
                <w:szCs w:val="20"/>
                <w:color w:val="auto"/>
              </w:rPr>
            </w:pPr>
            <w:r>
              <w:rPr>
                <w:rFonts w:ascii="Arial" w:cs="Arial" w:eastAsia="Arial" w:hAnsi="Arial"/>
                <w:sz w:val="11"/>
                <w:szCs w:val="11"/>
                <w:color w:val="auto"/>
              </w:rPr>
              <w:t>Total shareholders’ equity</w:t>
            </w: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46,025,845</w:t>
            </w:r>
          </w:p>
        </w:tc>
        <w:tc>
          <w:tcPr>
            <w:tcW w:w="2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62,592,855</w:t>
            </w:r>
          </w:p>
        </w:tc>
        <w:tc>
          <w:tcPr>
            <w:tcW w:w="2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8,990,902</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980" w:type="dxa"/>
            <w:vAlign w:val="bottom"/>
            <w:gridSpan w:val="2"/>
          </w:tcPr>
          <w:p>
            <w:pPr>
              <w:spacing w:after="0" w:line="122" w:lineRule="exact"/>
              <w:rPr>
                <w:sz w:val="20"/>
                <w:szCs w:val="20"/>
                <w:color w:val="auto"/>
              </w:rPr>
            </w:pPr>
            <w:r>
              <w:rPr>
                <w:rFonts w:ascii="Arial" w:cs="Arial" w:eastAsia="Arial" w:hAnsi="Arial"/>
                <w:sz w:val="11"/>
                <w:szCs w:val="11"/>
                <w:color w:val="auto"/>
              </w:rPr>
              <w:t>Total liabilities, redeemable noncontrolling interests and shareholders’ equity</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86,967,928</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112,124,371</w:t>
            </w:r>
          </w:p>
        </w:tc>
        <w:tc>
          <w:tcPr>
            <w:tcW w:w="20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16,105,658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right="4700"/>
        <w:spacing w:after="0" w:line="290" w:lineRule="auto"/>
        <w:rPr>
          <w:sz w:val="20"/>
          <w:szCs w:val="20"/>
          <w:color w:val="auto"/>
        </w:rPr>
      </w:pPr>
      <w:r>
        <w:rPr>
          <w:rFonts w:ascii="Arial" w:cs="Arial" w:eastAsia="Arial" w:hAnsi="Arial"/>
          <w:sz w:val="17"/>
          <w:szCs w:val="17"/>
          <w:b w:val="1"/>
          <w:bCs w:val="1"/>
          <w:color w:val="auto"/>
        </w:rPr>
        <w:t>Consolidated Statements of Operations and Comprehensive Income (in thousands except per share data or per ADS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w w:val="86"/>
              </w:rPr>
              <w:t>For the year ended December 31,</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8"/>
        </w:trPr>
        <w:tc>
          <w:tcPr>
            <w:tcW w:w="6320" w:type="dxa"/>
            <w:vAlign w:val="bottom"/>
          </w:tcPr>
          <w:p>
            <w:pPr>
              <w:spacing w:after="0"/>
              <w:rPr>
                <w:sz w:val="11"/>
                <w:szCs w:val="11"/>
                <w:color w:val="auto"/>
              </w:rPr>
            </w:pPr>
          </w:p>
        </w:tc>
        <w:tc>
          <w:tcPr>
            <w:tcW w:w="74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1"/>
                <w:szCs w:val="11"/>
                <w:color w:val="auto"/>
              </w:rPr>
            </w:pPr>
          </w:p>
        </w:tc>
      </w:tr>
      <w:tr>
        <w:trPr>
          <w:trHeight w:val="120"/>
        </w:trPr>
        <w:tc>
          <w:tcPr>
            <w:tcW w:w="6320" w:type="dxa"/>
            <w:vAlign w:val="bottom"/>
          </w:tcPr>
          <w:p>
            <w:pPr>
              <w:spacing w:after="0"/>
              <w:rPr>
                <w:sz w:val="10"/>
                <w:szCs w:val="10"/>
                <w:color w:val="auto"/>
              </w:rPr>
            </w:pPr>
          </w:p>
        </w:tc>
        <w:tc>
          <w:tcPr>
            <w:tcW w:w="74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10"/>
                <w:szCs w:val="10"/>
                <w:color w:val="auto"/>
              </w:rPr>
            </w:pPr>
          </w:p>
        </w:tc>
        <w:tc>
          <w:tcPr>
            <w:tcW w:w="76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10"/>
                <w:szCs w:val="10"/>
                <w:color w:val="auto"/>
              </w:rPr>
            </w:pPr>
          </w:p>
        </w:tc>
        <w:tc>
          <w:tcPr>
            <w:tcW w:w="76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4"/>
              </w:rPr>
              <w:t>US$</w:t>
            </w:r>
          </w:p>
        </w:tc>
        <w:tc>
          <w:tcPr>
            <w:tcW w:w="20" w:type="dxa"/>
            <w:vAlign w:val="bottom"/>
          </w:tcPr>
          <w:p>
            <w:pPr>
              <w:spacing w:after="0"/>
              <w:rPr>
                <w:sz w:val="10"/>
                <w:szCs w:val="10"/>
                <w:color w:val="auto"/>
              </w:rPr>
            </w:pPr>
          </w:p>
        </w:tc>
      </w:tr>
      <w:tr>
        <w:trPr>
          <w:trHeight w:val="143"/>
        </w:trPr>
        <w:tc>
          <w:tcPr>
            <w:tcW w:w="6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Note 2(o)</w:t>
            </w: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revenues: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ind w:left="120"/>
              <w:spacing w:after="0" w:line="135" w:lineRule="exact"/>
              <w:rPr>
                <w:sz w:val="20"/>
                <w:szCs w:val="20"/>
                <w:color w:val="auto"/>
              </w:rPr>
            </w:pPr>
            <w:r>
              <w:rPr>
                <w:rFonts w:ascii="Arial" w:cs="Arial" w:eastAsia="Arial" w:hAnsi="Arial"/>
                <w:sz w:val="12"/>
                <w:szCs w:val="12"/>
                <w:color w:val="auto"/>
              </w:rPr>
              <w:t>Online game</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36,281,642</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40,190,057</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46,422,640</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6,668,195</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ind w:left="120"/>
              <w:spacing w:after="0" w:line="135" w:lineRule="exact"/>
              <w:rPr>
                <w:sz w:val="20"/>
                <w:szCs w:val="20"/>
                <w:color w:val="auto"/>
              </w:rPr>
            </w:pPr>
            <w:r>
              <w:rPr>
                <w:rFonts w:ascii="Arial" w:cs="Arial" w:eastAsia="Arial" w:hAnsi="Arial"/>
                <w:sz w:val="12"/>
                <w:szCs w:val="12"/>
                <w:color w:val="auto"/>
              </w:rPr>
              <w:t>Youdao</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455,746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731,598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1,304,883</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187,435</w:t>
            </w:r>
          </w:p>
        </w:tc>
        <w:tc>
          <w:tcPr>
            <w:tcW w:w="20" w:type="dxa"/>
            <w:vAlign w:val="bottom"/>
          </w:tcPr>
          <w:p>
            <w:pPr>
              <w:spacing w:after="0"/>
              <w:rPr>
                <w:sz w:val="11"/>
                <w:szCs w:val="11"/>
                <w:color w:val="auto"/>
              </w:rPr>
            </w:pPr>
          </w:p>
        </w:tc>
      </w:tr>
      <w:tr>
        <w:trPr>
          <w:trHeight w:val="135"/>
        </w:trPr>
        <w:tc>
          <w:tcPr>
            <w:tcW w:w="632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2"/>
                <w:szCs w:val="12"/>
                <w:color w:val="auto"/>
              </w:rPr>
              <w:t>Innovative businesses and others</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7,699,967</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10,256,920</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11,513,622</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1,653,828</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Total net revenues</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44,437,355</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51,178,575</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59,241,145</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8,509,458</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Cost of revenues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(19,394,314)</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(23,832,426)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(27,685,845)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(3,976,823)</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Gross profit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25,043,041</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27,346,149</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31,555,300</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4,532,635</w:t>
            </w:r>
          </w:p>
        </w:tc>
        <w:tc>
          <w:tcPr>
            <w:tcW w:w="20" w:type="dxa"/>
            <w:vAlign w:val="bottom"/>
          </w:tcPr>
          <w:p>
            <w:pPr>
              <w:spacing w:after="0"/>
              <w:rPr>
                <w:sz w:val="11"/>
                <w:szCs w:val="11"/>
                <w:color w:val="auto"/>
              </w:rPr>
            </w:pPr>
          </w:p>
        </w:tc>
      </w:tr>
      <w:tr>
        <w:trPr>
          <w:trHeight w:val="128"/>
        </w:trPr>
        <w:tc>
          <w:tcPr>
            <w:tcW w:w="6320" w:type="dxa"/>
            <w:vAlign w:val="bottom"/>
          </w:tcPr>
          <w:p>
            <w:pPr>
              <w:spacing w:after="0" w:line="129" w:lineRule="exact"/>
              <w:rPr>
                <w:sz w:val="20"/>
                <w:szCs w:val="20"/>
                <w:color w:val="auto"/>
              </w:rPr>
            </w:pPr>
            <w:r>
              <w:rPr>
                <w:rFonts w:ascii="Arial" w:cs="Arial" w:eastAsia="Arial" w:hAnsi="Arial"/>
                <w:sz w:val="12"/>
                <w:szCs w:val="12"/>
                <w:b w:val="1"/>
                <w:bCs w:val="1"/>
                <w:color w:val="auto"/>
              </w:rPr>
              <w:t>Operating expenses: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Selling and marketing expenses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(5,504,613)</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(6,911,710)</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(6,221,127)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(893,609)</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General and administrative expenses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(2,381,842)</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(3,078,635)</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(3,130,298)</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(449,639)</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Research and development expenses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(4,161,673)</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(7,378,460)</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(8,413,224)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(1,208,484)</w:t>
            </w:r>
          </w:p>
        </w:tc>
        <w:tc>
          <w:tcPr>
            <w:tcW w:w="20" w:type="dxa"/>
            <w:vAlign w:val="bottom"/>
          </w:tcPr>
          <w:p>
            <w:pPr>
              <w:spacing w:after="0"/>
              <w:rPr>
                <w:sz w:val="11"/>
                <w:szCs w:val="11"/>
                <w:color w:val="auto"/>
              </w:rPr>
            </w:pPr>
          </w:p>
        </w:tc>
      </w:tr>
      <w:tr>
        <w:trPr>
          <w:trHeight w:val="129"/>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Total operating expenses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(12,048,128)</w:t>
            </w:r>
          </w:p>
        </w:tc>
        <w:tc>
          <w:tcPr>
            <w:tcW w:w="2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(17,368,805)</w:t>
            </w: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(17,764,649)</w:t>
            </w:r>
          </w:p>
        </w:tc>
        <w:tc>
          <w:tcPr>
            <w:tcW w:w="1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(2,551,732)</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Operating profit</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12,994,913</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9,977,344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13,790,651</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1,980,903</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b w:val="1"/>
                <w:bCs w:val="1"/>
                <w:color w:val="auto"/>
              </w:rPr>
              <w:t>Other income/(expenses):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Investment income/(losses), net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362,113</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(22,383)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1,306,320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187,641</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Interest income,net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666,616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586,671</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821,774</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118,040</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Exchange (losses)/gains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(455,948)</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(51,799)</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25,166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3,615</w:t>
            </w:r>
          </w:p>
        </w:tc>
        <w:tc>
          <w:tcPr>
            <w:tcW w:w="20" w:type="dxa"/>
            <w:vAlign w:val="bottom"/>
          </w:tcPr>
          <w:p>
            <w:pPr>
              <w:spacing w:after="0"/>
              <w:rPr>
                <w:sz w:val="11"/>
                <w:szCs w:val="11"/>
                <w:color w:val="auto"/>
              </w:rPr>
            </w:pPr>
          </w:p>
        </w:tc>
      </w:tr>
      <w:tr>
        <w:trPr>
          <w:trHeight w:val="135"/>
        </w:trPr>
        <w:tc>
          <w:tcPr>
            <w:tcW w:w="63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Other, net</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271,885</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586,916</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439,422</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63,119</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Income before tax</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13,839,579</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11,076,749</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16,383,333</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2,353,318</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Income tax</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(2,155,988)</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(2,460,650)</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(2,914,726)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(418,674)</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Net income from continuing operations</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11,683,591</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8,616,099</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13,468,607</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1,934,644</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Net (loss)/income from discontinued operations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(834,454)</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(2,138,682)</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7,962,519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1,143,744</w:t>
            </w:r>
          </w:p>
        </w:tc>
        <w:tc>
          <w:tcPr>
            <w:tcW w:w="20" w:type="dxa"/>
            <w:vAlign w:val="bottom"/>
          </w:tcPr>
          <w:p>
            <w:pPr>
              <w:spacing w:after="0"/>
              <w:rPr>
                <w:sz w:val="11"/>
                <w:szCs w:val="11"/>
                <w:color w:val="auto"/>
              </w:rPr>
            </w:pPr>
          </w:p>
        </w:tc>
      </w:tr>
      <w:tr>
        <w:trPr>
          <w:trHeight w:val="128"/>
        </w:trPr>
        <w:tc>
          <w:tcPr>
            <w:tcW w:w="63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Net income</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10,849,137</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6,477,417</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21,431,126</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3,078,388</w:t>
            </w: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Accretion and deemed dividends in connection with repurchase of redeemable noncontrolling interests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(248,098)</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(271,543)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(39,005)</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(income)/loss attributable to noncontrolling interests and redeemable noncontrolling interests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(141,198)</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(76,912)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77,933</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11,194</w:t>
            </w:r>
          </w:p>
        </w:tc>
        <w:tc>
          <w:tcPr>
            <w:tcW w:w="20" w:type="dxa"/>
            <w:vAlign w:val="bottom"/>
          </w:tcPr>
          <w:p>
            <w:pPr>
              <w:spacing w:after="0"/>
              <w:rPr>
                <w:sz w:val="11"/>
                <w:szCs w:val="11"/>
                <w:color w:val="auto"/>
              </w:rPr>
            </w:pPr>
          </w:p>
        </w:tc>
      </w:tr>
      <w:tr>
        <w:trPr>
          <w:trHeight w:val="128"/>
        </w:trPr>
        <w:tc>
          <w:tcPr>
            <w:tcW w:w="6320" w:type="dxa"/>
            <w:vAlign w:val="bottom"/>
          </w:tcPr>
          <w:p>
            <w:pPr>
              <w:spacing w:after="0" w:line="129" w:lineRule="exact"/>
              <w:rPr>
                <w:sz w:val="20"/>
                <w:szCs w:val="20"/>
                <w:color w:val="auto"/>
              </w:rPr>
            </w:pPr>
            <w:r>
              <w:rPr>
                <w:rFonts w:ascii="Arial" w:cs="Arial" w:eastAsia="Arial" w:hAnsi="Arial"/>
                <w:sz w:val="12"/>
                <w:szCs w:val="12"/>
                <w:b w:val="1"/>
                <w:bCs w:val="1"/>
                <w:color w:val="auto"/>
              </w:rPr>
              <w:t>Net income attributable to NetEase, Inc.'s shareholders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10,707,939</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6,152,407</w:t>
            </w:r>
          </w:p>
        </w:tc>
        <w:tc>
          <w:tcPr>
            <w:tcW w:w="18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21,237,516</w:t>
            </w:r>
          </w:p>
        </w:tc>
        <w:tc>
          <w:tcPr>
            <w:tcW w:w="18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3,050,577</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Including:</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Net income from continuing operations attributable to NetEase, Inc.'s shareholders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11,542,393</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8,291,089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13,274,997</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1,906,833</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(loss)/income from discontinued operations attributable to NetEase, Inc.'s shareholders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(834,454)</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(2,138,682)</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7,962,519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1,143,744</w:t>
            </w:r>
          </w:p>
        </w:tc>
        <w:tc>
          <w:tcPr>
            <w:tcW w:w="20" w:type="dxa"/>
            <w:vAlign w:val="bottom"/>
          </w:tcPr>
          <w:p>
            <w:pPr>
              <w:spacing w:after="0"/>
              <w:rPr>
                <w:sz w:val="11"/>
                <w:szCs w:val="11"/>
                <w:color w:val="auto"/>
              </w:rPr>
            </w:pPr>
          </w:p>
        </w:tc>
      </w:tr>
      <w:tr>
        <w:trPr>
          <w:trHeight w:val="135"/>
        </w:trPr>
        <w:tc>
          <w:tcPr>
            <w:tcW w:w="632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b w:val="1"/>
                <w:bCs w:val="1"/>
                <w:color w:val="auto"/>
              </w:rPr>
              <w:t>Net income</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10,849,137</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6,477,417</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21,431,126</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3,078,388</w:t>
            </w:r>
          </w:p>
        </w:tc>
        <w:tc>
          <w:tcPr>
            <w:tcW w:w="20" w:type="dxa"/>
            <w:vAlign w:val="bottom"/>
          </w:tcPr>
          <w:p>
            <w:pPr>
              <w:spacing w:after="0"/>
              <w:rPr>
                <w:sz w:val="11"/>
                <w:szCs w:val="1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Other comprehensive income</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6320" w:type="dxa"/>
            <w:vAlign w:val="bottom"/>
          </w:tcPr>
          <w:p>
            <w:pPr>
              <w:spacing w:after="0" w:line="135" w:lineRule="exact"/>
              <w:rPr>
                <w:sz w:val="20"/>
                <w:szCs w:val="20"/>
                <w:color w:val="auto"/>
              </w:rPr>
            </w:pPr>
            <w:r>
              <w:rPr>
                <w:rFonts w:ascii="Arial" w:cs="Arial" w:eastAsia="Arial" w:hAnsi="Arial"/>
                <w:sz w:val="12"/>
                <w:szCs w:val="12"/>
                <w:color w:val="auto"/>
              </w:rPr>
              <w:t>Unrealized losses on available-for-sale securities, net of tax</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(23,321)</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632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Foreign currency translation adjustment</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(1,573)</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18,624</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(93,774)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(13,470)</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b w:val="1"/>
                <w:bCs w:val="1"/>
                <w:color w:val="auto"/>
              </w:rPr>
              <w:t>Total other comprehensive (loss)/ income</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(24,894)</w:t>
            </w:r>
          </w:p>
        </w:tc>
        <w:tc>
          <w:tcPr>
            <w:tcW w:w="2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18,624</w:t>
            </w: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(93,774)</w:t>
            </w:r>
          </w:p>
        </w:tc>
        <w:tc>
          <w:tcPr>
            <w:tcW w:w="1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rPr>
              <w:t>(13,470)</w:t>
            </w:r>
          </w:p>
        </w:tc>
        <w:tc>
          <w:tcPr>
            <w:tcW w:w="20" w:type="dxa"/>
            <w:vAlign w:val="bottom"/>
          </w:tcPr>
          <w:p>
            <w:pPr>
              <w:spacing w:after="0"/>
              <w:rPr>
                <w:sz w:val="11"/>
                <w:szCs w:val="11"/>
                <w:color w:val="auto"/>
              </w:rPr>
            </w:pPr>
          </w:p>
        </w:tc>
      </w:tr>
      <w:tr>
        <w:trPr>
          <w:trHeight w:val="129"/>
        </w:trPr>
        <w:tc>
          <w:tcPr>
            <w:tcW w:w="632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Total comprehensive income</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10,824,243</w:t>
            </w:r>
          </w:p>
        </w:tc>
        <w:tc>
          <w:tcPr>
            <w:tcW w:w="2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6,496,041</w:t>
            </w: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21,337,352</w:t>
            </w:r>
          </w:p>
        </w:tc>
        <w:tc>
          <w:tcPr>
            <w:tcW w:w="1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3,064,918</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Comprehensive (income)/ loss attributable to noncontrolling interests and redeemable noncontrolling interests</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(141,198)</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(76,912)</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83,685</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12,021</w:t>
            </w:r>
          </w:p>
        </w:tc>
        <w:tc>
          <w:tcPr>
            <w:tcW w:w="20" w:type="dxa"/>
            <w:vAlign w:val="bottom"/>
          </w:tcPr>
          <w:p>
            <w:pPr>
              <w:spacing w:after="0"/>
              <w:rPr>
                <w:sz w:val="11"/>
                <w:szCs w:val="11"/>
                <w:color w:val="auto"/>
              </w:rPr>
            </w:pPr>
          </w:p>
        </w:tc>
      </w:tr>
      <w:tr>
        <w:trPr>
          <w:trHeight w:val="128"/>
        </w:trPr>
        <w:tc>
          <w:tcPr>
            <w:tcW w:w="632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Comprehensive income attributable to NetEase, Inc.'s shareholders</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10,683,045</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6,419,129</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21,421,037</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b w:val="1"/>
                <w:bCs w:val="1"/>
                <w:color w:val="auto"/>
              </w:rPr>
              <w:t>3,076,939</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6"/>
        </w:trPr>
        <w:tc>
          <w:tcPr>
            <w:tcW w:w="6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Net income/(loss) per share, basic</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3.25</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1.90</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6.59</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0.95</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6320" w:type="dxa"/>
            <w:vAlign w:val="bottom"/>
            <w:tcBorders>
              <w:bottom w:val="single" w:sz="8" w:color="CCEEFF"/>
            </w:tcBorders>
          </w:tcPr>
          <w:p>
            <w:pPr>
              <w:spacing w:after="0" w:line="115" w:lineRule="exact"/>
              <w:rPr>
                <w:sz w:val="20"/>
                <w:szCs w:val="20"/>
                <w:color w:val="auto"/>
              </w:rPr>
            </w:pPr>
            <w:r>
              <w:rPr>
                <w:rFonts w:ascii="Arial" w:cs="Arial" w:eastAsia="Arial" w:hAnsi="Arial"/>
                <w:sz w:val="12"/>
                <w:szCs w:val="12"/>
                <w:color w:val="auto"/>
              </w:rPr>
              <w:t>-Continuing operations</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3.51</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2.56</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4.12</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0.59</w:t>
            </w:r>
          </w:p>
        </w:tc>
        <w:tc>
          <w:tcPr>
            <w:tcW w:w="20" w:type="dxa"/>
            <w:vAlign w:val="bottom"/>
          </w:tcPr>
          <w:p>
            <w:pPr>
              <w:spacing w:after="0"/>
              <w:rPr>
                <w:sz w:val="13"/>
                <w:szCs w:val="13"/>
                <w:color w:val="auto"/>
              </w:rPr>
            </w:pPr>
          </w:p>
        </w:tc>
      </w:tr>
      <w:tr>
        <w:trPr>
          <w:trHeight w:val="115"/>
        </w:trPr>
        <w:tc>
          <w:tcPr>
            <w:tcW w:w="63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-Discontinued operations</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(0.26)</w:t>
            </w: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(0.66)</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2.47</w:t>
            </w: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0.36</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Net income/(loss) per ADS, basic</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81.36</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47.54</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164.86</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23.68</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6320" w:type="dxa"/>
            <w:vAlign w:val="bottom"/>
            <w:tcBorders>
              <w:bottom w:val="single" w:sz="8" w:color="CCEEFF"/>
            </w:tcBorders>
          </w:tcPr>
          <w:p>
            <w:pPr>
              <w:spacing w:after="0" w:line="115" w:lineRule="exact"/>
              <w:rPr>
                <w:sz w:val="20"/>
                <w:szCs w:val="20"/>
                <w:color w:val="auto"/>
              </w:rPr>
            </w:pPr>
            <w:r>
              <w:rPr>
                <w:rFonts w:ascii="Arial" w:cs="Arial" w:eastAsia="Arial" w:hAnsi="Arial"/>
                <w:sz w:val="12"/>
                <w:szCs w:val="12"/>
                <w:color w:val="auto"/>
              </w:rPr>
              <w:t>-Continuing operations</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87.70</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64.07</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103.05</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14.80</w:t>
            </w:r>
          </w:p>
        </w:tc>
        <w:tc>
          <w:tcPr>
            <w:tcW w:w="20" w:type="dxa"/>
            <w:vAlign w:val="bottom"/>
          </w:tcPr>
          <w:p>
            <w:pPr>
              <w:spacing w:after="0"/>
              <w:rPr>
                <w:sz w:val="13"/>
                <w:szCs w:val="13"/>
                <w:color w:val="auto"/>
              </w:rPr>
            </w:pPr>
          </w:p>
        </w:tc>
      </w:tr>
      <w:tr>
        <w:trPr>
          <w:trHeight w:val="115"/>
        </w:trPr>
        <w:tc>
          <w:tcPr>
            <w:tcW w:w="63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-Discontinued operations</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(6.34)</w:t>
            </w: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(16.53)</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61.81</w:t>
            </w: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8.88</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Net income/(loss) per share, diluted</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3.23</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1.89</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6.53</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0.94</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6320" w:type="dxa"/>
            <w:vAlign w:val="bottom"/>
            <w:tcBorders>
              <w:bottom w:val="single" w:sz="8" w:color="CCEEFF"/>
            </w:tcBorders>
          </w:tcPr>
          <w:p>
            <w:pPr>
              <w:spacing w:after="0" w:line="115" w:lineRule="exact"/>
              <w:rPr>
                <w:sz w:val="20"/>
                <w:szCs w:val="20"/>
                <w:color w:val="auto"/>
              </w:rPr>
            </w:pPr>
            <w:r>
              <w:rPr>
                <w:rFonts w:ascii="Arial" w:cs="Arial" w:eastAsia="Arial" w:hAnsi="Arial"/>
                <w:sz w:val="12"/>
                <w:szCs w:val="12"/>
                <w:color w:val="auto"/>
              </w:rPr>
              <w:t>-Continuing operations</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3.48</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2.55</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4.08</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0.59</w:t>
            </w:r>
          </w:p>
        </w:tc>
        <w:tc>
          <w:tcPr>
            <w:tcW w:w="20" w:type="dxa"/>
            <w:vAlign w:val="bottom"/>
          </w:tcPr>
          <w:p>
            <w:pPr>
              <w:spacing w:after="0"/>
              <w:rPr>
                <w:sz w:val="13"/>
                <w:szCs w:val="13"/>
                <w:color w:val="auto"/>
              </w:rPr>
            </w:pPr>
          </w:p>
        </w:tc>
      </w:tr>
      <w:tr>
        <w:trPr>
          <w:trHeight w:val="115"/>
        </w:trPr>
        <w:tc>
          <w:tcPr>
            <w:tcW w:w="63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-Discontinued operations</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(0.25)</w:t>
            </w: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(0.66)</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2.45</w:t>
            </w: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0.35</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Net income/(loss) per ADS, diluted</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80.74</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47.26</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163.37</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23.47</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6320" w:type="dxa"/>
            <w:vAlign w:val="bottom"/>
            <w:tcBorders>
              <w:bottom w:val="single" w:sz="8" w:color="CCEEFF"/>
            </w:tcBorders>
          </w:tcPr>
          <w:p>
            <w:pPr>
              <w:spacing w:after="0" w:line="115" w:lineRule="exact"/>
              <w:rPr>
                <w:sz w:val="20"/>
                <w:szCs w:val="20"/>
                <w:color w:val="auto"/>
              </w:rPr>
            </w:pPr>
            <w:r>
              <w:rPr>
                <w:rFonts w:ascii="Arial" w:cs="Arial" w:eastAsia="Arial" w:hAnsi="Arial"/>
                <w:sz w:val="12"/>
                <w:szCs w:val="12"/>
                <w:color w:val="auto"/>
              </w:rPr>
              <w:t>-Continuing operations</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87.03</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63.69</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102.12</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14.67</w:t>
            </w:r>
          </w:p>
        </w:tc>
        <w:tc>
          <w:tcPr>
            <w:tcW w:w="20" w:type="dxa"/>
            <w:vAlign w:val="bottom"/>
          </w:tcPr>
          <w:p>
            <w:pPr>
              <w:spacing w:after="0"/>
              <w:rPr>
                <w:sz w:val="13"/>
                <w:szCs w:val="13"/>
                <w:color w:val="auto"/>
              </w:rPr>
            </w:pPr>
          </w:p>
        </w:tc>
      </w:tr>
      <w:tr>
        <w:trPr>
          <w:trHeight w:val="115"/>
        </w:trPr>
        <w:tc>
          <w:tcPr>
            <w:tcW w:w="63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-Discontinued operations</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(6.29)</w:t>
            </w: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(16.43)</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61.25</w:t>
            </w: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8.80</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632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Weighted average number of ordinary shares outstanding, basic</w:t>
            </w: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3,290,312</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3,235,324</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3,220,473</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2"/>
                <w:szCs w:val="12"/>
                <w:color w:val="auto"/>
              </w:rPr>
              <w:t>3,220,473</w:t>
            </w:r>
          </w:p>
        </w:tc>
        <w:tc>
          <w:tcPr>
            <w:tcW w:w="20" w:type="dxa"/>
            <w:vAlign w:val="bottom"/>
          </w:tcPr>
          <w:p>
            <w:pPr>
              <w:spacing w:after="0"/>
              <w:rPr>
                <w:sz w:val="11"/>
                <w:szCs w:val="1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6320" w:type="dxa"/>
            <w:vAlign w:val="bottom"/>
            <w:tcBorders>
              <w:bottom w:val="single" w:sz="8" w:color="CCEEFF"/>
            </w:tcBorders>
          </w:tcPr>
          <w:p>
            <w:pPr>
              <w:spacing w:after="0" w:line="115" w:lineRule="exact"/>
              <w:rPr>
                <w:sz w:val="20"/>
                <w:szCs w:val="20"/>
                <w:color w:val="auto"/>
              </w:rPr>
            </w:pPr>
            <w:r>
              <w:rPr>
                <w:rFonts w:ascii="Arial" w:cs="Arial" w:eastAsia="Arial" w:hAnsi="Arial"/>
                <w:sz w:val="12"/>
                <w:szCs w:val="12"/>
                <w:color w:val="auto"/>
              </w:rPr>
              <w:t>Weighted average number of ADS outstanding, basic</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131,612</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129,413</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128,819</w:t>
            </w: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128,819</w:t>
            </w:r>
          </w:p>
        </w:tc>
        <w:tc>
          <w:tcPr>
            <w:tcW w:w="20" w:type="dxa"/>
            <w:vAlign w:val="bottom"/>
          </w:tcPr>
          <w:p>
            <w:pPr>
              <w:spacing w:after="0"/>
              <w:rPr>
                <w:sz w:val="13"/>
                <w:szCs w:val="13"/>
                <w:color w:val="auto"/>
              </w:rPr>
            </w:pPr>
          </w:p>
        </w:tc>
      </w:tr>
      <w:tr>
        <w:trPr>
          <w:trHeight w:val="115"/>
        </w:trPr>
        <w:tc>
          <w:tcPr>
            <w:tcW w:w="6320" w:type="dxa"/>
            <w:vAlign w:val="bottom"/>
            <w:tcBorders>
              <w:bottom w:val="single" w:sz="8" w:color="CCEEFF"/>
            </w:tcBorders>
            <w:shd w:val="clear" w:color="auto" w:fill="CCEEFF"/>
          </w:tcPr>
          <w:p>
            <w:pPr>
              <w:spacing w:after="0" w:line="115" w:lineRule="exact"/>
              <w:rPr>
                <w:sz w:val="20"/>
                <w:szCs w:val="20"/>
                <w:color w:val="auto"/>
              </w:rPr>
            </w:pPr>
            <w:r>
              <w:rPr>
                <w:rFonts w:ascii="Arial" w:cs="Arial" w:eastAsia="Arial" w:hAnsi="Arial"/>
                <w:sz w:val="12"/>
                <w:szCs w:val="12"/>
                <w:color w:val="auto"/>
              </w:rPr>
              <w:t>Weighted average number of ordinary shares outstanding, diluted</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3,315,478</w:t>
            </w:r>
          </w:p>
        </w:tc>
        <w:tc>
          <w:tcPr>
            <w:tcW w:w="20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3,254,689</w:t>
            </w:r>
          </w:p>
        </w:tc>
        <w:tc>
          <w:tcPr>
            <w:tcW w:w="180" w:type="dxa"/>
            <w:vAlign w:val="bottom"/>
            <w:tcBorders>
              <w:bottom w:val="single" w:sz="8" w:color="CCEEFF"/>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3,249,972</w:t>
            </w:r>
          </w:p>
        </w:tc>
        <w:tc>
          <w:tcPr>
            <w:tcW w:w="18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3,249,972</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5"/>
        </w:trPr>
        <w:tc>
          <w:tcPr>
            <w:tcW w:w="6320" w:type="dxa"/>
            <w:vAlign w:val="bottom"/>
          </w:tcPr>
          <w:p>
            <w:pPr>
              <w:spacing w:after="0" w:line="115" w:lineRule="exact"/>
              <w:rPr>
                <w:sz w:val="20"/>
                <w:szCs w:val="20"/>
                <w:color w:val="auto"/>
              </w:rPr>
            </w:pPr>
            <w:r>
              <w:rPr>
                <w:rFonts w:ascii="Arial" w:cs="Arial" w:eastAsia="Arial" w:hAnsi="Arial"/>
                <w:sz w:val="12"/>
                <w:szCs w:val="12"/>
                <w:color w:val="auto"/>
              </w:rPr>
              <w:t>Weighted average number of ADS outstanding, diluted</w:t>
            </w: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132,619</w:t>
            </w:r>
          </w:p>
        </w:tc>
        <w:tc>
          <w:tcPr>
            <w:tcW w:w="20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130,188</w:t>
            </w:r>
          </w:p>
        </w:tc>
        <w:tc>
          <w:tcPr>
            <w:tcW w:w="180" w:type="dxa"/>
            <w:vAlign w:val="bottom"/>
          </w:tcPr>
          <w:p>
            <w:pPr>
              <w:spacing w:after="0"/>
              <w:rPr>
                <w:sz w:val="10"/>
                <w:szCs w:val="10"/>
                <w:color w:val="auto"/>
              </w:rPr>
            </w:pPr>
          </w:p>
        </w:tc>
        <w:tc>
          <w:tcPr>
            <w:tcW w:w="7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129,999</w:t>
            </w:r>
          </w:p>
        </w:tc>
        <w:tc>
          <w:tcPr>
            <w:tcW w:w="180" w:type="dxa"/>
            <w:vAlign w:val="bottom"/>
          </w:tcPr>
          <w:p>
            <w:pPr>
              <w:spacing w:after="0"/>
              <w:rPr>
                <w:sz w:val="10"/>
                <w:szCs w:val="10"/>
                <w:color w:val="auto"/>
              </w:rPr>
            </w:pPr>
          </w:p>
        </w:tc>
        <w:tc>
          <w:tcPr>
            <w:tcW w:w="7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2"/>
                <w:szCs w:val="12"/>
                <w:color w:val="auto"/>
              </w:rPr>
              <w:t>129,999</w:t>
            </w:r>
          </w:p>
        </w:tc>
        <w:tc>
          <w:tcPr>
            <w:tcW w:w="20" w:type="dxa"/>
            <w:vAlign w:val="bottom"/>
          </w:tcPr>
          <w:p>
            <w:pPr>
              <w:spacing w:after="0"/>
              <w:rPr>
                <w:sz w:val="10"/>
                <w:szCs w:val="10"/>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NetEase,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280" w:type="dxa"/>
            <w:vAlign w:val="bottom"/>
            <w:gridSpan w:val="4"/>
          </w:tcPr>
          <w:p>
            <w:pPr>
              <w:ind w:left="140"/>
              <w:spacing w:after="0"/>
              <w:rPr>
                <w:sz w:val="20"/>
                <w:szCs w:val="20"/>
                <w:color w:val="auto"/>
              </w:rPr>
            </w:pPr>
            <w:r>
              <w:rPr>
                <w:rFonts w:ascii="Arial" w:cs="Arial" w:eastAsia="Arial" w:hAnsi="Arial"/>
                <w:sz w:val="13"/>
                <w:szCs w:val="13"/>
                <w:b w:val="1"/>
                <w:bCs w:val="1"/>
                <w:color w:val="auto"/>
              </w:rPr>
              <w:t>Ordinary shares</w:t>
            </w:r>
          </w:p>
        </w:tc>
        <w:tc>
          <w:tcPr>
            <w:tcW w:w="11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Additional paid-in</w:t>
            </w:r>
          </w:p>
        </w:tc>
        <w:tc>
          <w:tcPr>
            <w:tcW w:w="13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Treasury stock</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Statutory</w:t>
            </w: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other comprehensive</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Retained</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Noncontrolling</w:t>
            </w:r>
          </w:p>
        </w:tc>
        <w:tc>
          <w:tcPr>
            <w:tcW w:w="10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86"/>
              </w:rPr>
              <w:t>Total shareholders’</w:t>
            </w: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70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3"/>
                <w:szCs w:val="13"/>
                <w:b w:val="1"/>
                <w:bCs w:val="1"/>
                <w:color w:val="auto"/>
              </w:rPr>
              <w:t>Share</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3"/>
                <w:szCs w:val="13"/>
                <w:b w:val="1"/>
                <w:bCs w:val="1"/>
                <w:color w:val="auto"/>
                <w:w w:val="87"/>
              </w:rPr>
              <w:t>capital</w:t>
            </w:r>
          </w:p>
        </w:tc>
        <w:tc>
          <w:tcPr>
            <w:tcW w:w="62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3"/>
                <w:szCs w:val="13"/>
                <w:b w:val="1"/>
                <w:bCs w:val="1"/>
                <w:color w:val="auto"/>
              </w:rPr>
              <w:t>Share</w:t>
            </w:r>
          </w:p>
        </w:tc>
        <w:tc>
          <w:tcPr>
            <w:tcW w:w="60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1"/>
                <w:szCs w:val="11"/>
                <w:color w:val="auto"/>
              </w:rPr>
            </w:pPr>
          </w:p>
        </w:tc>
        <w:tc>
          <w:tcPr>
            <w:tcW w:w="68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2"/>
              </w:rPr>
              <w:t>reserves</w:t>
            </w:r>
          </w:p>
        </w:tc>
        <w:tc>
          <w:tcPr>
            <w:tcW w:w="126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3"/>
              </w:rPr>
              <w:t>income</w:t>
            </w: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4"/>
              </w:rPr>
              <w:t>earnings</w:t>
            </w:r>
          </w:p>
        </w:tc>
        <w:tc>
          <w:tcPr>
            <w:tcW w:w="940" w:type="dxa"/>
            <w:vAlign w:val="bottom"/>
            <w:gridSpan w:val="2"/>
          </w:tcPr>
          <w:p>
            <w:pPr>
              <w:jc w:val="center"/>
              <w:ind w:right="120"/>
              <w:spacing w:after="0" w:line="129" w:lineRule="exact"/>
              <w:rPr>
                <w:sz w:val="20"/>
                <w:szCs w:val="20"/>
                <w:color w:val="auto"/>
              </w:rPr>
            </w:pPr>
            <w:r>
              <w:rPr>
                <w:rFonts w:ascii="Arial" w:cs="Arial" w:eastAsia="Arial" w:hAnsi="Arial"/>
                <w:sz w:val="13"/>
                <w:szCs w:val="13"/>
                <w:b w:val="1"/>
                <w:bCs w:val="1"/>
                <w:color w:val="auto"/>
                <w:w w:val="84"/>
              </w:rPr>
              <w:t>interests</w:t>
            </w:r>
          </w:p>
        </w:tc>
        <w:tc>
          <w:tcPr>
            <w:tcW w:w="106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RMB</w:t>
            </w:r>
          </w:p>
        </w:tc>
        <w:tc>
          <w:tcPr>
            <w:tcW w:w="14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rPr>
              <w:t>RMB</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as of</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3,281,480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2,676</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1,637,953</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1,160,161</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61,479</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35,328,812</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271,860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38,462,941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Ordinary shares issued upon</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settlement of restricted share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units</w:t>
            </w:r>
          </w:p>
        </w:tc>
        <w:tc>
          <w:tcPr>
            <w:tcW w:w="560" w:type="dxa"/>
            <w:vAlign w:val="bottom"/>
          </w:tcPr>
          <w:p>
            <w:pPr>
              <w:jc w:val="right"/>
              <w:spacing w:after="0"/>
              <w:rPr>
                <w:sz w:val="20"/>
                <w:szCs w:val="20"/>
                <w:color w:val="auto"/>
              </w:rPr>
            </w:pPr>
            <w:r>
              <w:rPr>
                <w:rFonts w:ascii="Arial" w:cs="Arial" w:eastAsia="Arial" w:hAnsi="Arial"/>
                <w:sz w:val="13"/>
                <w:szCs w:val="13"/>
                <w:color w:val="auto"/>
              </w:rPr>
              <w:t>29,805</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(21)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2,177,079</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2,177,079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Appropriation to statutory</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reserves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46,063</w:t>
            </w:r>
          </w:p>
        </w:tc>
        <w:tc>
          <w:tcPr>
            <w:tcW w:w="14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(46,063)</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income attributable to</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NetEase, Inc. and</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10,707,939</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126,502</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10,834,441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Repurchase of shares</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(28,068)</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7"/>
              </w:rPr>
              <w:t>(2,061,591)</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(2,061,591)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Cancellation of treasury stock</w:t>
            </w: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(28,068)</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11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(2,061,572)</w:t>
            </w: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28,068</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2,061,591</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w w:val="97"/>
              </w:rPr>
              <w:t>Net change in unrealized gains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w w:val="99"/>
              </w:rPr>
              <w:t>on available-for-sale securities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(23,321)</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(23,321)</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7"/>
              </w:rPr>
              <w:t>Capital injection in subsidiaries</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by noncontrolling interest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Dividends to shareholders</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7"/>
              </w:rPr>
              <w:t>(3,257,607)</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(3,257,607)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currency translation</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(1,573)</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w w:val="96"/>
              </w:rPr>
              <w:t>Deconsolidation of a subsidiary</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(6,729)</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(6,729)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6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w:t>
            </w: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2017</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3,283,217</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2,678</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1,753,439</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1,206,224</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36,585</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42,733,081</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703,133</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46,435,140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line="101" w:lineRule="exact"/>
              <w:rPr>
                <w:sz w:val="20"/>
                <w:szCs w:val="20"/>
                <w:color w:val="auto"/>
              </w:rPr>
            </w:pPr>
            <w:r>
              <w:rPr>
                <w:rFonts w:ascii="Arial" w:cs="Arial" w:eastAsia="Arial" w:hAnsi="Arial"/>
                <w:sz w:val="10"/>
                <w:szCs w:val="10"/>
                <w:color w:val="auto"/>
              </w:rPr>
              <w:t>Cumulative effect of changes in</w:t>
            </w: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w w:val="97"/>
              </w:rPr>
              <w:t>accounting principles related to</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revenue recognition and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financial instruments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(38,159)</w:t>
            </w:r>
          </w:p>
        </w:tc>
        <w:tc>
          <w:tcPr>
            <w:tcW w:w="600" w:type="dxa"/>
            <w:vAlign w:val="bottom"/>
          </w:tcPr>
          <w:p>
            <w:pPr>
              <w:jc w:val="right"/>
              <w:spacing w:after="0"/>
              <w:rPr>
                <w:sz w:val="20"/>
                <w:szCs w:val="20"/>
                <w:color w:val="auto"/>
              </w:rPr>
            </w:pPr>
            <w:r>
              <w:rPr>
                <w:rFonts w:ascii="Arial" w:cs="Arial" w:eastAsia="Arial" w:hAnsi="Arial"/>
                <w:sz w:val="13"/>
                <w:szCs w:val="13"/>
                <w:color w:val="auto"/>
              </w:rPr>
              <w:t>65,608</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12,367</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39,816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Ordinary shares issued upon</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settlement of restricted share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units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30,709</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Share-based compensation</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2,397,798</w:t>
            </w:r>
          </w:p>
        </w:tc>
        <w:tc>
          <w:tcPr>
            <w:tcW w:w="14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131,852</w:t>
            </w:r>
          </w:p>
        </w:tc>
        <w:tc>
          <w:tcPr>
            <w:tcW w:w="12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2,529,650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Appropriation to statutory</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reserves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8,354</w:t>
            </w: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(8,354)</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Net income attributable to</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NetEase, Inc. and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noncontrolling interest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w w:val="93"/>
              </w:rPr>
              <w:t>6,400,505</w:t>
            </w:r>
          </w:p>
        </w:tc>
        <w:tc>
          <w:tcPr>
            <w:tcW w:w="1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76,912</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6,477,417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shares</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6"/>
              </w:rPr>
              <w:t>(114,908)</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(7,592,598)</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(7,592,598)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Cancellation of treasury stock</w:t>
            </w:r>
          </w:p>
        </w:tc>
        <w:tc>
          <w:tcPr>
            <w:tcW w:w="7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6"/>
              </w:rPr>
              <w:t>(114,908)</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(4,151,218)</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w w:val="93"/>
              </w:rPr>
              <w:t>114,908</w:t>
            </w:r>
          </w:p>
        </w:tc>
        <w:tc>
          <w:tcPr>
            <w:tcW w:w="1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w w:val="93"/>
              </w:rPr>
              <w:t>7,592,598</w:t>
            </w:r>
          </w:p>
        </w:tc>
        <w:tc>
          <w:tcPr>
            <w:tcW w:w="14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7"/>
              </w:rPr>
              <w:t>(3,441,303)</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Repurchase of noncontrolling</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and redeemable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(223,243)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(131,143)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(354,386)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w w:val="97"/>
              </w:rPr>
              <w:t>Capital injection in subsidiaries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by noncontrolling interest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15,510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Dividends to shareholders</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(1,440,194)</w:t>
            </w: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(1,440,194)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Foreign currency translation</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adjustment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18,624</w:t>
            </w:r>
          </w:p>
        </w:tc>
        <w:tc>
          <w:tcPr>
            <w:tcW w:w="14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18,624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Disposal of a subsidiary</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(5,654)</w:t>
            </w: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Accretion of redeemable</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noncontrolling interests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(88,712)</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(8,768)</w:t>
            </w:r>
          </w:p>
        </w:tc>
        <w:tc>
          <w:tcPr>
            <w:tcW w:w="1060" w:type="dxa"/>
            <w:vAlign w:val="bottom"/>
            <w:gridSpan w:val="2"/>
          </w:tcPr>
          <w:p>
            <w:pPr>
              <w:jc w:val="right"/>
              <w:ind w:right="20"/>
              <w:spacing w:after="0"/>
              <w:rPr>
                <w:sz w:val="20"/>
                <w:szCs w:val="20"/>
                <w:color w:val="auto"/>
              </w:rPr>
            </w:pPr>
            <w:r>
              <w:rPr>
                <w:rFonts w:ascii="Arial" w:cs="Arial" w:eastAsia="Arial" w:hAnsi="Arial"/>
                <w:sz w:val="13"/>
                <w:szCs w:val="13"/>
                <w:color w:val="auto"/>
              </w:rPr>
              <w:t>(97,480)</w:t>
            </w:r>
          </w:p>
        </w:tc>
        <w:tc>
          <w:tcPr>
            <w:tcW w:w="0" w:type="dxa"/>
            <w:vAlign w:val="bottom"/>
          </w:tcPr>
          <w:p>
            <w:pPr>
              <w:spacing w:after="0"/>
              <w:rPr>
                <w:sz w:val="1"/>
                <w:szCs w:val="1"/>
                <w:color w:val="auto"/>
              </w:rPr>
            </w:pPr>
          </w:p>
        </w:tc>
      </w:tr>
      <w:tr>
        <w:trPr>
          <w:trHeight w:val="101"/>
        </w:trPr>
        <w:tc>
          <w:tcPr>
            <w:tcW w:w="176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0"/>
                <w:szCs w:val="10"/>
                <w:color w:val="auto"/>
              </w:rPr>
              <w:t>Balance as of December 31,</w:t>
            </w:r>
          </w:p>
        </w:tc>
        <w:tc>
          <w:tcPr>
            <w:tcW w:w="5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3,199,018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2,620</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1,214,578</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17,050</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43,997,388</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794,209</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46,025,845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line="101" w:lineRule="exact"/>
              <w:rPr>
                <w:sz w:val="20"/>
                <w:szCs w:val="20"/>
                <w:color w:val="auto"/>
              </w:rPr>
            </w:pPr>
            <w:r>
              <w:rPr>
                <w:rFonts w:ascii="Arial" w:cs="Arial" w:eastAsia="Arial" w:hAnsi="Arial"/>
                <w:sz w:val="10"/>
                <w:szCs w:val="10"/>
                <w:color w:val="auto"/>
              </w:rPr>
              <w:t>Ordinary shares issued upon</w:t>
            </w:r>
          </w:p>
        </w:tc>
        <w:tc>
          <w:tcPr>
            <w:tcW w:w="5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settlement of restricted share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units</w:t>
            </w:r>
          </w:p>
        </w:tc>
        <w:tc>
          <w:tcPr>
            <w:tcW w:w="560" w:type="dxa"/>
            <w:vAlign w:val="bottom"/>
          </w:tcPr>
          <w:p>
            <w:pPr>
              <w:jc w:val="right"/>
              <w:spacing w:after="0"/>
              <w:rPr>
                <w:sz w:val="20"/>
                <w:szCs w:val="20"/>
                <w:color w:val="auto"/>
              </w:rPr>
            </w:pPr>
            <w:r>
              <w:rPr>
                <w:rFonts w:ascii="Arial" w:cs="Arial" w:eastAsia="Arial" w:hAnsi="Arial"/>
                <w:sz w:val="13"/>
                <w:szCs w:val="13"/>
                <w:color w:val="auto"/>
              </w:rPr>
              <w:t>29,513</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w:t>
            </w:r>
          </w:p>
        </w:tc>
        <w:tc>
          <w:tcPr>
            <w:tcW w:w="14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(1,487)</w:t>
            </w:r>
          </w:p>
        </w:tc>
        <w:tc>
          <w:tcPr>
            <w:tcW w:w="50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1,467</w:t>
            </w:r>
          </w:p>
        </w:tc>
        <w:tc>
          <w:tcPr>
            <w:tcW w:w="14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Share-based compensation</w:t>
            </w: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2,341,078</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46,100</w:t>
            </w: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2,387,178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rPr>
              <w:t>Appropriation to statutory</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reserves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11,129</w:t>
            </w:r>
          </w:p>
        </w:tc>
        <w:tc>
          <w:tcPr>
            <w:tcW w:w="14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(11,129)</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Net income attributable to</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NetEase, Inc. and</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noncontrolling interest</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21,509,059</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(77,933)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21,431,126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Repurchase of shares</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(1,467)</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(1,467)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Repurchase of noncontrolling</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and redeemable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(4,279)</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(53)</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tcPr>
          <w:p>
            <w:pPr>
              <w:spacing w:after="0" w:line="121" w:lineRule="exact"/>
              <w:rPr>
                <w:sz w:val="20"/>
                <w:szCs w:val="20"/>
                <w:color w:val="auto"/>
              </w:rPr>
            </w:pPr>
            <w:r>
              <w:rPr>
                <w:rFonts w:ascii="Arial" w:cs="Arial" w:eastAsia="Arial" w:hAnsi="Arial"/>
                <w:sz w:val="13"/>
                <w:szCs w:val="13"/>
                <w:color w:val="auto"/>
                <w:w w:val="97"/>
              </w:rPr>
              <w:t>Capital injection in subsidiaries</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by noncontrolling interest</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20"/>
                <w:szCs w:val="20"/>
                <w:color w:val="auto"/>
              </w:rPr>
            </w:pPr>
            <w:r>
              <w:rPr>
                <w:rFonts w:ascii="Arial" w:cs="Arial" w:eastAsia="Arial" w:hAnsi="Arial"/>
                <w:sz w:val="13"/>
                <w:szCs w:val="13"/>
                <w:color w:val="auto"/>
              </w:rPr>
              <w:t>shareholders</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1,153,528</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378,654</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1,532,182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Conversion of Youdao’s</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preferred shares recognized as</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redeemable noncontrolling</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interests to ordinary shares</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468,788</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27,757</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Dividends to shareholders</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7"/>
              </w:rPr>
              <w:t>(8,840,634)</w:t>
            </w: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(8,840,634)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Foreign currency translation</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adjustment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(88,022)</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(5,752)</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Disposal of subsidiaries</w:t>
            </w: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(43,972)</w:t>
            </w: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(10,499)</w:t>
            </w:r>
          </w:p>
        </w:tc>
        <w:tc>
          <w:tcPr>
            <w:tcW w:w="12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(473)</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10,499</w:t>
            </w:r>
          </w:p>
        </w:tc>
        <w:tc>
          <w:tcPr>
            <w:tcW w:w="140" w:type="dxa"/>
            <w:vAlign w:val="bottom"/>
          </w:tcPr>
          <w:p>
            <w:pPr>
              <w:spacing w:after="0"/>
              <w:rPr>
                <w:sz w:val="11"/>
                <w:szCs w:val="11"/>
                <w:color w:val="auto"/>
              </w:rPr>
            </w:pPr>
          </w:p>
        </w:tc>
        <w:tc>
          <w:tcPr>
            <w:tcW w:w="9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(11,807)</w:t>
            </w:r>
          </w:p>
        </w:tc>
        <w:tc>
          <w:tcPr>
            <w:tcW w:w="1040" w:type="dxa"/>
            <w:vAlign w:val="bottom"/>
          </w:tcPr>
          <w:p>
            <w:pPr>
              <w:jc w:val="right"/>
              <w:spacing w:after="0" w:line="135" w:lineRule="exact"/>
              <w:rPr>
                <w:sz w:val="20"/>
                <w:szCs w:val="20"/>
                <w:color w:val="auto"/>
              </w:rPr>
            </w:pPr>
            <w:r>
              <w:rPr>
                <w:rFonts w:ascii="Arial" w:cs="Arial" w:eastAsia="Arial" w:hAnsi="Arial"/>
                <w:sz w:val="13"/>
                <w:szCs w:val="13"/>
                <w:color w:val="auto"/>
              </w:rPr>
              <w:t>(56,252)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Accretion of redeemable</w:t>
            </w: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(271,543)</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(12,019)</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60" w:type="dxa"/>
            <w:vAlign w:val="bottom"/>
            <w:vMerge w:val="restart"/>
          </w:tcPr>
          <w:p>
            <w:pPr>
              <w:spacing w:after="0" w:line="121" w:lineRule="exact"/>
              <w:rPr>
                <w:sz w:val="20"/>
                <w:szCs w:val="20"/>
                <w:color w:val="auto"/>
              </w:rPr>
            </w:pPr>
            <w:r>
              <w:rPr>
                <w:rFonts w:ascii="Arial" w:cs="Arial" w:eastAsia="Arial" w:hAnsi="Arial"/>
                <w:sz w:val="13"/>
                <w:szCs w:val="13"/>
                <w:color w:val="auto"/>
              </w:rPr>
              <w:t>Balance as of</w:t>
            </w: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760" w:type="dxa"/>
            <w:vAlign w:val="bottom"/>
            <w:vMerge w:val="continue"/>
          </w:tcPr>
          <w:p>
            <w:pPr>
              <w:spacing w:after="0"/>
              <w:rPr>
                <w:sz w:val="8"/>
                <w:szCs w:val="8"/>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w w:val="86"/>
              </w:rPr>
              <w:t>3,228,531</w:t>
            </w:r>
          </w:p>
        </w:tc>
        <w:tc>
          <w:tcPr>
            <w:tcW w:w="1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Arial" w:cs="Arial" w:eastAsia="Arial" w:hAnsi="Arial"/>
                <w:sz w:val="13"/>
                <w:szCs w:val="13"/>
                <w:color w:val="auto"/>
              </w:rPr>
              <w:t>2,640</w:t>
            </w:r>
          </w:p>
        </w:tc>
        <w:tc>
          <w:tcPr>
            <w:tcW w:w="14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3,913,656</w:t>
            </w:r>
          </w:p>
        </w:tc>
        <w:tc>
          <w:tcPr>
            <w:tcW w:w="1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8"/>
                <w:szCs w:val="8"/>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w w:val="82"/>
              </w:rPr>
              <w:t>1,215,208</w:t>
            </w:r>
          </w:p>
        </w:tc>
        <w:tc>
          <w:tcPr>
            <w:tcW w:w="140" w:type="dxa"/>
            <w:vAlign w:val="bottom"/>
          </w:tcPr>
          <w:p>
            <w:pPr>
              <w:spacing w:after="0"/>
              <w:rPr>
                <w:sz w:val="8"/>
                <w:szCs w:val="8"/>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(71,445)</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w w:val="82"/>
              </w:rPr>
              <w:t>56,393,640</w:t>
            </w:r>
          </w:p>
        </w:tc>
        <w:tc>
          <w:tcPr>
            <w:tcW w:w="1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1,139,156</w:t>
            </w:r>
          </w:p>
        </w:tc>
        <w:tc>
          <w:tcPr>
            <w:tcW w:w="12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62,592,855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760" w:type="dxa"/>
            <w:vAlign w:val="bottom"/>
          </w:tcPr>
          <w:p>
            <w:pPr>
              <w:spacing w:after="0" w:line="136" w:lineRule="exact"/>
              <w:rPr>
                <w:sz w:val="20"/>
                <w:szCs w:val="20"/>
                <w:color w:val="auto"/>
              </w:rPr>
            </w:pPr>
            <w:r>
              <w:rPr>
                <w:rFonts w:ascii="Arial" w:cs="Arial" w:eastAsia="Arial" w:hAnsi="Arial"/>
                <w:sz w:val="13"/>
                <w:szCs w:val="13"/>
                <w:color w:val="auto"/>
              </w:rPr>
              <w:t>December 31, 2019</w:t>
            </w:r>
          </w:p>
        </w:tc>
        <w:tc>
          <w:tcPr>
            <w:tcW w:w="5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00"/>
          </w:cols>
          <w:pgMar w:left="840" w:top="517" w:right="8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648081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6">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7" w:right="859" w:bottom="1440" w:gutter="0" w:footer="0" w:header="0"/>
          <w:type w:val="continuous"/>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NetEase,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w w:val="86"/>
              </w:rPr>
              <w:t>For the year ended December 31,</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2017</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2018</w:t>
            </w:r>
          </w:p>
        </w:tc>
        <w:tc>
          <w:tcPr>
            <w:tcW w:w="180" w:type="dxa"/>
            <w:vAlign w:val="bottom"/>
          </w:tcPr>
          <w:p>
            <w:pPr>
              <w:spacing w:after="0"/>
              <w:rPr>
                <w:sz w:val="11"/>
                <w:szCs w:val="11"/>
                <w:color w:val="auto"/>
              </w:rPr>
            </w:pPr>
          </w:p>
        </w:tc>
        <w:tc>
          <w:tcPr>
            <w:tcW w:w="760" w:type="dxa"/>
            <w:vAlign w:val="bottom"/>
            <w:tcBorders>
              <w:bottom w:val="single" w:sz="8" w:color="auto"/>
            </w:tcBorders>
          </w:tcPr>
          <w:p>
            <w:pPr>
              <w:jc w:val="right"/>
              <w:ind w:right="202"/>
              <w:spacing w:after="0" w:line="129" w:lineRule="exact"/>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1"/>
                <w:szCs w:val="11"/>
                <w:color w:val="auto"/>
              </w:rPr>
            </w:pPr>
          </w:p>
        </w:tc>
        <w:tc>
          <w:tcPr>
            <w:tcW w:w="78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74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200" w:type="dxa"/>
            <w:vAlign w:val="bottom"/>
          </w:tcPr>
          <w:p>
            <w:pPr>
              <w:spacing w:after="0"/>
              <w:rPr>
                <w:sz w:val="10"/>
                <w:szCs w:val="10"/>
                <w:color w:val="auto"/>
              </w:rPr>
            </w:pPr>
          </w:p>
        </w:tc>
        <w:tc>
          <w:tcPr>
            <w:tcW w:w="76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10"/>
                <w:szCs w:val="10"/>
                <w:color w:val="auto"/>
              </w:rPr>
            </w:pPr>
          </w:p>
        </w:tc>
        <w:tc>
          <w:tcPr>
            <w:tcW w:w="760" w:type="dxa"/>
            <w:vAlign w:val="bottom"/>
          </w:tcPr>
          <w:p>
            <w:pPr>
              <w:jc w:val="right"/>
              <w:ind w:right="182"/>
              <w:spacing w:after="0" w:line="121" w:lineRule="exact"/>
              <w:rPr>
                <w:sz w:val="20"/>
                <w:szCs w:val="20"/>
                <w:color w:val="auto"/>
              </w:rPr>
            </w:pPr>
            <w:r>
              <w:rPr>
                <w:rFonts w:ascii="Arial" w:cs="Arial" w:eastAsia="Arial" w:hAnsi="Arial"/>
                <w:sz w:val="12"/>
                <w:szCs w:val="12"/>
                <w:b w:val="1"/>
                <w:bCs w:val="1"/>
                <w:color w:val="auto"/>
              </w:rPr>
              <w:t>RMB</w:t>
            </w:r>
          </w:p>
        </w:tc>
        <w:tc>
          <w:tcPr>
            <w:tcW w:w="180" w:type="dxa"/>
            <w:vAlign w:val="bottom"/>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Arial" w:cs="Arial" w:eastAsia="Arial" w:hAnsi="Arial"/>
                <w:sz w:val="12"/>
                <w:szCs w:val="12"/>
                <w:b w:val="1"/>
                <w:bCs w:val="1"/>
                <w:color w:val="auto"/>
                <w:w w:val="94"/>
              </w:rPr>
              <w:t>US$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Note 2(o)</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flows from operating activities: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spacing w:after="0" w:line="135" w:lineRule="exact"/>
              <w:rPr>
                <w:sz w:val="20"/>
                <w:szCs w:val="20"/>
                <w:color w:val="auto"/>
              </w:rPr>
            </w:pPr>
            <w:r>
              <w:rPr>
                <w:rFonts w:ascii="Arial" w:cs="Arial" w:eastAsia="Arial" w:hAnsi="Arial"/>
                <w:sz w:val="12"/>
                <w:szCs w:val="12"/>
                <w:color w:val="auto"/>
              </w:rPr>
              <w:t>Net income</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10,849,137</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6,477,417</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21,431,126</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3,078,388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Net loss/(income) from discontinued operations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834,454</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2,138,682</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(7,962,519)</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(1,143,744)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100"/>
              <w:spacing w:after="0" w:line="135" w:lineRule="exact"/>
              <w:rPr>
                <w:sz w:val="20"/>
                <w:szCs w:val="20"/>
                <w:color w:val="auto"/>
              </w:rPr>
            </w:pPr>
            <w:r>
              <w:rPr>
                <w:rFonts w:ascii="Arial" w:cs="Arial" w:eastAsia="Arial" w:hAnsi="Arial"/>
                <w:sz w:val="12"/>
                <w:szCs w:val="12"/>
                <w:color w:val="auto"/>
              </w:rPr>
              <w:t>Adjustments to reconcile net income to net cash provided by operating activities: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Depreciation and amortization</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791,778</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2,060,135</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2,613,782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375,446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Fair value change of equity security investments and other financial instruments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248,169</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(751,693)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(107,974)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Investment impairment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58,537</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159,703</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177,567</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25,506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Share-based compensation cost</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1,984,851</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2,471,731</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2,404,089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345,326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Allowance for/(Reversal of) doubtful accounts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60,826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50,954</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(28,583)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Loss/(Gain) on disposal of property, equipment and software</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5,072</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(1,385)</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5,122</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736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Unrealized exchange losses /(gains)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440,529</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31,998</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(9,981)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Gain on disposal of long-term investments, business and subsidiaries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(9,595)</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(213,339)</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(98,489)</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(14,147)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Deferred income taxes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(438,307)</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(70,621)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150,629</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21,637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Net equity share of losses /(gains) from equity method investees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12,232</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98,301</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(4,322)</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Fair value changes of short-term investments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(389,793)</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(463,483)</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(657,606)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(94,459)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100"/>
              <w:spacing w:after="0" w:line="135" w:lineRule="exact"/>
              <w:rPr>
                <w:sz w:val="20"/>
                <w:szCs w:val="20"/>
                <w:color w:val="auto"/>
              </w:rPr>
            </w:pPr>
            <w:r>
              <w:rPr>
                <w:rFonts w:ascii="Arial" w:cs="Arial" w:eastAsia="Arial" w:hAnsi="Arial"/>
                <w:sz w:val="12"/>
                <w:szCs w:val="12"/>
                <w:color w:val="auto"/>
              </w:rPr>
              <w:t>Changes in operating assets and liabilities: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Accounts receivable</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596,054</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(612,656)</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(11,314)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Inventories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(754,889)</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(81,440)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415,057</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59,619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Prepayments and other assets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201,931</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(719,035)</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(1,488,564)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(213,819)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Accounts payable</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116,906</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112,435</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13,229</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Salary and welfare payables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649,460</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725,515</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146,146</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20,993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Taxes payable</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(170,130)</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685,024</w:t>
            </w:r>
          </w:p>
        </w:tc>
        <w:tc>
          <w:tcPr>
            <w:tcW w:w="1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(133,801)</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(19,219)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Deferred revenue</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(1,375,811)</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1,757,874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883,742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126,942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Accrued liabilities and other payables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1,401,210</w:t>
            </w:r>
          </w:p>
        </w:tc>
        <w:tc>
          <w:tcPr>
            <w:tcW w:w="20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(196,136)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(182,646)</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(26,235)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200"/>
              <w:spacing w:after="0" w:line="129" w:lineRule="exact"/>
              <w:rPr>
                <w:sz w:val="20"/>
                <w:szCs w:val="20"/>
                <w:color w:val="auto"/>
              </w:rPr>
            </w:pPr>
            <w:r>
              <w:rPr>
                <w:rFonts w:ascii="Arial" w:cs="Arial" w:eastAsia="Arial" w:hAnsi="Arial"/>
                <w:sz w:val="12"/>
                <w:szCs w:val="12"/>
                <w:color w:val="auto"/>
              </w:rPr>
              <w:t>Net cash provided by continuing operating activities</w:t>
            </w: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14,864,452</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14,659,843</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16,910,971</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2,429,110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Net cash (used in)/provided by discontinued operating activities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(2,975,214)</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(1,243,966)</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305,487</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43,880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2"/>
                <w:szCs w:val="12"/>
                <w:color w:val="auto"/>
              </w:rPr>
              <w:t>Net cash provided by operating activities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11,889,238</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13,415,877</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17,216,458</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2,472,990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Cash flows from investing activities: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Purchase of property, equipment and software</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(1,654,486)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(2,169,404)</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(1,209,477)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(173,731)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from sale of property, equipment and software</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4,425</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6,688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60,601</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8,705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Purchase of intangible assets, content and licensed copyrights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(791,580)</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(1,741,225)</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(2,119,307)</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(304,419)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Purchase of land use right</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(6,488)</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(2,926,795)</w:t>
            </w: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Net change of short-term investments with terms of three months or less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(895,298)</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(1,172,326)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(1,023,165)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(146,969)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Purchase of short-term investments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(12,491,000)</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(13,393,000)</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(22,370,000)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(3,213,249)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Proceeds from maturities of short-term investments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15,615,544</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13,071,359</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20,225,342</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2,905,189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Investment in equity method investees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(235,769)</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(272,451)</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(450,695)</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(64,738)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Acquisitions of other equity investments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(900,712)</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(2,751,040)</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(1,111,493)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(159,656)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from disposal of investment in equity method investees and other equity investments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350,418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406,702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58,419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Placement/rollover of time deposits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(33,984,148)</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(41,553,428)</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(77,083,350)</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(11,072,330)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from maturity of time deposits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22,429,597</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39,924,525</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54,381,647</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7,811,435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Change in other long-term assets</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(100,646)</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(133,039)</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(42,345)</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(6,082)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Amounts (paid to) / received from disposed businesses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(3,296,366)</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(1,889,560)</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9,031,051</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1,297,229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Pr>
          <w:p>
            <w:pPr>
              <w:ind w:left="200"/>
              <w:spacing w:after="0" w:line="129" w:lineRule="exact"/>
              <w:rPr>
                <w:sz w:val="20"/>
                <w:szCs w:val="20"/>
                <w:color w:val="auto"/>
              </w:rPr>
            </w:pPr>
            <w:r>
              <w:rPr>
                <w:rFonts w:ascii="Arial" w:cs="Arial" w:eastAsia="Arial" w:hAnsi="Arial"/>
                <w:sz w:val="12"/>
                <w:szCs w:val="12"/>
                <w:color w:val="auto"/>
              </w:rPr>
              <w:t>Net cash used in continuing investing activities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(15,956,509)</w:t>
            </w:r>
          </w:p>
        </w:tc>
        <w:tc>
          <w:tcPr>
            <w:tcW w:w="20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(14,999,696)</w:t>
            </w:r>
          </w:p>
        </w:tc>
        <w:tc>
          <w:tcPr>
            <w:tcW w:w="180" w:type="dxa"/>
            <w:vAlign w:val="bottom"/>
          </w:tcPr>
          <w:p>
            <w:pPr>
              <w:spacing w:after="0"/>
              <w:rPr>
                <w:sz w:val="11"/>
                <w:szCs w:val="11"/>
                <w:color w:val="auto"/>
              </w:rPr>
            </w:pP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(21,304,489)</w:t>
            </w:r>
          </w:p>
        </w:tc>
        <w:tc>
          <w:tcPr>
            <w:tcW w:w="18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color w:val="auto"/>
              </w:rPr>
              <w:t>(3,060,197)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Net cash provided by/ (used in) discontinued investing activities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3,101,239</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1,430,181</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(832,252)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(119,546)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Borders>
              <w:bottom w:val="single" w:sz="8" w:color="CCEEFF"/>
            </w:tcBorders>
          </w:tcPr>
          <w:p>
            <w:pPr>
              <w:ind w:left="100"/>
              <w:spacing w:after="0" w:line="129" w:lineRule="exact"/>
              <w:rPr>
                <w:sz w:val="20"/>
                <w:szCs w:val="20"/>
                <w:color w:val="auto"/>
              </w:rPr>
            </w:pPr>
            <w:r>
              <w:rPr>
                <w:rFonts w:ascii="Arial" w:cs="Arial" w:eastAsia="Arial" w:hAnsi="Arial"/>
                <w:sz w:val="12"/>
                <w:szCs w:val="12"/>
                <w:color w:val="auto"/>
              </w:rPr>
              <w:t>Net cash used in investing activities</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(12,855,270)</w:t>
            </w:r>
          </w:p>
        </w:tc>
        <w:tc>
          <w:tcPr>
            <w:tcW w:w="2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(13,569,515)</w:t>
            </w: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(22,136,741)</w:t>
            </w:r>
          </w:p>
        </w:tc>
        <w:tc>
          <w:tcPr>
            <w:tcW w:w="18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(3,179,743)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flows from financing activities:</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Net proceeds from short-term loan with terms of three months or less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3,095,465</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6,194,113</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2,538,267</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364,599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of short-term loan</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9,505</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34,256</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730,087</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104,870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Repayment of short-term loan</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(18,761)</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(296,823)</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(42,636)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Dividends paid to shareholders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(3,257,607)</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(1,440,194)</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(8,840,634)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(1,269,878)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Repurchase of redeemable noncontrolling interests</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(780,000)</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Proceeds from issuance of redeemable noncontrolling interest shareholders, net of issuance cost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600,000</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5,294,174</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5,242,180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752,992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Repurchase of noncontrolling interest</w:t>
            </w:r>
          </w:p>
        </w:tc>
        <w:tc>
          <w:tcPr>
            <w:tcW w:w="940" w:type="dxa"/>
            <w:vAlign w:val="bottom"/>
            <w:gridSpan w:val="2"/>
          </w:tcPr>
          <w:p>
            <w:pPr>
              <w:jc w:val="right"/>
              <w:ind w:right="240"/>
              <w:spacing w:after="0" w:line="135"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(195,000)</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Capital injection from noncontrolling interest shareholders</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311,500</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15,510</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1,698,810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244,019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Cash (paid for)/ refund received from share repurchase</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(2,061,591)</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(7,516,679)</w:t>
            </w: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10,638</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1,528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top w:val="single" w:sz="8" w:color="CCEEFF"/>
            </w:tcBorders>
            <w:shd w:val="clear" w:color="auto" w:fill="CCEEFF"/>
          </w:tcPr>
          <w:p>
            <w:pPr>
              <w:ind w:left="100"/>
              <w:spacing w:after="0" w:line="129" w:lineRule="exact"/>
              <w:rPr>
                <w:sz w:val="20"/>
                <w:szCs w:val="20"/>
                <w:color w:val="auto"/>
              </w:rPr>
            </w:pPr>
            <w:r>
              <w:rPr>
                <w:rFonts w:ascii="Arial" w:cs="Arial" w:eastAsia="Arial" w:hAnsi="Arial"/>
                <w:sz w:val="12"/>
                <w:szCs w:val="12"/>
                <w:color w:val="auto"/>
              </w:rPr>
              <w:t>Net cash (used in)/provided by financing activities*</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(1,302,728)</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1,587,419</w:t>
            </w: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1,082,525</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155,494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Effect of exchange rate changes on cash, cash equivalents and restricted cash held in foreign currencies</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(12,766)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81,511</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29,080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4,177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Net (decrease)/increase in cash, cash equivalents and restricted cash</w:t>
            </w: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(2,281,526)</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1,515,292</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(3,808,678)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(547,082)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b w:val="1"/>
                <w:bCs w:val="1"/>
                <w:color w:val="auto"/>
              </w:rPr>
              <w:t>Cash, cash equivalents and restricted cash, beginning of the year</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10,972,772</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8,691,246</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10,206,538</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1,466,077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shd w:val="clear" w:color="auto" w:fill="CCEEFF"/>
          </w:tcPr>
          <w:p>
            <w:pPr>
              <w:spacing w:after="0" w:line="129" w:lineRule="exact"/>
              <w:rPr>
                <w:sz w:val="20"/>
                <w:szCs w:val="20"/>
                <w:color w:val="auto"/>
              </w:rPr>
            </w:pPr>
            <w:r>
              <w:rPr>
                <w:rFonts w:ascii="Arial" w:cs="Arial" w:eastAsia="Arial" w:hAnsi="Arial"/>
                <w:sz w:val="12"/>
                <w:szCs w:val="12"/>
                <w:b w:val="1"/>
                <w:bCs w:val="1"/>
                <w:color w:val="auto"/>
              </w:rPr>
              <w:t>Cash, cash equivalents and restricted cash, end of the year</w:t>
            </w: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8,691,246</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10,206,538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6,397,860</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918,995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Borders>
              <w:bottom w:val="single" w:sz="8" w:color="CCEEFF"/>
            </w:tcBorders>
          </w:tcPr>
          <w:p>
            <w:pPr>
              <w:spacing w:after="0" w:line="135" w:lineRule="exact"/>
              <w:rPr>
                <w:sz w:val="20"/>
                <w:szCs w:val="20"/>
                <w:color w:val="auto"/>
              </w:rPr>
            </w:pPr>
            <w:r>
              <w:rPr>
                <w:rFonts w:ascii="Arial" w:cs="Arial" w:eastAsia="Arial" w:hAnsi="Arial"/>
                <w:sz w:val="12"/>
                <w:szCs w:val="12"/>
                <w:color w:val="auto"/>
              </w:rPr>
              <w:t>Less: Cash, cash equivalents and restricted cash of held for sales at end of the year</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337,212</w:t>
            </w:r>
          </w:p>
        </w:tc>
        <w:tc>
          <w:tcPr>
            <w:tcW w:w="2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537,056</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1,133</w:t>
            </w:r>
          </w:p>
        </w:tc>
        <w:tc>
          <w:tcPr>
            <w:tcW w:w="18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2"/>
                <w:szCs w:val="12"/>
                <w:color w:val="auto"/>
              </w:rPr>
              <w:t>163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3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Cash, cash equivalents and restricted cash of continuing operations, end of the year</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8,354,034</w:t>
            </w:r>
          </w:p>
        </w:tc>
        <w:tc>
          <w:tcPr>
            <w:tcW w:w="20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9,669,482</w:t>
            </w:r>
          </w:p>
        </w:tc>
        <w:tc>
          <w:tcPr>
            <w:tcW w:w="18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6,396,727</w:t>
            </w:r>
          </w:p>
        </w:tc>
        <w:tc>
          <w:tcPr>
            <w:tcW w:w="1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918,832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Supplemental disclosures of cash flow information of continuing operation:</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2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ind w:left="200"/>
              <w:spacing w:after="0" w:line="135" w:lineRule="exact"/>
              <w:rPr>
                <w:sz w:val="20"/>
                <w:szCs w:val="20"/>
                <w:color w:val="auto"/>
              </w:rPr>
            </w:pPr>
            <w:r>
              <w:rPr>
                <w:rFonts w:ascii="Arial" w:cs="Arial" w:eastAsia="Arial" w:hAnsi="Arial"/>
                <w:sz w:val="12"/>
                <w:szCs w:val="12"/>
                <w:color w:val="auto"/>
              </w:rPr>
              <w:t>Cash paid for income taxes, net of tax refund</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2,705,804</w:t>
            </w: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2,003,158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3,193,802</w:t>
            </w: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458,761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tcPr>
          <w:p>
            <w:pPr>
              <w:ind w:left="200"/>
              <w:spacing w:after="0" w:line="135" w:lineRule="exact"/>
              <w:rPr>
                <w:sz w:val="20"/>
                <w:szCs w:val="20"/>
                <w:color w:val="auto"/>
              </w:rPr>
            </w:pPr>
            <w:r>
              <w:rPr>
                <w:rFonts w:ascii="Arial" w:cs="Arial" w:eastAsia="Arial" w:hAnsi="Arial"/>
                <w:sz w:val="12"/>
                <w:szCs w:val="12"/>
                <w:color w:val="auto"/>
              </w:rPr>
              <w:t>Cash paid for interest expenses</w:t>
            </w: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84,708</w:t>
            </w: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301,761</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2"/>
                <w:szCs w:val="12"/>
                <w:color w:val="auto"/>
              </w:rPr>
              <w:t>431,395</w:t>
            </w: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61,966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00" w:type="dxa"/>
            <w:vAlign w:val="bottom"/>
            <w:shd w:val="clear" w:color="auto" w:fill="CCEEFF"/>
          </w:tcPr>
          <w:p>
            <w:pPr>
              <w:spacing w:after="0" w:line="135" w:lineRule="exact"/>
              <w:rPr>
                <w:sz w:val="20"/>
                <w:szCs w:val="20"/>
                <w:color w:val="auto"/>
              </w:rPr>
            </w:pPr>
            <w:r>
              <w:rPr>
                <w:rFonts w:ascii="Arial" w:cs="Arial" w:eastAsia="Arial" w:hAnsi="Arial"/>
                <w:sz w:val="12"/>
                <w:szCs w:val="12"/>
                <w:b w:val="1"/>
                <w:bCs w:val="1"/>
                <w:color w:val="auto"/>
              </w:rPr>
              <w:t>Supplemental schedule of non-cash investing and financing activities of continuing operation:</w:t>
            </w: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00" w:type="dxa"/>
            <w:vAlign w:val="bottom"/>
          </w:tcPr>
          <w:p>
            <w:pPr>
              <w:ind w:left="200"/>
              <w:spacing w:after="0"/>
              <w:rPr>
                <w:sz w:val="20"/>
                <w:szCs w:val="20"/>
                <w:color w:val="auto"/>
              </w:rPr>
            </w:pPr>
            <w:r>
              <w:rPr>
                <w:rFonts w:ascii="Arial" w:cs="Arial" w:eastAsia="Arial" w:hAnsi="Arial"/>
                <w:sz w:val="12"/>
                <w:szCs w:val="12"/>
                <w:color w:val="auto"/>
              </w:rPr>
              <w:t>Fixed asset purchases financed by accounts payable and accured liabilities</w:t>
            </w:r>
          </w:p>
        </w:tc>
        <w:tc>
          <w:tcPr>
            <w:tcW w:w="740" w:type="dxa"/>
            <w:vAlign w:val="bottom"/>
          </w:tcPr>
          <w:p>
            <w:pPr>
              <w:jc w:val="right"/>
              <w:spacing w:after="0"/>
              <w:rPr>
                <w:sz w:val="20"/>
                <w:szCs w:val="20"/>
                <w:color w:val="auto"/>
              </w:rPr>
            </w:pPr>
            <w:r>
              <w:rPr>
                <w:rFonts w:ascii="Arial" w:cs="Arial" w:eastAsia="Arial" w:hAnsi="Arial"/>
                <w:sz w:val="12"/>
                <w:szCs w:val="12"/>
                <w:color w:val="auto"/>
              </w:rPr>
              <w:t>293,045</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351,610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304,944</w:t>
            </w: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43,802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is no financing activity from discontinued opearations.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Renminbi (“RMB”), unless otherwise stated)</w:t>
      </w:r>
    </w:p>
    <w:p>
      <w:pPr>
        <w:spacing w:after="0" w:line="207"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The Group</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NetEase.com, Inc. was incorporated in the Cayman Islands on July 6, 1999 and changed its name to “NetEase, Inc.” (“the Company”) with effect from March 29, 2012. The Company has been listed on the Nasdaq National Market (now the Nasdaq Global Select Market) in the United States of America since July 2000. As of December 31, 2019, the Company has wholly-owned and majority-owned subsidiaries incorporated in countries and jurisdictions mainly in the People’s Republic of China (“PRC" or "China", references to "China" and "PRC" are to the People's Republic of China, excluding, for the purposes of the financial statements only, Hong Kong, Macau and Taiwan), Hong Kong, Cayman Islands and British Virgin Islands (“BVI”). The Company also effectively controls a number of variable interest entities (“VIEs”) for which the Company is the primary beneficiary. The Company, its subsidiaries and VIEs are hereinafter collectively referred to as the “Group”.</w:t>
      </w:r>
    </w:p>
    <w:p>
      <w:pPr>
        <w:spacing w:after="0" w:line="178"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In September 2019, the Company sold its Kaola e-commerce business. As a result, Kaola has been deconsolidated from the Company and its historical financial results are reflected in the Company's consolidated financial statements as discontinued operations accordingly. See additional discussion on the discontinued operation in Note 3 to the consolidated financial statements.</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26, 2019, Youdao, Inc. (“Youdao”), one of the Company’s majority-controlled subsidiaries completed its initial public offering (“IPO”) on the New York Stock Exchange. After Youdao’s offering, the Company continues to control Youdao and consolidates Youdao as its controlling shareholder.</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major subsidiaries and VIEs through which the Company conducts its business operations as of December 31, 2019 are described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Subsidiaries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0" w:type="dxa"/>
            <w:vAlign w:val="bottom"/>
          </w:tcPr>
          <w:p>
            <w:pPr>
              <w:spacing w:after="0"/>
              <w:rPr>
                <w:sz w:val="1"/>
                <w:szCs w:val="1"/>
                <w:color w:val="auto"/>
              </w:rPr>
            </w:pPr>
          </w:p>
        </w:tc>
      </w:tr>
      <w:tr>
        <w:trPr>
          <w:trHeight w:val="171"/>
        </w:trPr>
        <w:tc>
          <w:tcPr>
            <w:tcW w:w="804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0" w:type="dxa"/>
            <w:vAlign w:val="bottom"/>
          </w:tcPr>
          <w:p>
            <w:pPr>
              <w:spacing w:after="0"/>
              <w:rPr>
                <w:sz w:val="1"/>
                <w:szCs w:val="1"/>
                <w:color w:val="auto"/>
              </w:rPr>
            </w:pPr>
          </w:p>
        </w:tc>
      </w:tr>
      <w:tr>
        <w:trPr>
          <w:trHeight w:val="209"/>
        </w:trPr>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 (“Boguan”)</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Guangzhou, China 2003</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NetEase (Hangzhou) Network Co., Ltd. (“NetEase Hangzhou”)</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Hangzhou, China 2006</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Hong Kong, China 2007</w:t>
            </w:r>
          </w:p>
        </w:tc>
        <w:tc>
          <w:tcPr>
            <w:tcW w:w="0" w:type="dxa"/>
            <w:vAlign w:val="bottom"/>
          </w:tcPr>
          <w:p>
            <w:pPr>
              <w:spacing w:after="0"/>
              <w:rPr>
                <w:sz w:val="1"/>
                <w:szCs w:val="1"/>
                <w:color w:val="auto"/>
              </w:rPr>
            </w:pPr>
          </w:p>
        </w:tc>
      </w:tr>
      <w:tr>
        <w:trPr>
          <w:trHeight w:val="355"/>
        </w:trPr>
        <w:tc>
          <w:tcPr>
            <w:tcW w:w="8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Major VIEs and VIEs' subsidiaries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0"/>
              </w:rPr>
              <w:t>Place and year of</w:t>
            </w:r>
          </w:p>
        </w:tc>
        <w:tc>
          <w:tcPr>
            <w:tcW w:w="0" w:type="dxa"/>
            <w:vAlign w:val="bottom"/>
          </w:tcPr>
          <w:p>
            <w:pPr>
              <w:spacing w:after="0"/>
              <w:rPr>
                <w:sz w:val="1"/>
                <w:szCs w:val="1"/>
                <w:color w:val="auto"/>
              </w:rPr>
            </w:pPr>
          </w:p>
        </w:tc>
      </w:tr>
      <w:tr>
        <w:trPr>
          <w:trHeight w:val="171"/>
        </w:trPr>
        <w:tc>
          <w:tcPr>
            <w:tcW w:w="8040" w:type="dxa"/>
            <w:vAlign w:val="bottom"/>
            <w:gridSpan w:val="2"/>
            <w:vMerge w:val="continue"/>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7"/>
              </w:rPr>
              <w:t>Incorporation</w:t>
            </w:r>
          </w:p>
        </w:tc>
        <w:tc>
          <w:tcPr>
            <w:tcW w:w="0" w:type="dxa"/>
            <w:vAlign w:val="bottom"/>
          </w:tcPr>
          <w:p>
            <w:pPr>
              <w:spacing w:after="0"/>
              <w:rPr>
                <w:sz w:val="1"/>
                <w:szCs w:val="1"/>
                <w:color w:val="auto"/>
              </w:rPr>
            </w:pPr>
          </w:p>
        </w:tc>
      </w:tr>
      <w:tr>
        <w:trPr>
          <w:trHeight w:val="209"/>
        </w:trPr>
        <w:tc>
          <w:tcPr>
            <w:tcW w:w="7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 (“Guangzhou NetEase”)</w:t>
            </w:r>
          </w:p>
        </w:tc>
        <w:tc>
          <w:tcPr>
            <w:tcW w:w="24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Guangzhou, China 1997</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Shanghai EaseNet Network Technology Co., Ltd. (“Shanghai EaseNet”)</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Shanghai, China 2008</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StormNet Information Technology (Hong Kong) Limited (“StormNet IT HK”)</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Hong Kong, China 2008</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StormNet Information Technology (Shanghai) Co., Ltd. (“StormNet IT SH”)</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Shanghai, China 2008</w:t>
            </w:r>
          </w:p>
        </w:tc>
        <w:tc>
          <w:tcPr>
            <w:tcW w:w="0" w:type="dxa"/>
            <w:vAlign w:val="bottom"/>
          </w:tcPr>
          <w:p>
            <w:pPr>
              <w:spacing w:after="0"/>
              <w:rPr>
                <w:sz w:val="1"/>
                <w:szCs w:val="1"/>
                <w:color w:val="auto"/>
              </w:rPr>
            </w:pPr>
          </w:p>
        </w:tc>
      </w:tr>
      <w:tr>
        <w:trPr>
          <w:trHeight w:val="202"/>
        </w:trPr>
        <w:tc>
          <w:tcPr>
            <w:tcW w:w="8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Hangzhou NetEase Leihuo Technology Co., Ltd. ("HZ Leihuo", formerly known as Hangzhou NetEase</w:t>
            </w:r>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Leihuo Network Co., Ltd. )</w:t>
            </w: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Hangzhou, China 2009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Guangzhou NetEase, a major VIE of the Company, was incorporated in June 1997 in China and owned by William Lei Ding, or Mr. Ding, the Company’s Chief Executive Officer, director and major shareholder, and another Chinese employee of the Group. It is responsible for providing online game, e-mail and other value-added telecommunication services.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HZ Leihuo was incorporated in April 2009 in China by two Chinese employees of the Group and currently operates the Company’s mobile game business.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Shanghai EaseNet is a PRC company owned by Mr. Ding, and has contractual arrangements with StormNet IT HK (a joint venture established between, and owned equally by, Blizzard Entertainment, Inc. (“Blizzard”) and the Company), and with the Company. StormNet IT HK, together with its wholly owned subsidiary, StormNet IT SH was established concurrently with the licensing of certain online games in August 2008 and provides technical services to Shanghai EaseNet.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combined financial information of the Group’s VIEs was included in the accompanying consolidated financial statements of the Group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left="555"/>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10,355,050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14,400,564</w:t>
            </w:r>
          </w:p>
        </w:tc>
        <w:tc>
          <w:tcPr>
            <w:tcW w:w="2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liabilities</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9,778,359</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12,272,634</w:t>
            </w:r>
          </w:p>
        </w:tc>
        <w:tc>
          <w:tcPr>
            <w:tcW w:w="20" w:type="dxa"/>
            <w:vAlign w:val="bottom"/>
          </w:tcPr>
          <w:p>
            <w:pPr>
              <w:spacing w:after="0"/>
              <w:rPr>
                <w:sz w:val="20"/>
                <w:szCs w:val="20"/>
                <w:color w:val="auto"/>
              </w:rPr>
            </w:pPr>
          </w:p>
        </w:tc>
      </w:tr>
      <w:tr>
        <w:trPr>
          <w:trHeight w:val="364"/>
        </w:trPr>
        <w:tc>
          <w:tcPr>
            <w:tcW w:w="5620" w:type="dxa"/>
            <w:vAlign w:val="bottom"/>
          </w:tcPr>
          <w:p>
            <w:pPr>
              <w:spacing w:after="0"/>
              <w:rPr>
                <w:sz w:val="24"/>
                <w:szCs w:val="24"/>
                <w:color w:val="auto"/>
              </w:rPr>
            </w:pPr>
          </w:p>
        </w:tc>
        <w:tc>
          <w:tcPr>
            <w:tcW w:w="322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12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9"/>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368"/>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40,566,998</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43,231,277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49,455,146</w:t>
            </w:r>
          </w:p>
        </w:tc>
        <w:tc>
          <w:tcPr>
            <w:tcW w:w="2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spacing w:after="0"/>
              <w:rPr>
                <w:sz w:val="20"/>
                <w:szCs w:val="20"/>
                <w:color w:val="auto"/>
              </w:rPr>
            </w:pPr>
            <w:r>
              <w:rPr>
                <w:rFonts w:ascii="Arial" w:cs="Arial" w:eastAsia="Arial" w:hAnsi="Arial"/>
                <w:sz w:val="18"/>
                <w:szCs w:val="18"/>
                <w:color w:val="auto"/>
              </w:rPr>
              <w:t>355,697</w:t>
            </w: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224,253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344,134</w:t>
            </w:r>
          </w:p>
        </w:tc>
        <w:tc>
          <w:tcPr>
            <w:tcW w:w="20" w:type="dxa"/>
            <w:vAlign w:val="bottom"/>
          </w:tcPr>
          <w:p>
            <w:pPr>
              <w:spacing w:after="0"/>
              <w:rPr>
                <w:sz w:val="20"/>
                <w:szCs w:val="20"/>
                <w:color w:val="auto"/>
              </w:rPr>
            </w:pPr>
          </w:p>
        </w:tc>
      </w:tr>
      <w:tr>
        <w:trPr>
          <w:trHeight w:val="364"/>
        </w:trPr>
        <w:tc>
          <w:tcPr>
            <w:tcW w:w="5620" w:type="dxa"/>
            <w:vAlign w:val="bottom"/>
          </w:tcPr>
          <w:p>
            <w:pPr>
              <w:spacing w:after="0"/>
              <w:rPr>
                <w:sz w:val="24"/>
                <w:szCs w:val="24"/>
                <w:color w:val="auto"/>
              </w:rPr>
            </w:pPr>
          </w:p>
        </w:tc>
        <w:tc>
          <w:tcPr>
            <w:tcW w:w="3220" w:type="dxa"/>
            <w:vAlign w:val="bottom"/>
            <w:tcBorders>
              <w:bottom w:val="single" w:sz="8" w:color="auto"/>
            </w:tcBorders>
            <w:gridSpan w:val="6"/>
          </w:tcPr>
          <w:p>
            <w:pPr>
              <w:jc w:val="center"/>
              <w:ind w:left="960"/>
              <w:spacing w:after="0"/>
              <w:rPr>
                <w:sz w:val="20"/>
                <w:szCs w:val="20"/>
                <w:color w:val="auto"/>
              </w:rPr>
            </w:pPr>
            <w:r>
              <w:rPr>
                <w:rFonts w:ascii="Arial" w:cs="Arial" w:eastAsia="Arial" w:hAnsi="Arial"/>
                <w:sz w:val="14"/>
                <w:szCs w:val="14"/>
                <w:b w:val="1"/>
                <w:bCs w:val="1"/>
                <w:color w:val="auto"/>
                <w:w w:val="91"/>
              </w:rPr>
              <w:t>For the year ended December 31,</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56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12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59"/>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r>
      <w:tr>
        <w:trPr>
          <w:trHeight w:val="142"/>
        </w:trPr>
        <w:tc>
          <w:tcPr>
            <w:tcW w:w="56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center"/>
              <w:ind w:right="368"/>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(152,931)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356,907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(249,387)</w:t>
            </w:r>
          </w:p>
        </w:tc>
        <w:tc>
          <w:tcPr>
            <w:tcW w:w="2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80" w:type="dxa"/>
            <w:vAlign w:val="bottom"/>
          </w:tcPr>
          <w:p>
            <w:pPr>
              <w:jc w:val="right"/>
              <w:spacing w:after="0"/>
              <w:rPr>
                <w:sz w:val="20"/>
                <w:szCs w:val="20"/>
                <w:color w:val="auto"/>
              </w:rPr>
            </w:pPr>
            <w:r>
              <w:rPr>
                <w:rFonts w:ascii="Arial" w:cs="Arial" w:eastAsia="Arial" w:hAnsi="Arial"/>
                <w:sz w:val="18"/>
                <w:szCs w:val="18"/>
                <w:color w:val="auto"/>
              </w:rPr>
              <w:t>122,286</w:t>
            </w: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8"/>
                <w:szCs w:val="18"/>
                <w:color w:val="auto"/>
              </w:rPr>
              <w:t>(720,675)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(495,160)</w:t>
            </w:r>
          </w:p>
        </w:tc>
        <w:tc>
          <w:tcPr>
            <w:tcW w:w="2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229,862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various contractual agreements, the Company has the power to direct the activities of the VIEs and can have assets transferred out of the VIEs. Therefore, the Company considers that there are no assets in the respective VIEs that can be used only to settle obligations of the respective VIEs, except for the registered capital of the VIEs amounting to approximately RMB542.2 million and RMB501.2 million, respectively, as of December 31, 2018 and 2019, as well as certain non-distributable statutory reserves amounting to approximately RMB31.5 million and RMB42.1 million, respectively, as of December 31, 2018 and 2019. As the respective VIEs are incorporated as limited liability companies under the PRC Company Law, creditors do not have recourse to the general credit of the Company for the liabilities of the respective VIEs.</w:t>
      </w:r>
    </w:p>
    <w:p>
      <w:pPr>
        <w:spacing w:after="0" w:line="19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Currently, there are certain contractual arrangements between the Company and several of its VIEs which require the Company to provide additional financial support or guarantees to its VIEs, where necessary. Please see Note 1(b) for additional information.</w:t>
      </w:r>
    </w:p>
    <w:p>
      <w:pPr>
        <w:spacing w:after="0" w:line="1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is no entity in the Company’s group for which the Company has a variable interest but is not the primary beneficiary as of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Nature of operations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Group generates revenues mainly from providing online game services, online courses services, advertising services, e-commerce, and other fee-based premium services.</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industry in which the Group operates is subject to a number of industry-specific risk factors, including, but not limited to, rapidly changing technologies; government regulations of the Internet, online game, online education and e-commerce industry in China; numbers of new entrants; dependence on key individuals; competition of similar services from larger companies; customer preferences; and the need for the continued successful development, marketing and selling of its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VIE Arrangements with major VIEs</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Group conducts its business mainly in China. The Chinese government regulates Internet access, telecommunications services, the distribution of news and other information and the provision of commerce through strict business licensing requirements and other governmental regulations, which include, among others, those restricting foreign ownership in Chinese companies providing Internet advertising and other Internet or telecommunications value-added services. To comply with the existing Chinese laws and regulations, the Company and certain of its subsidiaries have entered into a series of contractual arrangements with its major VIEs with respect to the operation of the NetEase websites, operation of self-developed and licensed PC and mobile games, Internet content and wireless value-added services, as well as the provision of advertising services.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Based on the agreements with these VIEs, certain of the Company’s subsidiaries provided technical consulting and related services to these VIEs. The principal agreements that transfer economic benefits of Guangzhou NetEase and HZ Leihuo to the Company and its subsidiaries are:</w:t>
      </w:r>
    </w:p>
    <w:p>
      <w:pPr>
        <w:spacing w:after="0" w:line="184" w:lineRule="exact"/>
        <w:rPr>
          <w:sz w:val="20"/>
          <w:szCs w:val="20"/>
          <w:color w:val="auto"/>
        </w:rPr>
      </w:pPr>
    </w:p>
    <w:p>
      <w:pPr>
        <w:ind w:left="1000" w:right="20" w:hanging="317"/>
        <w:spacing w:after="0" w:line="263"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Cooperative agreements with Guangzhou NetEase — </w:t>
      </w:r>
      <w:r>
        <w:rPr>
          <w:rFonts w:ascii="Arial" w:cs="Arial" w:eastAsia="Arial" w:hAnsi="Arial"/>
          <w:sz w:val="18"/>
          <w:szCs w:val="18"/>
          <w:color w:val="auto"/>
        </w:rPr>
        <w:t>under these agreements, certain of the Company’s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Boguan and NetEase Hangzhou provide various technical consulting and related services to Guangzhou NetEase in exchange for substantially all of Guangzhou NetEase’s net profits.</w:t>
      </w:r>
    </w:p>
    <w:p>
      <w:pPr>
        <w:spacing w:after="0" w:line="183" w:lineRule="exact"/>
        <w:rPr>
          <w:rFonts w:ascii="Arial" w:cs="Arial" w:eastAsia="Arial" w:hAnsi="Arial"/>
          <w:sz w:val="18"/>
          <w:szCs w:val="18"/>
          <w:color w:val="auto"/>
        </w:rPr>
      </w:pPr>
    </w:p>
    <w:p>
      <w:pPr>
        <w:ind w:left="1000" w:right="40" w:hanging="317"/>
        <w:spacing w:after="0" w:line="308" w:lineRule="auto"/>
        <w:tabs>
          <w:tab w:leader="none" w:pos="100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Cooperative agreement with HZ Leihuo </w:t>
      </w:r>
      <w:r>
        <w:rPr>
          <w:rFonts w:ascii="Arial" w:cs="Arial" w:eastAsia="Arial" w:hAnsi="Arial"/>
          <w:sz w:val="17"/>
          <w:szCs w:val="17"/>
          <w:color w:val="auto"/>
        </w:rPr>
        <w:t>— under this agreement, NetEase Hangzhou provides various technical consulting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services to HZ Leihuo in exchange for substantially all of HZ Leihuo’s net profits.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cooperative agreement will remain in effect indefinitely unless any one of the contract parties terminates such agreement by written notice or otherwise required by law.</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Each VIE, the relevant subsidiary of the Company and the relevant VIE shareholders have entered into a series of agreements that give the Company effective control over the VIE. The principal agreements that provide the Company and its subsidiaries effective control over Guangzhou NetEase are:</w:t>
      </w:r>
    </w:p>
    <w:p>
      <w:pPr>
        <w:spacing w:after="0" w:line="184" w:lineRule="exact"/>
        <w:rPr>
          <w:sz w:val="20"/>
          <w:szCs w:val="20"/>
          <w:color w:val="auto"/>
        </w:rPr>
      </w:pPr>
    </w:p>
    <w:p>
      <w:pPr>
        <w:ind w:left="1000" w:right="140" w:hanging="317"/>
        <w:spacing w:after="0" w:line="257"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Shareholder Voting Rights Trust Agreement among the VIE shareholders and the Company’s subsidiary, NetEase Information Technology (Beijing) Co., Ltd. (“NetEase Beijing”). Each of the VIE shareholders irrevocably appoints NetEase Beijing to represent him to exercise all the voting rights to which he is entitled as a shareholder of Guangzhou NetEase. The term of this agreement was 10 years from May 12, 2000, which was extended on June 10, 2011 with a term of 20 years from May 12, 2010.</w:t>
      </w:r>
    </w:p>
    <w:p>
      <w:pPr>
        <w:spacing w:after="0" w:line="187" w:lineRule="exact"/>
        <w:rPr>
          <w:rFonts w:ascii="Arial" w:cs="Arial" w:eastAsia="Arial" w:hAnsi="Arial"/>
          <w:sz w:val="18"/>
          <w:szCs w:val="18"/>
          <w:color w:val="auto"/>
        </w:rPr>
      </w:pPr>
    </w:p>
    <w:p>
      <w:pPr>
        <w:ind w:left="1000" w:right="80" w:hanging="317"/>
        <w:spacing w:after="0" w:line="291"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Letter of Agreement. Each of the VIE shareholders have agreed that any amendments to be made to the agreements to which the Company, NetEase Beijing and/or their respective affiliates is a party, on the one hand, and any of their variable interest entities and/or the shareholders of such entities, on the other hand, shall be subject to the approval by the vote of a majority of the Board of the Company, excluding the vote of Mr. Ding. The VIE shareholders have also agreed that, if any amendments to the above mentioned agreements require a vote of the shareholders of the Company or Guangzhou NetEase, as applicable, both of them will vote in their capacity as direct or indirect shareholders of these companies to act based upon the instructions of the Company’s Board. The term of this agreement is 20 years from May 12, 2010.</w:t>
      </w:r>
    </w:p>
    <w:p>
      <w:pPr>
        <w:spacing w:after="0" w:line="166" w:lineRule="exact"/>
        <w:rPr>
          <w:rFonts w:ascii="Arial" w:cs="Arial" w:eastAsia="Arial" w:hAnsi="Arial"/>
          <w:sz w:val="16"/>
          <w:szCs w:val="16"/>
          <w:color w:val="auto"/>
        </w:rPr>
      </w:pPr>
    </w:p>
    <w:p>
      <w:pPr>
        <w:ind w:left="1000" w:right="60" w:hanging="317"/>
        <w:spacing w:after="0" w:line="259"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Governance Arrangements. The parties have agreed that upon the Company’s determination and at any time when NetEase Beijing or its affiliates are able to obtain approval to invest in and operate all or any part of any business operated by Guangzhou NetEase, NetEase Beijing or its affiliates may acquire all or any part of the assets or equity interests of Guangzhou NetEase, to the extent permitted by Chinese law.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agreements that provide the Company and its subsidiaries effective control over HZ Leihuo are:</w:t>
      </w:r>
    </w:p>
    <w:p>
      <w:pPr>
        <w:spacing w:after="0" w:line="225" w:lineRule="exact"/>
        <w:rPr>
          <w:sz w:val="20"/>
          <w:szCs w:val="20"/>
          <w:color w:val="auto"/>
        </w:rPr>
      </w:pPr>
    </w:p>
    <w:p>
      <w:pPr>
        <w:ind w:left="1000" w:hanging="317"/>
        <w:spacing w:after="0" w:line="289" w:lineRule="auto"/>
        <w:tabs>
          <w:tab w:leader="none" w:pos="10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Operating Agreement among NetEase Hangzhou, HZ Leihuo and the VIE shareholders of Hangzhou Leihuo. To ensure the successful performance of the various agreements between the parties, HZ Leihuo and its VIE shareholders have agreed that, except for transactions in the ordinary course of business, HZ Leihuo will not enter into any transaction that would materially affect the assets, liabilities, rights or operations of HZ Leihuo without the prior written consent of NetEase Hangzhou. NetEase Hangzhou has also agreed that it will provide performance guarantees and, at NetEase Hangzhou’s discretion, guarantee loans for working capital purposes to the extent required by HZ Leihuo for its operations. Furthermore, the VIE shareholders of HZ Leihuo have agreed that, upon instruction from NetEase Hangzhou, they will appoint HZ Leihuo’s board members, president, chief financial officer and other senior executive officers. The term of this agreement is 20 years from December 1, 2015 and can be extended with the written consent of NetEase Hangzhou.</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left="1000" w:hanging="317"/>
        <w:spacing w:after="0" w:line="255"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Shareholder Voting Rights Trust Agreement among NetEase Hangzhou and the VIE shareholders of HZ Leihuo. Under these agreements, each dated December 1, 2015, each of the VIE shareholders of HZ Leihuo agreed to irrevocably entrust a person designated by NetEase Hangzhou to represent him to exercise all the voting rights and other shareholders’ rights to which he is entitled as a shareholder of HZ Leihuo. Each agreement shall remain effective for as long as the VIE shareholder remains a shareholder of HZ Leihuo unless NetEase Hangzhou unilaterally terminates the agreement by written notice.</w:t>
      </w:r>
    </w:p>
    <w:p>
      <w:pPr>
        <w:spacing w:after="0" w:line="192" w:lineRule="exact"/>
        <w:rPr>
          <w:rFonts w:ascii="Arial" w:cs="Arial" w:eastAsia="Arial" w:hAnsi="Arial"/>
          <w:sz w:val="18"/>
          <w:szCs w:val="18"/>
          <w:color w:val="auto"/>
        </w:rPr>
      </w:pPr>
    </w:p>
    <w:p>
      <w:pPr>
        <w:ind w:left="1000" w:right="20" w:hanging="317"/>
        <w:spacing w:after="0" w:line="269" w:lineRule="auto"/>
        <w:tabs>
          <w:tab w:leader="none" w:pos="10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Exclusive Purchase Option Agreements among NetEase Hangzhou, HZ Leihuo and the VIE shareholders of HZ Leihuo. Under the Exclusive Purchase Option Agreements, each dated December 1, 2015, each of the VIE shareholders has granted NetEase Hangzhou an option to purchase all or a portion of his equity interest in HZ Leihuo at a price equal to the original paid-in capital paid by the VIE shareholder. In addition, HZ Leihuo has granted NetEase Hangzhou an option to purchase all or a portion of the assets held by HZ Leihuo or its subsidiaries at a price equal to the net book value of such assets. Each of HZ Leihuo and the VIE shareholders of HZ Leihuo agrees not to transfer, mortgage or permit any security interest to be created on any equity interest in or assets of HZ Leihuo without the prior written consent of NetEase Hangzhou. Each Exclusive Purchase Option Agreement shall remain in effect until all of the equity interests in or assets of HZ Leihuo have been acquired by NetEase Hangzhou or its designee or until NetEase Hangzhou unilaterally terminates the agreement by written notice.</w:t>
      </w:r>
    </w:p>
    <w:p>
      <w:pPr>
        <w:spacing w:after="0" w:line="18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principal agreements amongst the other VIEs, the relevant subsidiaries and VIE shareholders that provide the Company effective control over these VIEs contains substantially the same terms as those aforementioned agreements related to HZ Leihuo, except that contract expiry date varies.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Joint Venture</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addition to the foregoing, in connection with the licensing of certain online games by Blizzard to Shanghai EaseNet for operation in the PRC, there are certain contractual arrangements among the Company and Shanghai EaseNet, the joint venture established between Blizzard and the Company.</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StormNet IT HK, StormNet IT SH and Shanghai EaseNet (collectively referred to as the “JV Group”) are variable interest entities as equity investment at risk is not sufficient to permit the JV Group to finance its activities without additional subordinated financial support provided by any parties. As Blizzard receives its interest as an indirect contribution from NetEase, Blizzard and the Company are considered related parties for purposes of identifying which party is the primary beneficiary under ASC 810. Since the aggregate variable interests held by Blizzard and NetEase would, if held by a single party, identify that party as the primary beneficiary, either Blizzard or the Company will be the primary beneficiary. Based on the assessment of all relevant facts and circumstances, the Company determined that the Company is most closely associated with the JV Group and therefore is the primary beneficiary. As a result, the JV Group’s results of operations, assets and liabilities have been included in the Company’s consolidated financial statements.</w:t>
      </w:r>
    </w:p>
    <w:p>
      <w:pPr>
        <w:spacing w:after="0" w:line="16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Company conducts substantially all of its business through the various VIEs discussed above and their subsidiaries, and therefore these companies directly affect the Company’s financial performance and cash flows. As discussed below, if the Chinese government determines the VIE agreements do not comply with applicable laws and regulations and requires the Company to restructure its operations entirely or discontinue all or any portion of its business, or if the uncertainties in the PRC legal system limit the Group’s ability to enforce these contractual agreements, the Group’s business operations will be significantly disrupted and the Group might be unable to consolidate these companies in the future. In the opinion of management, the likelihood of loss in respect of the Group’s current ownership structure or the contractual arrangements with its VIEs is remote.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the VIE arrangements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Company believes that its contractual arrangements with the VIEs are in compliance with PRC law and are legally enforceable. Mr. Ding, who is the major shareholder of Guangzhou NetEase, Shanghai EaseNet and certain of the Company’s other VIEs, is the largest shareholder of the Company. He therefore has no current interest in seeking to act contrary to the contractual arrangements. However, uncertainties in the PRC legal system could limit the Company’s ability to enforce these contractual arrangements and if Mr. Ding were to reduce his interest in the Company, his interests may diverge from that of the Company and that may potentially increase the risk that he would seek to act contrary to the contractual terms, for example by influencing the VIEs not to pay the service fees when required to do so. If the VIEs or their respective shareholder fail to perform their respective obligations under the current contractual arrangements, the Company may have to incur substantial costs and expend significant resources to enforce those arrangements and rely on legal remedies under Chinese laws. The Chinese laws, rules and regulations are relatively new, and because of the limited volume of published decisions and their non-binding nature, the interpretation and enforcement of these laws, rules and regulations involve substantial uncertainties. These uncertainties may impede the ability of the Company to enforce these contractual arrangements, or suffer significant delay or other obstacles in the process of enforcing these contractual arrangements and materially and adversely affect the results of operations and the financial position of the Company.</w:t>
      </w:r>
    </w:p>
    <w:p>
      <w:pPr>
        <w:spacing w:after="0" w:line="18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many Chinese regulations are subject to extensive interpretive powers of governmental agencies and commissions, and there are substantial uncertainties regarding the interpretation and application of current and future Chinese laws and regulations. Accordingly, the Company cannot be assured that Chinese regulatory authorities will not ultimately take a contrary view to its belief and will not take action to prohibit or restrict its business activities. The relevant regulatory authorities would have broad discretion in dealing with any deemed violations which may adversely impact the financial statements, operations and cash flows of the Company (including the restriction on the Company to carry out the business). It is unclear, however, how such restructuring could impact the Company’s business and operating results, as the Chinese government has not yet found any such contractual arrangements non-compliant. If the legal structure and contractual arrangements were found to be in violation of any existing PRC laws and regulations, the PRC government could potentially:</w:t>
      </w:r>
    </w:p>
    <w:p>
      <w:pPr>
        <w:spacing w:after="0" w:line="181" w:lineRule="exact"/>
        <w:rPr>
          <w:sz w:val="20"/>
          <w:szCs w:val="20"/>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revoke the Group’s business and operating licenses;</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 the Group to discontinue or restrict operations;</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 the Group’s right to collect revenues;</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block the Group’s websites;</w:t>
      </w:r>
    </w:p>
    <w:p>
      <w:pPr>
        <w:spacing w:after="0" w:line="9" w:lineRule="exact"/>
        <w:rPr>
          <w:rFonts w:ascii="Arial" w:cs="Arial" w:eastAsia="Arial" w:hAnsi="Arial"/>
          <w:sz w:val="18"/>
          <w:szCs w:val="18"/>
          <w:color w:val="auto"/>
        </w:rPr>
      </w:pPr>
    </w:p>
    <w:p>
      <w:pPr>
        <w:ind w:left="1000" w:right="40" w:hanging="317"/>
        <w:spacing w:after="0" w:line="250"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require the Group to restructure the operations in such a way as to compel the Group to establish a new enterprise, re-apply for the necessary licenses or relocate the Group’s businesses, staff and assets;</w:t>
      </w: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impose additional conditions or requirements with which the Group may not be able to comply; or</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take other regulatory or enforcement actions against the Group that could be harmful to the Group’s business.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imposition of any of these penalties may result in a material and adverse effect on the Group’s ability to conduct the Group’s business. In addition, if the imposition of any of these penalties causes the Group to lose the rights to direct the activities of the VIEs or the right to receive their economic benefits, the Group would no longer be able to consolidate the VIEs. The Group does not believe that any penalties imposed or actions taken by the PRC government would result in the liquidation of the Company, its subsidiaries or the VIEs.</w:t>
      </w:r>
    </w:p>
    <w:p>
      <w:pPr>
        <w:spacing w:after="0" w:line="197" w:lineRule="exact"/>
        <w:rPr>
          <w:sz w:val="20"/>
          <w:szCs w:val="20"/>
          <w:color w:val="auto"/>
        </w:rPr>
      </w:pPr>
    </w:p>
    <w:p>
      <w:pPr>
        <w:ind w:left="340" w:hanging="332"/>
        <w:spacing w:after="0"/>
        <w:tabs>
          <w:tab w:leader="none" w:pos="3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Basis of consolidation</w:t>
      </w:r>
    </w:p>
    <w:p>
      <w:pPr>
        <w:spacing w:after="0" w:line="22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consolidated financial statements include the financial statements of the Company, its subsidiaries and VIEs for which the Company is the primary beneficiary with the ownership interests of minority shareholders reported as noncontrolling interests. All significant transactions and balances among the Company, its subsidiaries and VIEs have been eliminated upon consolidation. The Company consolidates a VIE if the Company has the power to direct matters that most significantly impact the activities of the VIE, and has the obligation to absorb losses or the right to receive benefits of the VIE that could potentially be significant to the VIE.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Basis of presentation</w:t>
      </w:r>
    </w:p>
    <w:p>
      <w:pPr>
        <w:spacing w:after="0" w:line="229"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(“US GAAP”). The consolidated financial statements are prepared based on the historical cost convention.</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balance sheet dates and the reported amounts of revenues and expenses during the reporting periods. Actual results might differ from those estimates. Critical accounting estimates and assumptions include, but are not limited to, assessing the following: average playing period of paying players of online games and impairment of long-term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Revenue recognition</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January 1, 2018, the Group adopted Topic 606 using the modified retrospective method applied to those contracts which were not completed as of January 1, 2018. Results for reporting periods beginning after January 1, 2018 are presented under Topic 606, while prior period amounts are not adjusted and continue to be reported in accordance with the Group's historical accounting under Topic 605. The impact of adopting the new revenue standard was not material to the consolidated financial statements. For the year ended December 31, 2018 and 2019, net revenue recognized from sources other than contracts with customers under ASC 606 was immaterial.</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Revenues from contracts with customers are recognized when control of the promised goods or services is transferred to the Group’s customers, in an amount that reflects the consideration the Group expects to be entitled to in exchange for those goods or services, reduced by estimates for return allowances, promotional discounts, rebates and Value Added Tax (“VAT”). The recognition of revenues involves certain management judgments, including estimated lives of virtual items purchased by game players, estimated breakage of game points, return allowance for goods sold, the estimation of the fair value of an advertising-for-advertising barter transaction, volume sales rebates. The amount and timing of the Group’s revenues could be different if management made different judgments or utilized different estimates.</w:t>
      </w:r>
    </w:p>
    <w:p>
      <w:pPr>
        <w:spacing w:after="0" w:line="19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Group’s revenues are mainly generated from online game services, online courses services from Youdao, advertising services, e-commerce and other fee-based premium services. Refer to “Note 26 — Segment Information” for disaggregation of revenue.</w:t>
      </w:r>
    </w:p>
    <w:p>
      <w:pPr>
        <w:spacing w:after="0" w:line="12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Online game services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Group operates mobile games and PC games. The Group is the principal of all games it operates, including both self-developed games and licensed games. As all these games are hosted on the Group’s servers, the Group has the pricing discretion, and is responsible for the sale and marketing of the games as well as customer services. Fees paid to game developers, distribution channels (app stores) and payment channels are recorded as cost of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games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Group generates mobile game revenues from the sale of in-game virtual items, including items, avatars, skills, privileges or other in-game consumables, features or functionality, within the games. The Group’s performance obligation is to provide on-going game services to players who purchased virtual items to gain an enhanced game-playing experience. This performance obligation is satisfied over the playing period of the paying players. Accordingly, the Group recognizes the revenues ratably over the estimated average playing period of these paying players.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Group considers the average period that players typically play the games and other game player behavior patterns, as well as various other factors to arrive at the best estimates for the estimated playing period of the paying players for each game based on historical players’ churn rates. If a new game is launched and only a limited period of paying player data is available, then the Group considers other qualitative factors, such as the playing patterns for paying users for other games with similar characteristics and playing patterns of paying players, such as targeted players and purchasing frequency. While the Group believes its estimates to be reasonable based on available game player information, the Group may revise such estimates based on new information indicating a change in the game player behavior patterns and any adjustments are applied prospectively.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games</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Group sells prepaid points to the end users. Customers can purchase “virtual” prepaid points online or from the vendors who register the points in the Group’s system via debit and credit cards or bank transfers via the online payment services platforms, and receive the prepaid point information over the Internet. Customers can use the points to play the Group’s PC games, pay for in-game items and use other fee-based services. Proceeds received from the sales of prepaid online points to players are recorded as deferred revenues.</w:t>
      </w:r>
    </w:p>
    <w:p>
      <w:pPr>
        <w:spacing w:after="0" w:line="15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Group earns revenue through providing PC game services to players under two types of revenue models: time-based revenue model and item-based revenue model. For PC games using the time-based model, players are charged based on the time they spend playing games. Revenues are recognized ratably over the game playing period as the performance obligations are satisfied.</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Under the item-based model, the basic game play functions are free of charge, and players are charged for purchases of in-game items. In-game items have different life patterns: one-time use, limited life and permanent life. Revenues from the sales of one-time use in-game items are recognized upon consumption. Limited life items are either limited by the number of uses (for example, 10 times) or limited by time (for example, three months). Revenues from the sales of limited life in-game items are recognized ratably based on the extent of time passed or expired or when the items are fully used. Players are allowed to use permanent life in-game items without any use or time limits. Revenues from the sales of permanent life in-game items are recognized ratably over the estimated average playing period of the paying players.</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Group considers the average period that players typically play the games and other game player behavior patterns, as well as various other factors, including the acceptance and popularity of expansion packs, promotional events launched and market conditions to arrive at the best estimates for the estimated average playing period of the paying players for the permanent in-game items of each PC game based on historical players’ churn rate. This estimate is re-assessed on a quarterly basis. Adjustments arising from the changes of estimated playing period of the paying players are applied prospectively as such changes are resulted from new information indicating a change in the game player behavior patterns.</w:t>
      </w:r>
    </w:p>
    <w:p>
      <w:pPr>
        <w:spacing w:after="0" w:line="19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5"/>
          <w:szCs w:val="15"/>
          <w:color w:val="auto"/>
        </w:rPr>
        <w:t>Online Courses Services</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Group offers various types of integrated learning services through Youdao, which primarily cover a wide spectrum of topics and target people from broad age groups through its diverse offerings of K-12 tutoring courses, foreign languages, professional and interest education services as well as IT computer skills, etc. Youdao’s online courses services consist of online live streaming, other activities during the online live streaming period, as well as the content playback service. The aforementioned services are highly interdependent and interrelated in the context of the contract and are only considered accessory services to the online live streaming courses and therefore are not distinct and are not sold standalone. Therefore, the Group’s online courses services are accounted for as a single performance obligation, which is satisfied over the learning period of the students. Accordingly, the Group recognizes the revenues ratably over the estimated average learning period for different courses. The Group considers the average period that students typically spend time on the courses and other learning behavior patterns to arrive at the best estimates for the estimated learning period for each course.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(iii) Advertising services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Group derives its advertising revenues principally from short-term online advertising contracts. Advertising service contracts may consist of multiple performance obligations with a typical term of less than three months. In arrangements where the Group has multiple performance obligations, the transaction price is allocated to each performance obligation using the relative stand-alone selling price. The Group generally determines standalone selling prices based on the prices charged to customers. If the performance obligation has not been sold separately, the Group estimates the standalone selling price by taking into consideration of the pricing for advertising areas of the Group’s platform with a similar popularities and advertisements with similar formats and quoted prices from competitors as well as other market conditions. Considerations allocated to each performance obligation is recognized as revenue over the advertisement display period, which is usually within three months.</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Group also enters into performance-based advertising arrangements with customers. For cost per mille ("CPM"), or cost per thousand impressions, advertising arrangements with customers, the Group recognizes revenues based on the number of times that the advertisement has been displayed.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For cost per action ("CPA") advertising arrangements with customers, including Youdao online marketing services, the Group recognizes revenues based on the number of actions completed resulted from the advertisements, including but not limited to when users click on links.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Certain customers may receive volume rebates, which are accounted for as variable consideration. The Group estimates annual expected revenue volume with reference to their historical results and reduce revenues recognized.</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Group recognizes revenue from providing advertising service in exchange for non-cash consideration, usually advertising services, promotional benefits, content, consulting services and software provided by counterparties, at the fair value of the non-cash consideration measured as of contract inception date. If the Group is not able to reliably determine the fair value of noncash consideration in some situations, the value of the noncash consideration received is measured indirectly by reference to the standalone selling price of advertising services provided by the Group.</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year ended December 31, 2018 and 2019, revenue from rendering adverting services in exchange for non-cash consideration is insignificant.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(iv)  E-commerce</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The Group’s e-commerce revenue are primarily from its E-commerce platform Yanxuan, which was established in April 2016. Yanxuan sells its private label products, including apparel, homeware, kitchenware and other general merchandise which are sourced primarily directly from original design manufacturers in China through online direct sales. The Group is the principal for the online direct sales, as it controls the inventory before they are transferred to customers. The Group has the primary responsibility for fulfilling the contracts, bears the inventory risk, and has sole discretion in establishing the prices. E-commerce revenues from online direct sales are recognized when control of the goods is transferred to the customer, which generally occurs upon delivery to the customer. The Group also provides discount coupons to its customers for use in purchases on the Yanxuan platform, which are treated as a reduction of revenue when the related transaction is recognized.</w:t>
      </w:r>
    </w:p>
    <w:p>
      <w:pPr>
        <w:spacing w:after="0" w:line="17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Return allowances, which reduce revenue and cost of sales, are estimated using historical experience. Liabilities for return allowances and rights to recover products from customers associated with the Group’s liabilities are recorded as “Accrue liabilities and other payables” and “Inventories, net”, respectively, on the Group’s consolidated balance sheets. Both of the balances are not material as of December 31, 2018 and 2019.</w:t>
      </w:r>
    </w:p>
    <w:p>
      <w:pPr>
        <w:spacing w:after="0" w:line="18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5"/>
          <w:szCs w:val="15"/>
          <w:color w:val="auto"/>
        </w:rPr>
        <w:t>Fee-based premium services</w:t>
      </w:r>
    </w:p>
    <w:p>
      <w:pPr>
        <w:spacing w:after="0" w:line="22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Fee-based premium services revenues, mostly operated on either consumption-basis or a monthly subscription basis, are derived principally from providing premium live-streaming services, online music services, online reading, e-mail and other innovative businesses. Prepaid subscription fees collected from customers are deferred and are recognized as revenue on a straight-line basis by the Group over the subscription period, during which customers can access the premium online services provided by the Group. Fees collected from customer to be consumed to purchase online services are recognized as revenue when related services are rendered.</w:t>
      </w:r>
    </w:p>
    <w:p>
      <w:pPr>
        <w:spacing w:after="0" w:line="16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Group generates revenue from the operation of its live streaming platforms whereby users can enjoy live performances provided by the hosts and interact with the hosts. Most of the hosts host the performance on their own. The Group creates and sells virtual items to users so that the users present them simultaneously to hosts to show their support. The virtual items sold by the Group comprise of either</w:t>
      </w:r>
    </w:p>
    <w:p>
      <w:pPr>
        <w:spacing w:after="0" w:line="2" w:lineRule="exact"/>
        <w:rPr>
          <w:sz w:val="20"/>
          <w:szCs w:val="20"/>
          <w:color w:val="auto"/>
        </w:rPr>
      </w:pPr>
    </w:p>
    <w:p>
      <w:pPr>
        <w:ind w:right="140" w:firstLine="8"/>
        <w:spacing w:after="0" w:line="271" w:lineRule="auto"/>
        <w:tabs>
          <w:tab w:leader="none" w:pos="21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consumable items or (ii) time-based item, such as privilege titles etc. Under the arrangements with the hosts, the Group shares with them a portion of the revenues derived from the sales of virtual items. Revenues derived from the sale of virtual items are recorded on a gross basis as the Group acts as the principal to fulfill all obligations related to the sale of virtual items. Accordingly, revenue is recognized when the virtual item is delivered and consumed if the virtual item is a consumable item or, in the case of time-based virtual item, recognized ratably over the period each virtual item is made available to the user.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has used the following practical expedients as allowed under ASC 606:</w:t>
      </w:r>
    </w:p>
    <w:p>
      <w:pPr>
        <w:spacing w:after="0" w:line="225" w:lineRule="exact"/>
        <w:rPr>
          <w:sz w:val="20"/>
          <w:szCs w:val="20"/>
          <w:color w:val="auto"/>
        </w:rPr>
      </w:pPr>
    </w:p>
    <w:p>
      <w:pPr>
        <w:ind w:left="340" w:right="120" w:hanging="332"/>
        <w:spacing w:after="0" w:line="263"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effects of a significant financing component has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83"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Group applied the portfolio approach in determining the commencement date of consumption and the estimated average playing period of paying players for PC games permanent virtual items and of mobile games for the recognition of online game revenue given that the effect of applying a portfolio approach to a group game players’ behaviors would not differ materially from considering each one of them individually.</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Group elects to expense the costs to obtain a contract as incurred when the expected amortization period is one year or less.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Timing of revenue recognition may differ from the timing of invoicing to customers. Accounts receivable represent amounts invoiced and revenue recognized prior to invoicing, when the Group has satisfied its performance obligations and has the unconditional right to payment. The Group closely monitors the collection of its accounts receivables and records a reserve for doubtful accounts against aged accounts and for specifically identified non-recoverable amounts. If the economic situation and the financial condition of the customer deteriorate resulting in an impairment of the customer’s ability to make payments, additional allowances might be required. Accounts receivables balances are written off when they are determined to be uncollectible.</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out the movements of the allowance for doubtful accounts for the years ended December 31, 2017, 2018 and 2019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Charged to/(Write-back</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Write-off of receivable</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2120" w:type="dxa"/>
            <w:vAlign w:val="bottom"/>
            <w:gridSpan w:val="2"/>
            <w:vMerge w:val="continue"/>
          </w:tcPr>
          <w:p>
            <w:pPr>
              <w:spacing w:after="0"/>
              <w:rPr>
                <w:sz w:val="12"/>
                <w:szCs w:val="12"/>
                <w:color w:val="auto"/>
              </w:rPr>
            </w:pPr>
          </w:p>
        </w:tc>
        <w:tc>
          <w:tcPr>
            <w:tcW w:w="2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balances and</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against)</w:t>
            </w:r>
          </w:p>
        </w:tc>
        <w:tc>
          <w:tcPr>
            <w:tcW w:w="2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corresponding</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January 1,</w:t>
            </w:r>
          </w:p>
        </w:tc>
        <w:tc>
          <w:tcPr>
            <w:tcW w:w="2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expenses</w:t>
            </w:r>
          </w:p>
        </w:tc>
        <w:tc>
          <w:tcPr>
            <w:tcW w:w="2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provisions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w w:val="84"/>
              </w:rPr>
              <w:t>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24,136</w:t>
            </w:r>
          </w:p>
        </w:tc>
        <w:tc>
          <w:tcPr>
            <w:tcW w:w="2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w:t>
            </w:r>
          </w:p>
        </w:tc>
        <w:tc>
          <w:tcPr>
            <w:tcW w:w="24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84,909</w:t>
            </w:r>
          </w:p>
        </w:tc>
        <w:tc>
          <w:tcPr>
            <w:tcW w:w="0" w:type="dxa"/>
            <w:vAlign w:val="bottom"/>
          </w:tcPr>
          <w:p>
            <w:pPr>
              <w:spacing w:after="0"/>
              <w:rPr>
                <w:sz w:val="1"/>
                <w:szCs w:val="1"/>
                <w:color w:val="auto"/>
              </w:rPr>
            </w:pPr>
          </w:p>
        </w:tc>
      </w:tr>
      <w:tr>
        <w:trPr>
          <w:trHeight w:val="216"/>
        </w:trPr>
        <w:tc>
          <w:tcPr>
            <w:tcW w:w="2840" w:type="dxa"/>
            <w:vAlign w:val="bottom"/>
          </w:tcPr>
          <w:p>
            <w:pPr>
              <w:jc w:val="right"/>
              <w:ind w:right="2390"/>
              <w:spacing w:after="0"/>
              <w:rPr>
                <w:sz w:val="20"/>
                <w:szCs w:val="20"/>
                <w:color w:val="auto"/>
              </w:rPr>
            </w:pPr>
            <w:r>
              <w:rPr>
                <w:rFonts w:ascii="Arial" w:cs="Arial" w:eastAsia="Arial" w:hAnsi="Arial"/>
                <w:sz w:val="18"/>
                <w:szCs w:val="18"/>
                <w:color w:val="auto"/>
                <w:w w:val="84"/>
              </w:rPr>
              <w:t>2018</w:t>
            </w:r>
          </w:p>
        </w:tc>
        <w:tc>
          <w:tcPr>
            <w:tcW w:w="1260" w:type="dxa"/>
            <w:vAlign w:val="bottom"/>
          </w:tcPr>
          <w:p>
            <w:pPr>
              <w:jc w:val="right"/>
              <w:spacing w:after="0"/>
              <w:rPr>
                <w:sz w:val="20"/>
                <w:szCs w:val="20"/>
                <w:color w:val="auto"/>
              </w:rPr>
            </w:pPr>
            <w:r>
              <w:rPr>
                <w:rFonts w:ascii="Arial" w:cs="Arial" w:eastAsia="Arial" w:hAnsi="Arial"/>
                <w:sz w:val="18"/>
                <w:szCs w:val="18"/>
                <w:color w:val="auto"/>
              </w:rPr>
              <w:t>84,909</w:t>
            </w: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50,954</w:t>
            </w:r>
          </w:p>
        </w:tc>
        <w:tc>
          <w:tcPr>
            <w:tcW w:w="240" w:type="dxa"/>
            <w:vAlign w:val="bottom"/>
          </w:tcPr>
          <w:p>
            <w:pPr>
              <w:spacing w:after="0"/>
              <w:rPr>
                <w:sz w:val="18"/>
                <w:szCs w:val="18"/>
                <w:color w:val="auto"/>
              </w:rPr>
            </w:pPr>
          </w:p>
        </w:tc>
        <w:tc>
          <w:tcPr>
            <w:tcW w:w="2160" w:type="dxa"/>
            <w:vAlign w:val="bottom"/>
            <w:gridSpan w:val="2"/>
          </w:tcPr>
          <w:p>
            <w:pPr>
              <w:jc w:val="right"/>
              <w:ind w:right="260"/>
              <w:spacing w:after="0"/>
              <w:rPr>
                <w:sz w:val="20"/>
                <w:szCs w:val="20"/>
                <w:color w:val="auto"/>
              </w:rPr>
            </w:pPr>
            <w:r>
              <w:rPr>
                <w:rFonts w:ascii="Arial" w:cs="Arial" w:eastAsia="Arial" w:hAnsi="Arial"/>
                <w:sz w:val="18"/>
                <w:szCs w:val="18"/>
                <w:color w:val="auto"/>
              </w:rPr>
              <w:t>(5,215)</w:t>
            </w:r>
          </w:p>
        </w:tc>
        <w:tc>
          <w:tcPr>
            <w:tcW w:w="1280" w:type="dxa"/>
            <w:vAlign w:val="bottom"/>
          </w:tcPr>
          <w:p>
            <w:pPr>
              <w:jc w:val="right"/>
              <w:spacing w:after="0"/>
              <w:rPr>
                <w:sz w:val="20"/>
                <w:szCs w:val="20"/>
                <w:color w:val="auto"/>
              </w:rPr>
            </w:pPr>
            <w:r>
              <w:rPr>
                <w:rFonts w:ascii="Arial" w:cs="Arial" w:eastAsia="Arial" w:hAnsi="Arial"/>
                <w:sz w:val="18"/>
                <w:szCs w:val="18"/>
                <w:color w:val="auto"/>
              </w:rPr>
              <w:t>130,648</w:t>
            </w:r>
          </w:p>
        </w:tc>
        <w:tc>
          <w:tcPr>
            <w:tcW w:w="0" w:type="dxa"/>
            <w:vAlign w:val="bottom"/>
          </w:tcPr>
          <w:p>
            <w:pPr>
              <w:spacing w:after="0"/>
              <w:rPr>
                <w:sz w:val="1"/>
                <w:szCs w:val="1"/>
                <w:color w:val="auto"/>
              </w:rPr>
            </w:pPr>
          </w:p>
        </w:tc>
      </w:tr>
      <w:tr>
        <w:trPr>
          <w:trHeight w:val="216"/>
        </w:trPr>
        <w:tc>
          <w:tcPr>
            <w:tcW w:w="2840" w:type="dxa"/>
            <w:vAlign w:val="bottom"/>
            <w:shd w:val="clear" w:color="auto" w:fill="CCEEFF"/>
          </w:tcPr>
          <w:p>
            <w:pPr>
              <w:jc w:val="right"/>
              <w:ind w:right="2390"/>
              <w:spacing w:after="0"/>
              <w:rPr>
                <w:sz w:val="20"/>
                <w:szCs w:val="20"/>
                <w:color w:val="auto"/>
              </w:rPr>
            </w:pPr>
            <w:r>
              <w:rPr>
                <w:rFonts w:ascii="Arial" w:cs="Arial" w:eastAsia="Arial" w:hAnsi="Arial"/>
                <w:sz w:val="18"/>
                <w:szCs w:val="18"/>
                <w:color w:val="auto"/>
                <w:w w:val="84"/>
              </w:rPr>
              <w:t>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130,648</w:t>
            </w:r>
          </w:p>
        </w:tc>
        <w:tc>
          <w:tcPr>
            <w:tcW w:w="2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(30,946)</w:t>
            </w:r>
          </w:p>
        </w:tc>
        <w:tc>
          <w:tcPr>
            <w:tcW w:w="2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(22,555)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Topic 606, the Group's right to consideration in exchange for goods or services that the Group has transferred to a customer is recognized as a contract asset. Contract assets as of December 31, 2018 and 2019 were not material.</w:t>
      </w:r>
    </w:p>
    <w:p>
      <w:pPr>
        <w:spacing w:after="0" w:line="17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 contract liability is the Group’s obligation to transfer goods or services to a customer for which the Group has received consideration (or an amount of consideration is due) from the customer. Contract liabilities are presented as “Deferred Revenue” on the consolidated balance sheets of the Group. Refer to Note 16 - Deferred revenue for further information, including changes in deferred revenue during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Cost of revenues</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Costs of revenues consist primarily of revenue sharing cost, staff costs, royalties fees related to licensed games, traffic acquisition cost, content acquisition cost, service fees related to online payments, server and bandwidth service fee, depreciation and amortization of severs, computers and software, and other direct costs of providing these services, as well as cost of merchandise sold. These costs are charged to the consolidated statements of operations and comprehensive income as incurred.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Research and development costs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Research and development costs mainly consist of personnel-related expenses and technology service costs incurred for the development of online games, as well as development and enhancement of the Group’s new products, websites and application platforms.</w:t>
      </w:r>
    </w:p>
    <w:p>
      <w:pPr>
        <w:spacing w:after="0" w:line="124"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For internal use software, the Group expenses all costs incurred for the preliminary project stage and post implementation-operation stage of development, and costs associated with repair or maintenance of the existing platforms. Costs incurred in the application development stage are capitalized and amortized over the estimated useful life. Since the amount of the Group’s research and development expenses qualifying for capitalization has been immaterial for the years ended December 31, 2017, 2018 and 2019, as a result, all development costs incurred for development of internal used software have been expensed as incurred.</w:t>
      </w:r>
    </w:p>
    <w:p>
      <w:pPr>
        <w:spacing w:after="0" w:line="16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For external use software, costs incurred for development of external use software have not been capitalized for the years ended December 31, 2017, 2018 and 2019, because the period after the date technical feasibility is reached and the time when the software is marketed is short historically, and the amount of costs qualifying for capitalization has been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Cash, cash equivalents and time deposits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Cash and cash equivalents mainly represent cash on hand, demand deposits placed with large reputable banks in Hong Kong and/or China, and highly liquid investments that are readily convertible to known amounts of cash and with original maturities from the date of purchase with terms of less than three months. As of December 31, 2018, there were cash at bank and demand deposits with terms of less than three months denominated in US dollars, HK dollars and Euro amounting to approximately US$244.2 million, HK$90.6 million and Euro0.2 million, respectively (equivalent to approximately RMB1,675.9 million, RMB79.4 million and RMB1.5 million, respectively). As of December 31, 2019, there were cash at bank and demand deposits with terms of less than three months denominated in US dollars, HK dollars and Euro amounting to approximately US$226.6 million, HK$21.3 million and Euro0.4 million, respectively (equivalent to approximately RMB1,580.7 million, RMB19.0 million and RMB2.7 million, respectively).</w:t>
      </w:r>
    </w:p>
    <w:p>
      <w:pPr>
        <w:spacing w:after="0" w:line="165"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Time deposits represent time deposits placed with banks with original maturities of three months or more. As of December 31, 2018, there were time deposits denominated in US dollars amounting to approximately US$2,456.3 million (equivalent to approximately RMB16,857.9 million). As of December 31, 2019, there were time deposits denominated in US dollars amounting to approximately US$4,382.9 million (equivalent to approximately RMB30,576.3 million).</w:t>
      </w:r>
    </w:p>
    <w:p>
      <w:pPr>
        <w:spacing w:after="0" w:line="17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December 31, 2018 and 2019, the Group had approximately RMB12.5 billion and RMB14.8 billion cash and cash equivalents and time deposits held by its PRC subsidiaries and VIEs, representing 32.8% and 25.0% of total cash and cash equivalents and time deposits of the Group, respectively.</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December 31, 2018 and 2019, the Group had a restricted cash balance approximately RMB4,692.1 million and RMB3,150.4 million, respectively, comprising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8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42"/>
        </w:trPr>
        <w:tc>
          <w:tcPr>
            <w:tcW w:w="78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 of NetEase Pay accounts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Pledge deposits for short-term bank borrowings — Current</w:t>
            </w:r>
          </w:p>
        </w:tc>
        <w:tc>
          <w:tcPr>
            <w:tcW w:w="940" w:type="dxa"/>
            <w:vAlign w:val="bottom"/>
          </w:tcPr>
          <w:p>
            <w:pPr>
              <w:jc w:val="right"/>
              <w:spacing w:after="0"/>
              <w:rPr>
                <w:sz w:val="20"/>
                <w:szCs w:val="20"/>
                <w:color w:val="auto"/>
              </w:rPr>
            </w:pPr>
            <w:r>
              <w:rPr>
                <w:rFonts w:ascii="Arial" w:cs="Arial" w:eastAsia="Arial" w:hAnsi="Arial"/>
                <w:sz w:val="18"/>
                <w:szCs w:val="18"/>
                <w:color w:val="auto"/>
              </w:rPr>
              <w:t>2,695.0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1,595.0</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Pledge deposits for Letter of Guarantee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4,692.1</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3,150.4</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Group had no other lien arrangements during 2018 and 2019.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Fair value of financial instruments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that reflect quoted prices (unadjusted) for identical assets or liabilities in active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Include other inputs that are directly or indirectly observable in the marketplace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which are supported by little or no market activity</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Group’s financial instruments include cash and cash equivalents and time deposits, accounts receivable, prepayments and other current assets, short-term investments, accounts payable, short-term loans, deferred revenue and accrued liabilities and other payables, which the carrying values approximate their fair value. Please see Note 27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Inventories, net</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Inventories, net mainly represent products for the Group’s e-commerce business, are stated at the lower of cost or net realizable value in the consolidated balance sheets. Cost of inventory is determined using the weighted average cost method. Adjustments are recorded to write down the cost of inventory to the estimated net realizable value due to slow-moving merchandise and damaged goods, which is dependent upon factors such as historical and forecasted consumer demand, and promotional environment. The Group takes ownership, risks and rewards of the products purchased. Write downs are recorded in cost of revenues in the consolidated statements of operations and comprehensive income. Certain costs attributable to buying and receiving products, such as purchase freights, are also included in inventories.</w:t>
      </w:r>
    </w:p>
    <w:p>
      <w:pPr>
        <w:spacing w:after="0" w:line="19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(i)</w:t>
      </w:r>
      <w:r>
        <w:rPr>
          <w:sz w:val="20"/>
          <w:szCs w:val="20"/>
          <w:color w:val="auto"/>
        </w:rPr>
        <w:tab/>
      </w:r>
      <w:r>
        <w:rPr>
          <w:rFonts w:ascii="Arial" w:cs="Arial" w:eastAsia="Arial" w:hAnsi="Arial"/>
          <w:sz w:val="15"/>
          <w:szCs w:val="15"/>
          <w:b w:val="1"/>
          <w:bCs w:val="1"/>
          <w:color w:val="auto"/>
        </w:rPr>
        <w:t>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Short-term investments include investments in financial instruments with a variable interest rate indexed to performance of underlying assets, all of which are with an original maturities of less than 12 months.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accordance with ASC 825, for investments in financial instruments with a variable interest rate indexed to performance of underlying assets, the Group elected the fair value method at the date of initial recognition and carried these investments at fair value. Changes in the fair value are reflected in the consolidated statements of operations and comprehensive income as other income/(expense), net. Fair value is estimated based on quoted prices of similar products provided by banks at the end of each period. The Group classifies the valuation techniques that use these inputs as Level 2 of fair value measurements. Please see Note 6 and Note 27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Long-term investments are comprised of equity investments in publicly traded companies, privately-held companies and limited-partnership.</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Equity investments in publicly traded companies are reported at fair value as equity investment with readily determinable fair value. Prior to January 1, 2018, they were classified as available-for-sale equity securities under long-term investments, with unrealized gains or losses, if any, recorded in accumulated other comprehensive income/(loss) in shareholders’ equity. The treatment of a decline in the fair value of an individual security was based on whether the decline was other-than-temporary. The Group assessed its available-for-sale equity securities for other-than-temporary impairment by considering factors including, but not limited to, its ability and intent to hold the individual security, severity of the impairment, expected duration of the impairment and forecasted recovery of fair value. If the Group determines a decline in fair value was other-than-temporary, the cost basis of the individual security was written down to fair value as a new cost basis and the amount of the write-down was accounted for as a realized loss charged to the consolidated statements of comprehensive income. The fair value of the investment would then become the new cost basis of the investment and were not adjusted for subsequent recoveries in fair value. Starting January 1, 2018, upon the adoption of ASU 2016-01, unrealized gains and losses during the year are recognized in other income/(expense), net.</w:t>
      </w:r>
    </w:p>
    <w:p>
      <w:pPr>
        <w:spacing w:after="0" w:line="1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Prior to January 1, 2018, investments in common stock or in-substance common stock issued by privately-held companies on which the Group does not have significant influence, and investments in privately-held companies’ shares that are not ordinary shares or insubstance ordinary shares, as these equity securities do not have readily determinable fair value, the Group carried these investment at cost and only adjusts for other-than-temporary declines in fair value and distributions of earnings that exceed the Group’s share of earnings since its investment. Starting January 1, 2018, upon the adoption of ASU 2016-01, the Group elects to measure these equity securities investments without readily determinable fair value at cost, less impairment, if any, plus or minus changes resulting from observable price changes in orderly transactions for the identical or a similar investment of the same issuer (referred to as the measurement alternative). All gains and losses on these equity securities, realized and unrealized, are recognized in other income/ (expense), net.</w:t>
      </w:r>
    </w:p>
    <w:p>
      <w:pPr>
        <w:spacing w:after="0" w:line="196"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Investments in common stock or in-substance common stock of investees and limited-partnership investments in which the Group is in a position to exercise significant influence by participating in, but not controlling or jointly controlling, the financial and operating policies are accounted for using the equity method.</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Management regularly evaluates the impairment of the investments in privately-held companies without readily determinable fair value and equity method investments at each balance sheet date, or more frequently if events or circumstances indicate that the carrying amount may not be recoverable. For investments without readily determinable fair values, management performs a qualitative assessment of the fair value of the equity interest in comparison to its carrying amount to determine if there is an indication of potential impairment. If such indication exists, management estimates the fair value of the investment, and records an impairment in the consolidated statement of comprehensive income to the extent the carrying amount exceeds the fair value. Significant judgements management applies in the impairment assessment for these equity investments include: (i) the determination as to whether any impairment indicators exist during the year; (ii) the selection of valuation methods; (iii) the determination of significant assumptions used to value the equity investments, including selection of comparable companies and multiples, timing and probabilities of different scenarios, estimated volatility rate, risk-free rate and discount for lack of marketability; and (iv) judgements as to whether a decline in value of equity method investments was other than temporary. For equity method investments, management considers if the investment is impaired when events or circumstances suggest the carrying amount may not be recoverable, and recognizes any impairment charge in the consolidated statement of comprehensive income for a decline in value that is determined to be other than temporary.</w:t>
      </w:r>
    </w:p>
    <w:p>
      <w:pPr>
        <w:spacing w:after="0" w:line="170" w:lineRule="exact"/>
        <w:rPr>
          <w:sz w:val="20"/>
          <w:szCs w:val="20"/>
          <w:color w:val="auto"/>
        </w:rPr>
      </w:pPr>
    </w:p>
    <w:p>
      <w:pPr>
        <w:ind w:left="400" w:hanging="392"/>
        <w:spacing w:after="0"/>
        <w:tabs>
          <w:tab w:leader="none" w:pos="4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January 1, 2019, the Group adopted ASU 2016-02, "Leases (Topic 842)", including certain transitional guidance and subsequent amendments within ASU 2018-01, ASU 2018-10, ASU 2018-11, ASU 2018-20 and ASU 2019-01 (collectively, including ASU 2016-02, "ASC 842").</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Leases that transfer substantially all of the benefits and risks incidental to the ownership of assets are accounted for as finance leases as if there was an acquisition of an asset and incurrence of an obligation at the inception of the lease. All other leases are accounted for as operating leases. As of December 31, 2019, the Group has no finance leases.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Under ASC 842, the Group determines if an arrangement is a lease at inception. The Group is the lessee in a lease contract when the Group obtain the right to control the asset. Operating leases are included in operating lease right-of-use (“ROU”) assets, and short-term and long-term operating lease liabilities in the Group’s consolidated balance sheets. ROU assets represent the Group’s right to use an underlying asset for the lease term and lease liabilities represent the Group’s obligation to make lease payments arising from the lease. Operating lease ROU assets and liabilities are recognized at commencement date based on the present value of lease payments over the lease term. As most of the Group’s leases do not provide an implicit rate, the Group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is recognized on a straight-line basis over the lease term.</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leases with a term of twelve months or less (“short-term leases”), the Group has elected not to recognize lease liabilities and associated ROU assets. Lease payments on short-term leases are recognized as lease expense within cost of revenues or operating expenses on the consolidated statements of operations and comprehensive income, depending on the nature of the lease, on a straight-line basis over the lease term.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Property, equipment and software</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Property, equipment and software are stated at cost less accumulated depreciation. Depreciation is calculated on the straight-line basis over the following estimated useful lives, taking into account any estimated residual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5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 years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Decoration</w:t>
            </w:r>
          </w:p>
        </w:tc>
        <w:tc>
          <w:tcPr>
            <w:tcW w:w="5940" w:type="dxa"/>
            <w:vAlign w:val="bottom"/>
          </w:tcPr>
          <w:p>
            <w:pPr>
              <w:ind w:left="620"/>
              <w:spacing w:after="0"/>
              <w:rPr>
                <w:sz w:val="20"/>
                <w:szCs w:val="20"/>
                <w:color w:val="auto"/>
              </w:rPr>
            </w:pPr>
            <w:r>
              <w:rPr>
                <w:rFonts w:ascii="Arial" w:cs="Arial" w:eastAsia="Arial" w:hAnsi="Arial"/>
                <w:sz w:val="18"/>
                <w:szCs w:val="18"/>
                <w:color w:val="auto"/>
              </w:rPr>
              <w:t>5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94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0"/>
              </w:rPr>
              <w:t>lesser of the term of the lease and the estimated useful lives of the assets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Furniture, fixtures, office and other equipment</w:t>
            </w:r>
          </w:p>
        </w:tc>
        <w:tc>
          <w:tcPr>
            <w:tcW w:w="5940" w:type="dxa"/>
            <w:vAlign w:val="bottom"/>
          </w:tcPr>
          <w:p>
            <w:pPr>
              <w:ind w:left="620"/>
              <w:spacing w:after="0"/>
              <w:rPr>
                <w:sz w:val="20"/>
                <w:szCs w:val="20"/>
                <w:color w:val="auto"/>
              </w:rPr>
            </w:pPr>
            <w:r>
              <w:rPr>
                <w:rFonts w:ascii="Arial" w:cs="Arial" w:eastAsia="Arial" w:hAnsi="Arial"/>
                <w:sz w:val="18"/>
                <w:szCs w:val="18"/>
                <w:color w:val="auto"/>
              </w:rPr>
              <w:t>3-10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5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5 years</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Servers and computers</w:t>
            </w:r>
          </w:p>
        </w:tc>
        <w:tc>
          <w:tcPr>
            <w:tcW w:w="5940" w:type="dxa"/>
            <w:vAlign w:val="bottom"/>
          </w:tcPr>
          <w:p>
            <w:pPr>
              <w:ind w:left="620"/>
              <w:spacing w:after="0"/>
              <w:rPr>
                <w:sz w:val="20"/>
                <w:szCs w:val="20"/>
                <w:color w:val="auto"/>
              </w:rPr>
            </w:pPr>
            <w:r>
              <w:rPr>
                <w:rFonts w:ascii="Arial" w:cs="Arial" w:eastAsia="Arial" w:hAnsi="Arial"/>
                <w:sz w:val="18"/>
                <w:szCs w:val="18"/>
                <w:color w:val="auto"/>
              </w:rPr>
              <w:t>3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9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 years</w:t>
            </w: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Repairs and maintenance expenditures, which are not considered improvements and do not extend the useful life of the property and equipment, are expensed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Land use rights</w:t>
      </w:r>
    </w:p>
    <w:p>
      <w:pPr>
        <w:spacing w:after="0" w:line="22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Land use rights represent lease prepayments to the local government authorities. As of December 31, 2018, land use rights were carried at cost less accumulated amortization and any impairment loss. Amortization is provided to write off the cost of lease prepayments on a straight-line basis over the remaining term of the land use right period.</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Upon the adoption of ASC 842 on January 1, 2019, land use rights, net were identified as operating lease right-of-use assets, which is separately disclosed as “Land use rights” in the Group’s consolidated balance sheets. Accordingly, the Group disclosed the cash used for obtaining the land use rights in operating cash flow activities for the year ended December 31, 2019, with no adjustments made to the comparative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Intangible assets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Finite-lived intangible assets are tested for impairment if impairment indicators arise. The Group amortizes its finite-lived intangible assets using the straight-line method: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License right</w:t>
            </w:r>
          </w:p>
        </w:tc>
        <w:tc>
          <w:tcPr>
            <w:tcW w:w="702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over the license period</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Technology</w:t>
            </w:r>
          </w:p>
        </w:tc>
        <w:tc>
          <w:tcPr>
            <w:tcW w:w="7020" w:type="dxa"/>
            <w:vAlign w:val="bottom"/>
          </w:tcPr>
          <w:p>
            <w:pPr>
              <w:ind w:left="1960"/>
              <w:spacing w:after="0"/>
              <w:rPr>
                <w:sz w:val="20"/>
                <w:szCs w:val="20"/>
                <w:color w:val="auto"/>
              </w:rPr>
            </w:pPr>
            <w:r>
              <w:rPr>
                <w:rFonts w:ascii="Arial" w:cs="Arial" w:eastAsia="Arial" w:hAnsi="Arial"/>
                <w:sz w:val="18"/>
                <w:szCs w:val="18"/>
                <w:color w:val="auto"/>
              </w:rPr>
              <w:t>10 years</w:t>
            </w:r>
          </w:p>
        </w:tc>
      </w:tr>
    </w:tbl>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Group obtains music content for customers through licensing agreements. When the license fee for music title is determinable or reasonably estimable and the content is available for streaming, the Group recognizes an asset representing the fee and a corresponding liability for the amounts owed. The Group relieves the liability as payments are made and the Group amortizes the asset to “Cost of revenues” on a straight-line basis over the term of the respective licensing agreements.</w:t>
      </w:r>
    </w:p>
    <w:p>
      <w:pPr>
        <w:sectPr>
          <w:pgSz w:w="11900" w:h="16838" w:orient="portrait"/>
          <w:cols w:equalWidth="0" w:num="1">
            <w:col w:w="9920"/>
          </w:cols>
          <w:pgMar w:left="980" w:top="517" w:right="99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Advertising expenses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Group expenses advertising costs as incurred and reports these costs under selling and marketing expense. Advertising expenses totaled approximately RMB1,998.4 million, RMB2,222.2 million and RMB1,679.3 million (US$241.2 million) for the years ended December 31, 2017, 2018,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Foreign currency translation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Group’s reporting currency is RMB. The Company and its subsidiaries and VIEs, with an exception of several subsidiaries incorporated in Cayman Islands, use RMB as their functional currency. In 2017, several of the Company’s subsidiaries incorporated in Cayman Islands changed their functional currency from RMB to US$. The determination of the respective functional currency is based on the criteria of ASC 830, Foreign Currency Matters and such change has not resulted in any material effect on the Group’s financial statements.</w:t>
      </w:r>
    </w:p>
    <w:p>
      <w:pPr>
        <w:spacing w:after="0" w:line="18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Transactions in currencies other than the functional currency are measured and recorded in the functional currency using the exchange rate in effect at the date of the transaction. At the balance sheet date, monetary assets and liabilities that are denominated in currencies other than the functional currency are translated into the functional currency using the exchange rate at the balance sheet date. The resulting exchange differences are included in the consolidated statements of operations and comprehensive income.</w:t>
      </w:r>
    </w:p>
    <w:p>
      <w:pPr>
        <w:spacing w:after="0" w:line="15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Assets and liabilities of the Group companies are translated from their respective functional currencies to the reporting currency at the exchange rates at the balance sheet dates, equity accounts are translated at historical exchange rates and revenues and expenses are translated at the average exchange rates in effect during the reporting period. The exchange differences for the translation of group companies with non-RMB functional currency into the RMB functional currency are included in foreign currency translation adjustments, which is a separate component of shareholders’ equity on the consolidated financial statements.</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Translations of amounts from RMB into United States dollars for the convenience of the reader were calculated at the noon buying rate of US$1.00 = RMB6.9618 on the last trading day of 2019 (December 31, 2019) as set forth in the H.10 statistical release of the U.S. Federal Reserve Board. No representation is made that the RMB amounts could have been, or could be, converted into United States dollars at such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 Share-based compensation</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its 2009 Restricted Share Unit Plan and 2019 Restricted Share Unit Plan (see Note 20(a)), the Company issues restricted share units (RSUs) to its employees, directors and consultants with performance conditions and service vesting periods ranging from one year to five years. Some of the RSUs issued are to be settled, at the Company’s discretion, in stock or cash upon vesting based on the stock price at grant date. At each reporting period, the Company evaluates the likelihood of performance conditions being met. Share-based compensation costs are then recorded for the number of RSUs expected to vest on a graded-vesting basis, net of estimated forfeitures, over the requisite service period. The compensation cost of the RSUs to be settled in stock only is measured based on the fair value of stock when all conditions to establish the grant date have been met. The compensation cost of RSUs to be settled either in stock or cash at the Company’s discretion is remeasured until the date when settlement in stock or cash is determined by the Company.</w:t>
      </w:r>
    </w:p>
    <w:p>
      <w:pPr>
        <w:spacing w:after="0" w:line="16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records share-based compensation to the consolidated statements of operations and comprehensive income with the corresponding credit to the additional paid-in-capital for share options and RSUs to the extent that such awards are to be settled only in stock.</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Certain subsidiaries of the Company granted options exercisable for ordinary shares to certain of the Group’s employees. The options expire five to ten years from the date of grant and either vest or have a vesting commencement date upon certain conditions being met (“Vesting Commencement Date”). The Group adopts the binomial option pricing model to determine the fair value of stock options and accounts for share-based compensation cost using an estimated forfeiture rate.</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Forfeitures were estimated based on the Group’s weighted average historical forfeiture rate of the past five years. Differences between actual and estimated forfeitures are expensed in the period that the differences occur. See Note 20 for further information regarding share-based compensation assumptions and expense.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517" w:right="111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Taxation</w:t>
      </w:r>
    </w:p>
    <w:p>
      <w:pPr>
        <w:spacing w:after="0" w:line="22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Income tax expense is recognized in accordance with the laws of the relevant taxing authorities, with deferred taxes being provided for temporary differences between amounts of assets and liabilities for financial reporting purposes and such amounts as measured by tax laws. Tax rate changes are reflected in income during the period the changes are enacted.</w:t>
      </w:r>
    </w:p>
    <w:p>
      <w:pPr>
        <w:spacing w:after="0" w:line="18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 deferred income tax asset or liability is computed for the expected future impact of differences between the financial reporting and tax bases of assets and liabilities as well as the expected future tax benefit to be derived from tax loss and tax credit carry forwards.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Valuation allowances are established, when necessary, to reduce deferred tax assets to the amount “more likely than not” to be realized in future tax returns.</w:t>
      </w:r>
    </w:p>
    <w:p>
      <w:pPr>
        <w:spacing w:after="0" w:line="17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a particular tax-paying component of an enterprise and within a particular tax jurisdiction, all deferred tax assets and liabilities are offset and presented as a single amount. The Group does not offset deferred tax assets and liabilities attributable to different tax-paying components of the enterprise or to different tax jurisdictions.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Group reports tax-related interest expense and penalty in Other, net in the consolidated statements of operations and comprehensive income, if there is any. The Group did not incur any material penalty or interest payments in connection with tax positions during the years ended December 31, 2017, 2018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Group did not have any significant unrecognized uncertain tax positions as of December 31, 2018 and 2019.</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order to assess uncertain tax positions, the Group applies a more likely than not threshold and a two-step approach for the tax position measurement and financial statement recognition. Under the two-step approach, the first step is to evaluate the tax position for recognition by determining if the weight of available evidence indicates that it is more likely than not that the position will be sustained, including resolution of related appeals or litigation processes, if any. The second step is to measure the tax benefit as the largest amount that is more than 50% likely of being realized upon settlement.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Net earnings per share (“EPS”) and per American Depositary Share (“ADS”)</w:t>
      </w:r>
    </w:p>
    <w:p>
      <w:pPr>
        <w:spacing w:after="0" w:line="229"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Basic earnings per share is computed on the basis of the weighted-average number of ordinary shares outstanding during the period under measurement. Diluted earnings per share are based on the weighted-average number of ordinary shares outstanding and potential ordinary shares. Potential ordinary shares result from the assumed exercise of outstanding stock options, RSUs or other potentially dilutive equity instruments, when they are dilutive under the treasury stock method or the if-converted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Statutory reserves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Company’s subsidiaries and VIEs incorporated in China are required to make appropriations to certain non-distributable statutory reserves. In accordance with the laws applicable to foreign invested enterprises in China, its subsidiaries have to make appropriations from its after-tax profit as reported in their PRC statutory accounts to non-distributable statutory reserves including (i) general reserve fund. (ii) enterprise expansion fund and (iii) staff bonus and welfare fund. The appropriation to the general reserve fund is at least 10% of the after-tax profits as reported in the PRC statutory accounts. Appropriation is not required if the reserve fund has reached 50% of the registered capital of the respective company. The appropriation to the other reserve funds is at the discretion of the board of directors of the respective company. At the same time, the Company’s VIEs, in accordance with the China Company Laws, must make appropriations from their after-tax profit as reported in their PRC statutory accounts to non-distributable statutory reserves including (i) statutory surplus fund and (ii) discretionary surplus fund. The appropriation to the statutory surplus fund is at least 10% of the after-tax profits as reported in their PRC statutory accounts. Appropriation is not required if the statutory surplus fund has reached 50% of the registered capital of the respective company. Appropriation to the discretionary surplus fund is made at the discretion of the board of directors of the respective companies.</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general reserve fund and statutory surplus fund are restricted to set off against losses, expansion of production and operation or increase in the registered capital of the respective companies. The staff bonus and welfare fund is available to fund payments of special bonuses to staff and for collective welfare benefits. Upon approval by the board of directors, the discretionary surplus and enterprise expansion fund can be used to offset accumulated losses or to increase capital.</w:t>
      </w:r>
    </w:p>
    <w:p>
      <w:pPr>
        <w:sectPr>
          <w:pgSz w:w="11900" w:h="16838" w:orient="portrait"/>
          <w:cols w:equalWidth="0" w:num="1">
            <w:col w:w="9900"/>
          </w:cols>
          <w:pgMar w:left="980" w:top="517"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Noncontrolling interests and Redeemable noncontrolling interests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Noncontrolling interests are recognized to reflect the portion of the equity of majority-owned subsidiaries and VIEs which is not attributable, directly or indirectly, to the controlling shareholder.</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noncontrolling interest will continue to be attributed its share of losses even if that attribution results in a deficit noncontrolling interest balance.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Redeemable noncontrolling interests represent redeemable equity interests issued by the Group’s subsidiaries to certain investors (see Note 17), and have been classified as mezzanine classified noncontrolling interests in the consolidated financial statements as these redeemable interests are contingently redeemable upon the occurrence of certain conditional events, which is not solely within the control of the Group. The Group accreted the redeemable equity interests to their redemption value, which is purchase price plus interest per year over the period since issuance to the earliest redemption date. The accretions were recorded against retained earnings, or in the absence of retained earnings, by charges against additional paid-in capital. Once additional paid-in capital had been exhausted, additional charges were recorded by increasing the accumulated deficit.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 Related parties</w:t>
      </w:r>
    </w:p>
    <w:p>
      <w:pPr>
        <w:spacing w:after="0" w:line="22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stockholder, or a related corporation.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Comprehensive income</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Comprehensive income is defined as the change in equity of the Group during a period arising from transactions and other events and circumstances excluding transactions resulting from investments by shareholders and distributions to shareholders.</w:t>
      </w:r>
    </w:p>
    <w:p>
      <w:pPr>
        <w:spacing w:after="0" w:line="146"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Comprehensive income for the years ended December 31, 2017 includes net income, change in unrealized gains/(losses) on marketable securities classified as available-for-sale securities (net of tax) and foreign currency translation adjustment. Starting from January 1, 2018, upon adoption of ASU 2016-01, gain/(losses) on marketable securities are recognized in other income/(expense), net.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Segment reporting</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Group’s internal organizational structure as well as information about geographical areas, business segments and major customers in financial statements is set out in detail under Note 26.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of the Company are recognized when declared.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 Recently issued accounting pronouncements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the FASB issued ASU 2016-02 “Leases”, which was further modified in ASU No. 2018-01, “Land easement practical expedient for transition to Topic 842”, ASU No. 2018-10, “Codification Improvements to Topic 842, Leases,” ASU No. 2018-11, “Leases (Topic 842) Targeted Improvements”, ASU No. 2018-20, “Narrow-scope improvement for lessors” and ASU No. 2019-01 “Leases (Topic 842) Codification Improvements” to clarify the implementation guidance. The new accounting standard generally requires the recognition on the balance sheet of right-of-use assets and lease liabilities for all long-term leases, including operating leases, on the balance sheet and to provide enhanced disclosures surrounding the amount, timing and uncertainty of cash flows arising from leasing arrangements. The Group adopted the new lease standard using the modified retrospective method by applying the new lease standard to all leases existing as of January 1, 2019, the date of initial adoption, and no adjustments were made to the comparative periods. The Group elected the package of practical expedients permitted under the transition guidance, which allowed the Group to carry forward previous lease classification, the assessment on whether a contract was or contained a lease, and the initial direct costs for any leases that existed prior to January 1, 2019. The Group recognized approximately RMB577.0 million as total right-of-use (“ROU”) assets as well as total lease liabilities for the operating leases on its consolidated balance sheet as of January 1, 2019. The adoption of the new lease standard does not have any significant impact on the consolidated statements of comprehensive income and cash flows and there was no adjustment to the beginning retained earnings on January 1, 2019. See Note 9 Leases for additional information.</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June 2016, the FASB issued ASU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Group beginning on January 1, 2020. The Group does not expect the adoption of this guidance to have a material impact on its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Disposal of Kaola e-commerce business</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September 2019, the Group signed a series of agreements with a subsidiary of Alibaba Group Holding Limited (“Alibaba”) to sell its e-commerce platform Kaola for a consideration of approximately US$1.9 billion. The consideration is comprised of approximately US$1.6 billion in cash payable to the Group and Kaola equity award holders, as well as approximately 14.3 million Alibaba ordinary shares issued to the Group. Upon completion of the transaction, Kaola was deconsolidated from the Group and its historical financial results are reflected in the Group’s consolidated financial statements as discontinued operations accordingly. Additionally, the related assets and liabilities associated with discontinued operations in the prior year consolidated balance sheets were classified as assets/liabilities held for sale to provide the comparable financial information.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tables set forth the assets, liabilities, statement of operations and cash flows of discontinued operations which were included in the Group’s consolidated financial statements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Inventories, net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3,952,208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Prepayments and other current assets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1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5,141,602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Property, equipment and software, net</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705,432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Land use rights, net</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assets</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6,109,340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Accounts payable</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1,183,143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Salary and welfare payables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Taxes payable</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 and other payables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2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Deferred tax liabilities</w:t>
            </w: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long-term payable</w:t>
            </w:r>
          </w:p>
        </w:tc>
        <w:tc>
          <w:tcPr>
            <w:tcW w:w="12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3280" w:type="dxa"/>
            <w:vAlign w:val="bottom"/>
            <w:tcBorders>
              <w:bottom w:val="single" w:sz="8" w:color="auto"/>
            </w:tcBorders>
            <w:gridSpan w:val="6"/>
          </w:tcPr>
          <w:p>
            <w:pPr>
              <w:jc w:val="center"/>
              <w:ind w:left="935"/>
              <w:spacing w:after="0"/>
              <w:rPr>
                <w:sz w:val="20"/>
                <w:szCs w:val="20"/>
                <w:color w:val="auto"/>
              </w:rPr>
            </w:pPr>
            <w:r>
              <w:rPr>
                <w:rFonts w:ascii="Arial" w:cs="Arial" w:eastAsia="Arial" w:hAnsi="Arial"/>
                <w:sz w:val="14"/>
                <w:szCs w:val="14"/>
                <w:b w:val="1"/>
                <w:bCs w:val="1"/>
                <w:color w:val="auto"/>
                <w:w w:val="91"/>
              </w:rPr>
              <w:t>For the 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1"/>
                <w:szCs w:val="11"/>
                <w:b w:val="1"/>
                <w:bCs w:val="1"/>
                <w:color w:val="auto"/>
              </w:rPr>
              <w:t>2019</w:t>
            </w:r>
            <w:r>
              <w:rPr>
                <w:rFonts w:ascii="Arial" w:cs="Arial" w:eastAsia="Arial" w:hAnsi="Arial"/>
                <w:sz w:val="16"/>
                <w:szCs w:val="16"/>
                <w:b w:val="1"/>
                <w:bCs w:val="1"/>
                <w:color w:val="auto"/>
                <w:vertAlign w:val="superscript"/>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RMB</w:t>
            </w:r>
          </w:p>
        </w:tc>
        <w:tc>
          <w:tcPr>
            <w:tcW w:w="17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RMB</w:t>
            </w: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9,664,664</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15,977,878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10,571,406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(8,795,012)</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(14,920,531)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(9,620,388)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869,652</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1,057,347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(1,452,983)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(2,614,760)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(48,016)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(112,902)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(209,755)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(414,090)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(1,710,754)</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(3,141,752)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(1,664,525)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(841,102)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(2,084,405)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Other income/(expenses):</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13,023</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(828,079)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(2,132,651)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Income tax</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(6,375)</w:t>
            </w:r>
          </w:p>
        </w:tc>
        <w:tc>
          <w:tcPr>
            <w:tcW w:w="2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(834,454)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(2,138,682)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Gains on disposal, net of tax</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8,751,165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(loss)/income from discontinued operations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(834,454)</w:t>
            </w: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(2,138,682)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7,962,519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20" w:type="dxa"/>
            <w:vAlign w:val="bottom"/>
          </w:tcPr>
          <w:p>
            <w:pPr>
              <w:spacing w:after="0"/>
              <w:rPr>
                <w:sz w:val="24"/>
                <w:szCs w:val="24"/>
                <w:color w:val="auto"/>
              </w:rPr>
            </w:pPr>
          </w:p>
        </w:tc>
        <w:tc>
          <w:tcPr>
            <w:tcW w:w="3280" w:type="dxa"/>
            <w:vAlign w:val="bottom"/>
            <w:tcBorders>
              <w:bottom w:val="single" w:sz="8" w:color="auto"/>
            </w:tcBorders>
            <w:gridSpan w:val="6"/>
          </w:tcPr>
          <w:p>
            <w:pPr>
              <w:jc w:val="center"/>
              <w:ind w:left="935"/>
              <w:spacing w:after="0"/>
              <w:rPr>
                <w:sz w:val="20"/>
                <w:szCs w:val="20"/>
                <w:color w:val="auto"/>
              </w:rPr>
            </w:pPr>
            <w:r>
              <w:rPr>
                <w:rFonts w:ascii="Arial" w:cs="Arial" w:eastAsia="Arial" w:hAnsi="Arial"/>
                <w:sz w:val="14"/>
                <w:szCs w:val="14"/>
                <w:b w:val="1"/>
                <w:bCs w:val="1"/>
                <w:color w:val="auto"/>
                <w:w w:val="91"/>
              </w:rPr>
              <w:t>For the year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213"/>
              <w:spacing w:after="0" w:line="142" w:lineRule="exact"/>
              <w:rPr>
                <w:sz w:val="20"/>
                <w:szCs w:val="20"/>
                <w:color w:val="auto"/>
              </w:rPr>
            </w:pPr>
            <w:r>
              <w:rPr>
                <w:rFonts w:ascii="Arial" w:cs="Arial" w:eastAsia="Arial" w:hAnsi="Arial"/>
                <w:sz w:val="11"/>
                <w:szCs w:val="11"/>
                <w:b w:val="1"/>
                <w:bCs w:val="1"/>
                <w:color w:val="auto"/>
              </w:rPr>
              <w:t>2019</w:t>
            </w:r>
            <w:r>
              <w:rPr>
                <w:rFonts w:ascii="Arial" w:cs="Arial" w:eastAsia="Arial" w:hAnsi="Arial"/>
                <w:sz w:val="16"/>
                <w:szCs w:val="16"/>
                <w:b w:val="1"/>
                <w:bCs w:val="1"/>
                <w:color w:val="auto"/>
                <w:vertAlign w:val="superscript"/>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193"/>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discontinued operating activities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(2,975,214)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(1,243,966)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cash provided by/ (used in) discontinued investing activities</w:t>
            </w:r>
          </w:p>
        </w:tc>
        <w:tc>
          <w:tcPr>
            <w:tcW w:w="1280" w:type="dxa"/>
            <w:vAlign w:val="bottom"/>
          </w:tcPr>
          <w:p>
            <w:pPr>
              <w:jc w:val="right"/>
              <w:spacing w:after="0"/>
              <w:rPr>
                <w:sz w:val="20"/>
                <w:szCs w:val="20"/>
                <w:color w:val="auto"/>
              </w:rPr>
            </w:pPr>
            <w:r>
              <w:rPr>
                <w:rFonts w:ascii="Arial" w:cs="Arial" w:eastAsia="Arial" w:hAnsi="Arial"/>
                <w:sz w:val="18"/>
                <w:szCs w:val="18"/>
                <w:color w:val="auto"/>
              </w:rPr>
              <w:t>3,101,239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1,430,181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(832,252)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Included financial results of discontinued operations from January 1, 2019 to September 6, 2019.</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Server and bandwidth service provider</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Group relied on telecommunications service providers and their affiliates for server and bandwidth service to support its operations during fiscal years 2017, 2018 and 2019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29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year ended 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telecommunications service providers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6"/>
              </w:rPr>
              <w:t>Number of service providers provided by 10% or more of the Group’s server and bandwidth</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service expenditure</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Total% of the Group’s server and bandwidth service expenditure provided by 10% or greater</w:t>
            </w: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service providers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57.8 %</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56.3 %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Credit risk</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Financial instruments that potentially subject the Group to significant concentrations of credit risk consist primarily of cash and cash equivalents, time deposits, restricted cash, accounts receivable and short-term investments. As of December 31, 2018 and 2019, substantially all of the Group's cash equivalents, time deposits and restricted cash were held in major financial institutions located in the PRC or Hong Kong, which management consider being of high credit quality. Accounts receivable are typically unsecured and are generally derived from revenue earned from mobile games services (mainly related to remittances from distribution channels) and advertising services.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One distribution channel had a receivable balance exceeding 10% of the total accounts receivable balance for the year ended December 31, 2018 and 2019,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36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Distribution channel A</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36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Not applicable</w:t>
            </w:r>
          </w:p>
        </w:tc>
        <w:tc>
          <w:tcPr>
            <w:tcW w:w="1280" w:type="dxa"/>
            <w:vAlign w:val="bottom"/>
            <w:gridSpan w:val="2"/>
          </w:tcPr>
          <w:p>
            <w:pPr>
              <w:jc w:val="center"/>
              <w:ind w:right="130"/>
              <w:spacing w:after="0"/>
              <w:rPr>
                <w:sz w:val="20"/>
                <w:szCs w:val="20"/>
                <w:color w:val="auto"/>
              </w:rPr>
            </w:pPr>
            <w:r>
              <w:rPr>
                <w:rFonts w:ascii="Arial" w:cs="Arial" w:eastAsia="Arial" w:hAnsi="Arial"/>
                <w:sz w:val="18"/>
                <w:szCs w:val="18"/>
                <w:color w:val="auto"/>
                <w:w w:val="92"/>
              </w:rPr>
              <w:t>Not applicable</w:t>
            </w:r>
          </w:p>
        </w:tc>
      </w:tr>
    </w:tbl>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Short-term investments consist of financial products issued by commercial banks in China with a variable interest rate indexed to performance of underlying assets, which have a maturity date within one year as of the purchase date. The effective yields of the short-term investments range from 1.9% to 5.5% per annum. Any negative events or deterioration in financial well-being with respect to the counterparties of the above investments and the underlying collateral may cause a material loss to the Group and have a material effect on the Group’s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Major Customers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No single customer represented 10% or more of the Group’s total net revenues for the years ended December 31, 2017, 2018 and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Online Games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Group derived 53.9%, 39.6% and 36.8% of its total net revenues from its top 5 online games for the years ended December 31, 2017, 2018 and 2019, respectively.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70.8%, 71.0% and 71.4% of the Group’s total net game revenues were generated from mobile games for the years ended December 31, 2017,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Prepayments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prepayments and other current assets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Guarantee payment made to Blizzard - royalty fees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356,033</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Prepayment for royalties, revenue sharing cost</w:t>
            </w:r>
          </w:p>
        </w:tc>
        <w:tc>
          <w:tcPr>
            <w:tcW w:w="1060" w:type="dxa"/>
            <w:vAlign w:val="bottom"/>
          </w:tcPr>
          <w:p>
            <w:pPr>
              <w:jc w:val="right"/>
              <w:spacing w:after="0"/>
              <w:rPr>
                <w:sz w:val="20"/>
                <w:szCs w:val="20"/>
                <w:color w:val="auto"/>
              </w:rPr>
            </w:pPr>
            <w:r>
              <w:rPr>
                <w:rFonts w:ascii="Arial" w:cs="Arial" w:eastAsia="Arial" w:hAnsi="Arial"/>
                <w:sz w:val="18"/>
                <w:szCs w:val="18"/>
                <w:color w:val="auto"/>
              </w:rPr>
              <w:t>2,000,327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2,627,048</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operating income receivable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511,364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524,069</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Prepayments of content and marketing cost and other operational expenses</w:t>
            </w:r>
          </w:p>
        </w:tc>
        <w:tc>
          <w:tcPr>
            <w:tcW w:w="1060" w:type="dxa"/>
            <w:vAlign w:val="bottom"/>
          </w:tcPr>
          <w:p>
            <w:pPr>
              <w:jc w:val="right"/>
              <w:spacing w:after="0"/>
              <w:rPr>
                <w:sz w:val="20"/>
                <w:szCs w:val="20"/>
                <w:color w:val="auto"/>
              </w:rPr>
            </w:pPr>
            <w:r>
              <w:rPr>
                <w:rFonts w:ascii="Arial" w:cs="Arial" w:eastAsia="Arial" w:hAnsi="Arial"/>
                <w:sz w:val="18"/>
                <w:szCs w:val="18"/>
                <w:color w:val="auto"/>
              </w:rPr>
              <w:t>664,523</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569,122</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Prepayment for sales tax and deductible value added tax</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312,852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483,547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Bridge loans in connection with ongoing investments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19,540</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21,259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11,882</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Employee advances</w:t>
            </w:r>
          </w:p>
        </w:tc>
        <w:tc>
          <w:tcPr>
            <w:tcW w:w="1060" w:type="dxa"/>
            <w:vAlign w:val="bottom"/>
          </w:tcPr>
          <w:p>
            <w:pPr>
              <w:jc w:val="right"/>
              <w:spacing w:after="0"/>
              <w:rPr>
                <w:sz w:val="20"/>
                <w:szCs w:val="20"/>
                <w:color w:val="auto"/>
              </w:rPr>
            </w:pPr>
            <w:r>
              <w:rPr>
                <w:rFonts w:ascii="Arial" w:cs="Arial" w:eastAsia="Arial" w:hAnsi="Arial"/>
                <w:sz w:val="18"/>
                <w:szCs w:val="18"/>
                <w:color w:val="auto"/>
              </w:rPr>
              <w:t>44,337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79,823</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Advance to suppliers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26,664</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91,357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117,975</w:t>
            </w:r>
          </w:p>
        </w:tc>
      </w:tr>
      <w:tr>
        <w:trPr>
          <w:trHeight w:val="209"/>
        </w:trPr>
        <w:tc>
          <w:tcPr>
            <w:tcW w:w="7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3,925,205</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4,817,422</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license agreements of World of Warcraft</w:t>
      </w:r>
      <w:r>
        <w:rPr>
          <w:rFonts w:ascii="Arial" w:cs="Arial" w:eastAsia="Arial" w:hAnsi="Arial"/>
          <w:sz w:val="23"/>
          <w:szCs w:val="23"/>
          <w:color w:val="auto"/>
          <w:vertAlign w:val="superscript"/>
        </w:rPr>
        <w:t>®</w:t>
      </w:r>
      <w:r>
        <w:rPr>
          <w:rFonts w:ascii="Arial" w:cs="Arial" w:eastAsia="Arial" w:hAnsi="Arial"/>
          <w:sz w:val="16"/>
          <w:szCs w:val="16"/>
          <w:color w:val="auto"/>
        </w:rPr>
        <w:t>, the StarCraft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II series, Hearthstone</w:t>
      </w:r>
      <w:r>
        <w:rPr>
          <w:rFonts w:ascii="Arial" w:cs="Arial" w:eastAsia="Arial" w:hAnsi="Arial"/>
          <w:sz w:val="23"/>
          <w:szCs w:val="23"/>
          <w:color w:val="auto"/>
          <w:vertAlign w:val="superscript"/>
        </w:rPr>
        <w:t>®</w:t>
      </w:r>
      <w:r>
        <w:rPr>
          <w:rFonts w:ascii="Arial" w:cs="Arial" w:eastAsia="Arial" w:hAnsi="Arial"/>
          <w:sz w:val="16"/>
          <w:szCs w:val="16"/>
          <w:color w:val="auto"/>
        </w:rPr>
        <w:t>, Heroes of the Storm</w:t>
      </w:r>
      <w:r>
        <w:rPr>
          <w:rFonts w:ascii="Arial" w:cs="Arial" w:eastAsia="Arial" w:hAnsi="Arial"/>
          <w:sz w:val="23"/>
          <w:szCs w:val="23"/>
          <w:color w:val="auto"/>
          <w:vertAlign w:val="superscript"/>
        </w:rPr>
        <w:t>®</w:t>
      </w:r>
      <w:r>
        <w:rPr>
          <w:rFonts w:ascii="Arial" w:cs="Arial" w:eastAsia="Arial" w:hAnsi="Arial"/>
          <w:sz w:val="16"/>
          <w:szCs w:val="16"/>
          <w:color w:val="auto"/>
        </w:rPr>
        <w:t>, Diablo</w:t>
      </w:r>
      <w:r>
        <w:rPr>
          <w:rFonts w:ascii="Arial" w:cs="Arial" w:eastAsia="Arial" w:hAnsi="Arial"/>
          <w:sz w:val="23"/>
          <w:szCs w:val="23"/>
          <w:color w:val="auto"/>
          <w:vertAlign w:val="superscript"/>
        </w:rPr>
        <w:t>®</w:t>
      </w:r>
    </w:p>
    <w:p>
      <w:pPr>
        <w:ind w:right="20" w:firstLine="8"/>
        <w:spacing w:after="0" w:line="222" w:lineRule="auto"/>
        <w:tabs>
          <w:tab w:leader="none" w:pos="2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and Overwatch</w:t>
      </w:r>
      <w:r>
        <w:rPr>
          <w:rFonts w:ascii="Arial" w:cs="Arial" w:eastAsia="Arial" w:hAnsi="Arial"/>
          <w:sz w:val="26"/>
          <w:szCs w:val="26"/>
          <w:color w:val="auto"/>
          <w:vertAlign w:val="superscript"/>
        </w:rPr>
        <w:t>®</w:t>
      </w:r>
      <w:r>
        <w:rPr>
          <w:rFonts w:ascii="Arial" w:cs="Arial" w:eastAsia="Arial" w:hAnsi="Arial"/>
          <w:sz w:val="18"/>
          <w:szCs w:val="18"/>
          <w:color w:val="auto"/>
        </w:rPr>
        <w:t>, the Group made certain guarantee payments to Blizzard on behalf of Shanghai EaseNet for the minimum guaranteed royalties as of December 31, 2018 and 2019. The guarantee amounts will be released to the Group when actual royalties are paid by Shanghai EaseNet to Blizzard.</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2018 and 2019, prepayments for royalties and revenue sharing cost mainly represented prepaid royalties or revenue sharing cost related to operations of licensed PC and mobile games.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amount of employee advances listed above included staff housing loan balances of RMB43.1 million and RMB43.0 million repayable within 12 months from December 31, 2018 and 2019, respectively (see Note 11). No advances were made directly or indirectly to the Group’s executive officers for their personal benefit for the years ended December 31, 2018 and 2019.</w:t>
      </w:r>
    </w:p>
    <w:p>
      <w:pPr>
        <w:spacing w:after="0" w:line="175" w:lineRule="exact"/>
        <w:rPr>
          <w:sz w:val="20"/>
          <w:szCs w:val="20"/>
          <w:color w:val="auto"/>
        </w:rPr>
      </w:pPr>
    </w:p>
    <w:p>
      <w:pPr>
        <w:ind w:left="340" w:hanging="332"/>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jc w:val="both"/>
        <w:ind w:right="300"/>
        <w:spacing w:after="0" w:line="287" w:lineRule="auto"/>
        <w:rPr>
          <w:sz w:val="20"/>
          <w:szCs w:val="20"/>
          <w:color w:val="auto"/>
        </w:rPr>
      </w:pPr>
      <w:r>
        <w:rPr>
          <w:rFonts w:ascii="Arial" w:cs="Arial" w:eastAsia="Arial" w:hAnsi="Arial"/>
          <w:sz w:val="16"/>
          <w:szCs w:val="16"/>
          <w:color w:val="auto"/>
        </w:rPr>
        <w:t>As of December 31, 2018 and 2019, the Group’s short-term investments mainly consisted of financial products issued by commercial banks in China with a variable interest rate indexed to the performance of underlying assets and a maturity date within one year when purchased. As of December 31, 2019, the effective yields of short-term investments ranged from 2.00% to 4.25% per annum (2018:</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1.90% to 5.50% per annum).</w:t>
      </w:r>
    </w:p>
    <w:p>
      <w:pPr>
        <w:sectPr>
          <w:pgSz w:w="11900" w:h="16838" w:orient="portrait"/>
          <w:cols w:equalWidth="0" w:num="1">
            <w:col w:w="9920"/>
          </w:cols>
          <w:pgMar w:left="980" w:top="517" w:right="9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short-term investments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7">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-130175</wp:posOffset>
            </wp:positionV>
            <wp:extent cx="6292215"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8">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340"/>
        <w:spacing w:after="0"/>
        <w:rPr>
          <w:sz w:val="20"/>
          <w:szCs w:val="20"/>
          <w:color w:val="auto"/>
        </w:rPr>
      </w:pPr>
      <w:r>
        <w:rPr>
          <w:rFonts w:ascii="Arial" w:cs="Arial" w:eastAsia="Arial" w:hAnsi="Arial"/>
          <w:sz w:val="14"/>
          <w:szCs w:val="14"/>
          <w:b w:val="1"/>
          <w:bCs w:val="1"/>
          <w:color w:val="auto"/>
        </w:rPr>
        <w:t>December 31,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140" w:type="dxa"/>
            <w:vAlign w:val="bottom"/>
            <w:tcBorders>
              <w:top w:val="single" w:sz="8" w:color="auto"/>
            </w:tcBorders>
          </w:tcPr>
          <w:p>
            <w:pPr>
              <w:ind w:left="260"/>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Gains/(Losses)</w:t>
            </w: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8"/>
        </w:trPr>
        <w:tc>
          <w:tcPr>
            <w:tcW w:w="11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140" w:type="dxa"/>
            <w:vAlign w:val="bottom"/>
            <w:tcBorders>
              <w:top w:val="single" w:sz="8" w:color="auto"/>
            </w:tcBorders>
          </w:tcPr>
          <w:p>
            <w:pPr>
              <w:ind w:left="400"/>
              <w:spacing w:after="0" w:line="128"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11,528,300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146,475</w:t>
            </w:r>
          </w:p>
        </w:tc>
        <w:tc>
          <w:tcPr>
            <w:tcW w:w="2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11,674,775</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0"/>
                <w:szCs w:val="10"/>
                <w:color w:val="auto"/>
              </w:rPr>
            </w:pPr>
          </w:p>
        </w:tc>
        <w:tc>
          <w:tcPr>
            <w:tcW w:w="13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Unrealized</w:t>
            </w:r>
          </w:p>
        </w:tc>
        <w:tc>
          <w:tcPr>
            <w:tcW w:w="1140" w:type="dxa"/>
            <w:vAlign w:val="bottom"/>
          </w:tcPr>
          <w:p>
            <w:pPr>
              <w:ind w:left="260"/>
              <w:spacing w:after="0" w:line="119" w:lineRule="exact"/>
              <w:rPr>
                <w:sz w:val="20"/>
                <w:szCs w:val="20"/>
                <w:color w:val="auto"/>
              </w:rPr>
            </w:pPr>
            <w:r>
              <w:rPr>
                <w:rFonts w:ascii="Arial" w:cs="Arial" w:eastAsia="Arial" w:hAnsi="Arial"/>
                <w:sz w:val="13"/>
                <w:szCs w:val="13"/>
                <w:b w:val="1"/>
                <w:bCs w:val="1"/>
                <w:color w:val="auto"/>
              </w:rPr>
              <w:t>Estimated</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Gains/(Losses)</w:t>
            </w: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8"/>
        </w:trPr>
        <w:tc>
          <w:tcPr>
            <w:tcW w:w="11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1"/>
                <w:szCs w:val="11"/>
                <w:color w:val="auto"/>
              </w:rPr>
            </w:pPr>
          </w:p>
        </w:tc>
        <w:tc>
          <w:tcPr>
            <w:tcW w:w="1140" w:type="dxa"/>
            <w:vAlign w:val="bottom"/>
            <w:tcBorders>
              <w:top w:val="single" w:sz="8" w:color="auto"/>
            </w:tcBorders>
          </w:tcPr>
          <w:p>
            <w:pPr>
              <w:ind w:left="400"/>
              <w:spacing w:after="0" w:line="128"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15,116,330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196,265</w:t>
            </w:r>
          </w:p>
        </w:tc>
        <w:tc>
          <w:tcPr>
            <w:tcW w:w="220" w:type="dxa"/>
            <w:vAlign w:val="bottom"/>
          </w:tcPr>
          <w:p>
            <w:pPr>
              <w:spacing w:after="0"/>
              <w:rPr>
                <w:sz w:val="20"/>
                <w:szCs w:val="20"/>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w w:val="93"/>
              </w:rPr>
              <w:t>15,312,595</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60" w:space="720"/>
            <w:col w:w="3840"/>
          </w:cols>
          <w:pgMar w:left="980" w:top="517" w:right="999" w:bottom="1440" w:gutter="0" w:footer="0" w:header="0"/>
          <w:type w:val="continuous"/>
        </w:sectPr>
      </w:pPr>
    </w:p>
    <w:p>
      <w:pPr>
        <w:spacing w:after="0" w:line="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During the years ended December 31, 2017, 2018 and 2019, the Group recorded investment income related to short-term investments of RMB389.5 million, RMB463.5 million and RMB657.6 million in the consolidated statements of operations and comprehensive income,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property, equipment and software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decoration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1,408,343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164,745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135,611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Vehicles</w:t>
            </w:r>
          </w:p>
        </w:tc>
        <w:tc>
          <w:tcPr>
            <w:tcW w:w="1020" w:type="dxa"/>
            <w:vAlign w:val="bottom"/>
          </w:tcPr>
          <w:p>
            <w:pPr>
              <w:jc w:val="right"/>
              <w:spacing w:after="0"/>
              <w:rPr>
                <w:sz w:val="20"/>
                <w:szCs w:val="20"/>
                <w:color w:val="auto"/>
              </w:rPr>
            </w:pPr>
            <w:r>
              <w:rPr>
                <w:rFonts w:ascii="Arial" w:cs="Arial" w:eastAsia="Arial" w:hAnsi="Arial"/>
                <w:sz w:val="18"/>
                <w:szCs w:val="18"/>
                <w:color w:val="auto"/>
              </w:rPr>
              <w:t>76,192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Servers and computers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3,852,805</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Software</w:t>
            </w:r>
          </w:p>
        </w:tc>
        <w:tc>
          <w:tcPr>
            <w:tcW w:w="1020" w:type="dxa"/>
            <w:vAlign w:val="bottom"/>
          </w:tcPr>
          <w:p>
            <w:pPr>
              <w:jc w:val="right"/>
              <w:spacing w:after="0"/>
              <w:rPr>
                <w:sz w:val="20"/>
                <w:szCs w:val="20"/>
                <w:color w:val="auto"/>
              </w:rPr>
            </w:pPr>
            <w:r>
              <w:rPr>
                <w:rFonts w:ascii="Arial" w:cs="Arial" w:eastAsia="Arial" w:hAnsi="Arial"/>
                <w:sz w:val="18"/>
                <w:szCs w:val="18"/>
                <w:color w:val="auto"/>
              </w:rPr>
              <w:t>96,092</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1,567,091</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7,300,879</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8,127,685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(2,628,800)</w:t>
            </w:r>
          </w:p>
        </w:tc>
        <w:tc>
          <w:tcPr>
            <w:tcW w:w="1020" w:type="dxa"/>
            <w:vAlign w:val="bottom"/>
          </w:tcPr>
          <w:p>
            <w:pPr>
              <w:jc w:val="right"/>
              <w:spacing w:after="0"/>
              <w:rPr>
                <w:sz w:val="20"/>
                <w:szCs w:val="20"/>
                <w:color w:val="auto"/>
              </w:rPr>
            </w:pPr>
            <w:r>
              <w:rPr>
                <w:rFonts w:ascii="Arial" w:cs="Arial" w:eastAsia="Arial" w:hAnsi="Arial"/>
                <w:sz w:val="18"/>
                <w:szCs w:val="18"/>
                <w:color w:val="auto"/>
              </w:rPr>
              <w:t>(3,505,973)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book value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4,672,079</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expense was RMB516.2 million, RMB939.8 million and RMB1,119.1 million for the years ended December 31, 2017, 2018 and 2019, respectively.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2018 and 2019, the construction in progress balance were mainly comprised of construction of office buildings and warehouses in Hangzhou, Guangzhou, Jiangxi and Shanghai that have not yet been placed in service for the Group’s intended use. All the related cost is capitalized in construction in progress to the extent it is incurred for the purposes of bringing the construction development to a usable state.</w:t>
      </w:r>
    </w:p>
    <w:p>
      <w:pPr>
        <w:spacing w:after="0" w:line="196" w:lineRule="exact"/>
        <w:rPr>
          <w:sz w:val="20"/>
          <w:szCs w:val="20"/>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Land Use Rights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Land use rights represent acquired right to use the land on which the Group’s offices and warehouses are built. In 2018 and 2019, the Group obtained the land use rights in Guangzhou and Shanghai from the local authorities. Amortization of the land use right is made over the remaining term of the land use right period from the date when the land was made available for use by the Group. The land use rights are summarized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r>
      <w:tr>
        <w:trPr>
          <w:trHeight w:val="142"/>
        </w:trPr>
        <w:tc>
          <w:tcPr>
            <w:tcW w:w="76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3,338,843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3,846,660</w:t>
            </w:r>
          </w:p>
        </w:tc>
        <w:tc>
          <w:tcPr>
            <w:tcW w:w="2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Incentive payment from local government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02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(52,331)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(124,481)</w:t>
            </w:r>
          </w:p>
        </w:tc>
        <w:tc>
          <w:tcPr>
            <w:tcW w:w="20" w:type="dxa"/>
            <w:vAlign w:val="bottom"/>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Land use right, net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3,271,512</w:t>
            </w:r>
          </w:p>
        </w:tc>
        <w:tc>
          <w:tcPr>
            <w:tcW w:w="22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3,707,179</w:t>
            </w:r>
          </w:p>
        </w:tc>
        <w:tc>
          <w:tcPr>
            <w:tcW w:w="2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amortization expense for each of the years ended December 31, 2017, 2018 and 2019 amounted to approximately RMB9.2 million, RMB31.3 million and RMB72.2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Group has operating leases for corporate offices, warehouses and retail stores. In addition, upon the adoption of ASC 842, land use rights, net with total carrying amount of RMB3,271.5 million and RMB3,707.2 million (Note 8) were identified as operating lease right-of-use assets as of January 1, 2019 and December 31,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Group’s leases have remaining lease terms of 4 months to 49 years, some of which include options to terminate the leases within certain periods. The Group considers these options in determining the classification and measurement of the leases when it is reasonably certain that the Group will exercise that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related to the Group’s operating leases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Year ended</w:t>
            </w:r>
          </w:p>
        </w:tc>
      </w:tr>
      <w:tr>
        <w:trPr>
          <w:trHeight w:val="171"/>
        </w:trPr>
        <w:tc>
          <w:tcPr>
            <w:tcW w:w="84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2019</w:t>
            </w:r>
          </w:p>
        </w:tc>
      </w:tr>
      <w:tr>
        <w:trPr>
          <w:trHeight w:val="142"/>
        </w:trPr>
        <w:tc>
          <w:tcPr>
            <w:tcW w:w="8420" w:type="dxa"/>
            <w:vAlign w:val="bottom"/>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84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Operating lease cost </w:t>
            </w:r>
            <w:r>
              <w:rPr>
                <w:rFonts w:ascii="Arial" w:cs="Arial" w:eastAsia="Arial" w:hAnsi="Arial"/>
                <w:sz w:val="25"/>
                <w:szCs w:val="25"/>
                <w:color w:val="auto"/>
                <w:vertAlign w:val="superscript"/>
              </w:rPr>
              <w:t>(i)</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360,383</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500" w:type="dxa"/>
            <w:vAlign w:val="bottom"/>
          </w:tcPr>
          <w:p>
            <w:pPr>
              <w:jc w:val="right"/>
              <w:spacing w:after="0"/>
              <w:rPr>
                <w:sz w:val="20"/>
                <w:szCs w:val="20"/>
                <w:color w:val="auto"/>
              </w:rPr>
            </w:pPr>
            <w:r>
              <w:rPr>
                <w:rFonts w:ascii="Arial" w:cs="Arial" w:eastAsia="Arial" w:hAnsi="Arial"/>
                <w:sz w:val="18"/>
                <w:szCs w:val="18"/>
                <w:color w:val="auto"/>
              </w:rPr>
              <w:t>284,969</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operating lease obligations: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179,350</w:t>
            </w:r>
          </w:p>
        </w:tc>
      </w:tr>
    </w:tbl>
    <w:p>
      <w:pPr>
        <w:spacing w:after="0" w:line="202" w:lineRule="exact"/>
        <w:rPr>
          <w:sz w:val="20"/>
          <w:szCs w:val="20"/>
          <w:color w:val="auto"/>
        </w:rPr>
      </w:pPr>
    </w:p>
    <w:p>
      <w:pPr>
        <w:ind w:left="340" w:right="260" w:hanging="332"/>
        <w:spacing w:after="0" w:line="277" w:lineRule="auto"/>
        <w:tabs>
          <w:tab w:leader="none" w:pos="3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Included short-term lease cost of RMB65.6 million and amortization expenses of land use rights of RMB72.2 million for the year ended December 31, 2019.</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weighted average remaining lease term and discount rate for operating leases as of December 31, 2019 were 1.93 years and 4.35%, respectively.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Prior to adoption of ASC 842, the Group incurred rental expenses in the amounts of approximately RMB172.1 million, and RMB280.7 million for the years ended December 31, 2017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RMB</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195,945</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2021</w:t>
            </w:r>
          </w:p>
        </w:tc>
        <w:tc>
          <w:tcPr>
            <w:tcW w:w="1080" w:type="dxa"/>
            <w:vAlign w:val="bottom"/>
          </w:tcPr>
          <w:p>
            <w:pPr>
              <w:jc w:val="right"/>
              <w:spacing w:after="0"/>
              <w:rPr>
                <w:sz w:val="20"/>
                <w:szCs w:val="20"/>
                <w:color w:val="auto"/>
              </w:rPr>
            </w:pPr>
            <w:r>
              <w:rPr>
                <w:rFonts w:ascii="Arial" w:cs="Arial" w:eastAsia="Arial" w:hAnsi="Arial"/>
                <w:sz w:val="18"/>
                <w:szCs w:val="18"/>
                <w:color w:val="auto"/>
              </w:rPr>
              <w:t>175,286</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97,639</w:t>
            </w:r>
          </w:p>
        </w:tc>
      </w:tr>
      <w:tr>
        <w:trPr>
          <w:trHeight w:val="216"/>
        </w:trPr>
        <w:tc>
          <w:tcPr>
            <w:tcW w:w="8840" w:type="dxa"/>
            <w:vAlign w:val="bottom"/>
          </w:tcPr>
          <w:p>
            <w:pPr>
              <w:spacing w:after="0"/>
              <w:rPr>
                <w:sz w:val="20"/>
                <w:szCs w:val="20"/>
                <w:color w:val="auto"/>
              </w:rPr>
            </w:pPr>
            <w:r>
              <w:rPr>
                <w:rFonts w:ascii="Arial" w:cs="Arial" w:eastAsia="Arial" w:hAnsi="Arial"/>
                <w:sz w:val="18"/>
                <w:szCs w:val="18"/>
                <w:color w:val="auto"/>
              </w:rPr>
              <w:t>2023</w:t>
            </w:r>
          </w:p>
        </w:tc>
        <w:tc>
          <w:tcPr>
            <w:tcW w:w="1080" w:type="dxa"/>
            <w:vAlign w:val="bottom"/>
          </w:tcPr>
          <w:p>
            <w:pPr>
              <w:jc w:val="right"/>
              <w:spacing w:after="0"/>
              <w:rPr>
                <w:sz w:val="20"/>
                <w:szCs w:val="20"/>
                <w:color w:val="auto"/>
              </w:rPr>
            </w:pPr>
            <w:r>
              <w:rPr>
                <w:rFonts w:ascii="Arial" w:cs="Arial" w:eastAsia="Arial" w:hAnsi="Arial"/>
                <w:sz w:val="18"/>
                <w:szCs w:val="18"/>
                <w:color w:val="auto"/>
              </w:rPr>
              <w:t>20,338</w:t>
            </w: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r>
      <w:tr>
        <w:trPr>
          <w:trHeight w:val="216"/>
        </w:trPr>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w:t>
            </w:r>
          </w:p>
        </w:tc>
      </w:tr>
      <w:tr>
        <w:trPr>
          <w:trHeight w:val="210"/>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502,138</w:t>
            </w:r>
          </w:p>
        </w:tc>
      </w:tr>
      <w:tr>
        <w:trPr>
          <w:trHeight w:val="216"/>
        </w:trPr>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(30,735)</w:t>
            </w:r>
          </w:p>
        </w:tc>
      </w:tr>
      <w:tr>
        <w:trPr>
          <w:trHeight w:val="209"/>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471,403</w:t>
            </w:r>
          </w:p>
        </w:tc>
      </w:tr>
      <w:tr>
        <w:trPr>
          <w:trHeight w:val="20"/>
        </w:trPr>
        <w:tc>
          <w:tcPr>
            <w:tcW w:w="88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summarises the minimum lease payments under noncancelable operating leases with initial or remaining lease terms in excess of one year under ASC 840 as of December 31,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Borders>
              <w:bottom w:val="single" w:sz="8" w:color="CCEEFF"/>
            </w:tcBorders>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RMB</w:t>
            </w: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230,042</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2020</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172,290</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146,999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2022</w:t>
            </w:r>
          </w:p>
        </w:tc>
        <w:tc>
          <w:tcPr>
            <w:tcW w:w="6400" w:type="dxa"/>
            <w:vAlign w:val="bottom"/>
            <w:gridSpan w:val="2"/>
          </w:tcPr>
          <w:p>
            <w:pPr>
              <w:jc w:val="right"/>
              <w:spacing w:after="0"/>
              <w:rPr>
                <w:sz w:val="20"/>
                <w:szCs w:val="20"/>
                <w:color w:val="auto"/>
              </w:rPr>
            </w:pPr>
            <w:r>
              <w:rPr>
                <w:rFonts w:ascii="Arial" w:cs="Arial" w:eastAsia="Arial" w:hAnsi="Arial"/>
                <w:sz w:val="18"/>
                <w:szCs w:val="18"/>
                <w:color w:val="auto"/>
              </w:rPr>
              <w:t>47,625</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6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7,844</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Total operating lease payments</w:t>
            </w:r>
          </w:p>
        </w:tc>
        <w:tc>
          <w:tcPr>
            <w:tcW w:w="53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604,800</w:t>
            </w:r>
          </w:p>
        </w:tc>
      </w:tr>
      <w:tr>
        <w:trPr>
          <w:trHeight w:val="20"/>
        </w:trPr>
        <w:tc>
          <w:tcPr>
            <w:tcW w:w="35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58"/>
        </w:trPr>
        <w:tc>
          <w:tcPr>
            <w:tcW w:w="3520" w:type="dxa"/>
            <w:vAlign w:val="bottom"/>
          </w:tcPr>
          <w:p>
            <w:pPr>
              <w:spacing w:after="0"/>
              <w:rPr>
                <w:sz w:val="24"/>
                <w:szCs w:val="24"/>
                <w:color w:val="auto"/>
              </w:rPr>
            </w:pPr>
          </w:p>
        </w:tc>
        <w:tc>
          <w:tcPr>
            <w:tcW w:w="6400" w:type="dxa"/>
            <w:vAlign w:val="bottom"/>
            <w:gridSpan w:val="2"/>
          </w:tcPr>
          <w:p>
            <w:pPr>
              <w:jc w:val="right"/>
              <w:ind w:right="4696"/>
              <w:spacing w:after="0"/>
              <w:rPr>
                <w:sz w:val="20"/>
                <w:szCs w:val="20"/>
                <w:color w:val="auto"/>
              </w:rPr>
            </w:pPr>
            <w:r>
              <w:rPr>
                <w:rFonts w:ascii="Arial" w:cs="Arial" w:eastAsia="Arial" w:hAnsi="Arial"/>
                <w:sz w:val="18"/>
                <w:szCs w:val="18"/>
                <w:color w:val="auto"/>
              </w:rPr>
              <w:t>F-30</w:t>
            </w:r>
          </w:p>
        </w:tc>
      </w:tr>
      <w:tr>
        <w:trPr>
          <w:trHeight w:val="561"/>
        </w:trPr>
        <w:tc>
          <w:tcPr>
            <w:tcW w:w="35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long-term investments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6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42"/>
        </w:trPr>
        <w:tc>
          <w:tcPr>
            <w:tcW w:w="766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equity method investees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736,551</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1,137,774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Equity investments with readily determinable fair values</w:t>
            </w:r>
          </w:p>
        </w:tc>
        <w:tc>
          <w:tcPr>
            <w:tcW w:w="1020" w:type="dxa"/>
            <w:vAlign w:val="bottom"/>
          </w:tcPr>
          <w:p>
            <w:pPr>
              <w:jc w:val="right"/>
              <w:spacing w:after="0"/>
              <w:rPr>
                <w:sz w:val="20"/>
                <w:szCs w:val="20"/>
                <w:color w:val="auto"/>
              </w:rPr>
            </w:pPr>
            <w:r>
              <w:rPr>
                <w:rFonts w:ascii="Arial" w:cs="Arial" w:eastAsia="Arial" w:hAnsi="Arial"/>
                <w:sz w:val="18"/>
                <w:szCs w:val="18"/>
                <w:color w:val="auto"/>
              </w:rPr>
              <w:t>612,465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3,551,545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without readily determinable fair values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3,896,092</w:t>
            </w:r>
          </w:p>
        </w:tc>
        <w:tc>
          <w:tcPr>
            <w:tcW w:w="2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4,604,549</w:t>
            </w:r>
          </w:p>
        </w:tc>
      </w:tr>
      <w:tr>
        <w:trPr>
          <w:trHeight w:val="210"/>
        </w:trPr>
        <w:tc>
          <w:tcPr>
            <w:tcW w:w="76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5,245,108</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9,293,868</w:t>
            </w:r>
          </w:p>
        </w:tc>
      </w:tr>
      <w:tr>
        <w:trPr>
          <w:trHeight w:val="20"/>
        </w:trPr>
        <w:tc>
          <w:tcPr>
            <w:tcW w:w="7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Investments in equity method investees</w:t>
      </w:r>
    </w:p>
    <w:p>
      <w:pPr>
        <w:spacing w:after="0" w:line="229"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Group recorded equity share of losses of RMB12.2 million, RMB98.3 million and equity share of earnings of RMB4.3 million for the years ended December 31, 2017, 2018, and 2019, respectively, which was included in “investment income, net” in the consolidated statements of operations and comprehensive income. Significant equity method investments are summarized as follows.</w:t>
      </w:r>
    </w:p>
    <w:p>
      <w:pPr>
        <w:spacing w:after="0" w:line="149" w:lineRule="exact"/>
        <w:rPr>
          <w:sz w:val="20"/>
          <w:szCs w:val="20"/>
          <w:color w:val="auto"/>
        </w:rPr>
      </w:pPr>
    </w:p>
    <w:p>
      <w:pPr>
        <w:ind w:left="340" w:right="120" w:hanging="332"/>
        <w:spacing w:after="0" w:line="259"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August 2013, the Group established a joint venture with China Telecom Corp. Ltd. (“China Telecom”), Hangzhou Yixin Technology Co., Ltd. (“Yixin”) to launch “YiChat”, a proprietary social instant messaging application for smart phones. The Group contributed RMB200.0 million cash in exchange for a 27.0% equity interest in Yixin. In July 2015, the Group increased its equity shares in Yixin to 35.0% with a cash consideration of approximately RMB127.5 million.</w:t>
      </w:r>
    </w:p>
    <w:p>
      <w:pPr>
        <w:spacing w:after="0" w:line="186" w:lineRule="exact"/>
        <w:rPr>
          <w:rFonts w:ascii="Arial" w:cs="Arial" w:eastAsia="Arial" w:hAnsi="Arial"/>
          <w:sz w:val="18"/>
          <w:szCs w:val="18"/>
          <w:color w:val="auto"/>
        </w:rPr>
      </w:pPr>
    </w:p>
    <w:p>
      <w:pPr>
        <w:jc w:val="both"/>
        <w:ind w:left="340" w:right="40" w:hanging="332"/>
        <w:spacing w:after="0" w:line="259" w:lineRule="auto"/>
        <w:tabs>
          <w:tab w:leader="none" w:pos="3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of December 31, 2018, the Group invested an aggregated cash consideration of RMB295.1 million in two limited partnerships as a limited partner, and in 2019, the Group further contributed RMB326.9 millon cash in these two limited partnerships. The objective of these limited partnerships are to engage in investment in on-line game business. The Group accounted such investments under the equity method.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Equity investments with readily determinable fair values (“Available-for-sale securities” prior to adoption of ASU 2016-01).</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2019, equity investments with readily determinable fair values included RMB2,650.4 million invested in shares of Alibaba Group Holding Limited (“Alibaba”), RMB578.9 million invested in shares of Huatai Securities Company Limited (“Huatai”) and RMB322.3 million invested in shares of Shenzhen Transsion Holding Limited (“Transsion”). The Group recorded fair value loss of RMB215.8 million and fair value gain of RMB763.2 million related to the equity investments with readily determinable fair value for the year ended December 31, 2018 and 2019, respectively.</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Group also received cash dividends of RMB20.9 million, RMB12.7 million and RMB12.7 million from Huatai for the years ended December 31, 2017, 2018, and 2019,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  Equity investments without readily determinable fair value (“Equity investments” prior to adoption of ASU 2016-01)</w:t>
      </w:r>
    </w:p>
    <w:p>
      <w:pPr>
        <w:spacing w:after="0" w:line="24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Equity investments without readily determinable fair value represent investments in privately held companies with no readily determinable fair value. The Group does not have significant influence on these investees, or the investments are not common stock or in substance common stock. Prior to January 1, 2018, the Group accounted for investments in these equity securities at cost less impairment. On January 1, 2018, the Group adopted ASU 2016-01 prospectively. These investments are classified as equity investments without readily determinable fair value, and are carried at cost less impairment, plus or minus changes resulting from observable price changes in orderly transactions for the identical or a similar investment of the same issuer. For the year ended December 31, 2018 and 2019, there's no upward adjustments to the carrying value of equity securities without readily determinable fair value resulted from such transactions.</w:t>
      </w:r>
    </w:p>
    <w:p>
      <w:pPr>
        <w:spacing w:after="0" w:line="19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Group recognized a gain of RMB9.6million, nil and RMB86.1 million related to the disposal of the Group’s investments in equity securities without readily determinable fair value as “investment income, net” in the consolidated statements of operations and comprehensive income for the years ended December 31, 2017, 2018 and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Group recognized impairment provision of RMB58.5 million, RMB133.6 million and RMB168.4 million related to certain of the equity investments as “investment income, net” in the consolidated statements of operations and comprehensive income for the years ended December 31, 2017, 2018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other long-term assets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5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Copyrights, licenses and domain names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2,461,377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3,639,211</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Long-term receivable</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1,599,524</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Staff housing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98,244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71,997</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Non-current deposits</w:t>
            </w:r>
          </w:p>
        </w:tc>
        <w:tc>
          <w:tcPr>
            <w:tcW w:w="1060" w:type="dxa"/>
            <w:vAlign w:val="bottom"/>
          </w:tcPr>
          <w:p>
            <w:pPr>
              <w:jc w:val="right"/>
              <w:spacing w:after="0"/>
              <w:rPr>
                <w:sz w:val="20"/>
                <w:szCs w:val="20"/>
                <w:color w:val="auto"/>
              </w:rPr>
            </w:pPr>
            <w:r>
              <w:rPr>
                <w:rFonts w:ascii="Arial" w:cs="Arial" w:eastAsia="Arial" w:hAnsi="Arial"/>
                <w:sz w:val="18"/>
                <w:szCs w:val="18"/>
                <w:color w:val="auto"/>
              </w:rPr>
              <w:t>105,984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140,869</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264,464</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215,009</w:t>
            </w:r>
          </w:p>
        </w:tc>
      </w:tr>
      <w:tr>
        <w:trPr>
          <w:trHeight w:val="209"/>
        </w:trPr>
        <w:tc>
          <w:tcPr>
            <w:tcW w:w="754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2,930,069</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5,666,610</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Balances of copyrights and licenses represents prepaid minimum royalties for exploitation of related intellectual properties, which was amortized over the term of the respective licensing agreements or estimated amortization periods.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Balance of long-term receivable represents receivables from Alibaba for disposal of Kaola which was expected to receive in two years.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Group made housing loans to its employees (excluding executive officers) for house purchases via a third-party commercial bank in China. Each individual staff housing loan is collateralized either by the property for which the loan is extended or by approved personal guarantees for the loan amount granted. The repayment term is five years from the date of drawdown. The interest rate is fixed varying from 1.5% to 4.75% per annum for the years ended December 31, 2018 and 2019, respectively. The outstanding portion of the staff housing loans repayable within 12 months as of December 31, 2018 and 2019 amounted to approximately RMB43.1 million and RMB43.0 million, respectively, and are reported under prepayments and other current assets in the consolidated balance sheets (see Note 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Cayman Islands</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Under the current laws of the Cayman Islands, the Company, and its intermediate holding companies in the Cayman Islands are not subject to tax on income or capital gain. Additionally, upon payments of dividends by the Company or its subsidiaries in the Cayman Islands to their shareholders, no Cayman Islands withholding tax will be imposed.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British Virgin Islands (“BVI”)</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Subsidiaries in the BVI are exempted from income tax on its foreign-derived income in the BVI. There are no withholding taxes in the BVI.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Hong Kong</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Subsidiaries in Hong Kong are subject to 16.5% income tax on their taxable income generated from operations in Hong Kong. Commencing from the year of assessment of 2018 and 2019, the first HK$2 million of profits earned by one of the Company’s subsidiaries incorporated in Hong Kong is taxed at half the current tax rate (i.e. 8.25%) while the remaining profits will continue to be taxed at the existing 16.5% tax rate. The payments of dividends by these companies to their shareholders are not subject to any Hong Kong withholding tax.</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March 16, 2007, the National People’s Congress of PRC enacted the Enterprise Income Tax Law, under which Foreign Invested Enterprises (“FIEs”) and domestic companies would be subject to enterprise income tax (“EIT”) at a uniform rate of 25%. Preferential tax treatments will continue to be granted to FIEs or domestic companies which conduct businesses in certain encouraged sectors and to entities otherwise classified as “Software Enterprises”, “Key Software Enterprises” and/or “High and New Technology Enterprises” (“HNTEs”). The Enterprise Income Tax Law became effective on January 1, 2008.</w:t>
      </w:r>
    </w:p>
    <w:p>
      <w:pPr>
        <w:spacing w:after="0" w:line="1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Boguan, NetEase Hangzhou and certain other PRC subsidiaries were qualified as HNTEs and enjoyed a preferential tax rate of 15% for 2017, 2018 and 2019. In 2017, 2018 and 2019, Boguan, NetEase Hangzhou and certain other PRC subsidiaries were also qualified as a Key Software Enterprise and enjoyed a further reduced preferential tax rate of 10% for 2016, 2017 and 2018. The related tax benefit was recorded in 2017, 2018 and 2019,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preferential tax rates are subject to annual review by the relevant tax authorities in China.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combined effects of EIT exemptions and tax rate reductions enjoyed by the Group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2018 and 2019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2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8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86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Aggregate amount of EIT exemptions and tax rate reductions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1,464,587</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1,621,063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1,665,199</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Earnings per share effect, basic</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20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196"/>
        </w:trPr>
        <w:tc>
          <w:tcPr>
            <w:tcW w:w="69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per share effect, diluted</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the component of income tax expenses of the Group for the years ended December 31, 2017, 2018 and 2019 (in thousands):</w:t>
      </w:r>
    </w:p>
    <w:p>
      <w:pPr>
        <w:spacing w:after="0" w:line="175"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6350</wp:posOffset>
            </wp:positionV>
            <wp:extent cx="185991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ind w:left="7260"/>
        <w:spacing w:after="0"/>
        <w:tabs>
          <w:tab w:leader="none" w:pos="8280" w:val="left"/>
          <w:tab w:leader="none" w:pos="93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-3175</wp:posOffset>
            </wp:positionV>
            <wp:extent cx="18599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7240"/>
        <w:spacing w:after="0" w:line="232" w:lineRule="auto"/>
        <w:tabs>
          <w:tab w:leader="none" w:pos="8260" w:val="left"/>
          <w:tab w:leader="none" w:pos="930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tax expense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2,594,295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2,531,271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2,764,097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Deferred tax (benefit)/expense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(438,307)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(70,621)</w:t>
            </w:r>
          </w:p>
        </w:tc>
        <w:tc>
          <w:tcPr>
            <w:tcW w:w="860" w:type="dxa"/>
            <w:vAlign w:val="bottom"/>
          </w:tcPr>
          <w:p>
            <w:pPr>
              <w:jc w:val="right"/>
              <w:spacing w:after="0"/>
              <w:rPr>
                <w:sz w:val="20"/>
                <w:szCs w:val="20"/>
                <w:color w:val="auto"/>
              </w:rPr>
            </w:pPr>
            <w:r>
              <w:rPr>
                <w:rFonts w:ascii="Arial" w:cs="Arial" w:eastAsia="Arial" w:hAnsi="Arial"/>
                <w:sz w:val="18"/>
                <w:szCs w:val="18"/>
                <w:color w:val="auto"/>
              </w:rPr>
              <w:t>150,629</w:t>
            </w: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2,155,988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2,460,650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2,914,726</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a reconciliation of the differences between the statutory income tax rate and the Group’s effective income tax rate for the years ended December 31, 2017, 2018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2760" w:type="dxa"/>
            <w:vAlign w:val="bottom"/>
            <w:tcBorders>
              <w:bottom w:val="single" w:sz="8" w:color="auto"/>
            </w:tcBorders>
            <w:gridSpan w:val="5"/>
          </w:tcPr>
          <w:p>
            <w:pPr>
              <w:jc w:val="right"/>
              <w:ind w:right="294"/>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7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7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7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Statutory income tax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Permanent differences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Effect due to different tax rates applicable to overseas entities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Effect of lower tax rate applicable to Software Enterprises, Key Software Enterprise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HNTEs</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withholding income tax</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800"/>
              <w:spacing w:after="0"/>
              <w:rPr>
                <w:sz w:val="20"/>
                <w:szCs w:val="20"/>
                <w:color w:val="auto"/>
              </w:rPr>
            </w:pPr>
            <w:r>
              <w:rPr>
                <w:rFonts w:ascii="Arial" w:cs="Arial" w:eastAsia="Arial" w:hAnsi="Arial"/>
                <w:sz w:val="18"/>
                <w:szCs w:val="18"/>
                <w:color w:val="auto"/>
              </w:rPr>
              <w:t>F-33</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1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2019, certain entities of the Group had net operating tax loss carry forwards as follows (in thousands):</w:t>
      </w:r>
    </w:p>
    <w:p>
      <w:pPr>
        <w:spacing w:after="0" w:line="242"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6292215"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Loss expiring in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expiring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Loss expiring after 2024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3,123</w:t>
      </w:r>
    </w:p>
    <w:p>
      <w:pPr>
        <w:spacing w:after="0" w:line="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181,883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903,855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3,618,659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3,594,379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20320</wp:posOffset>
            </wp:positionV>
            <wp:extent cx="7969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8,301,899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29210</wp:posOffset>
            </wp:positionV>
            <wp:extent cx="7969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79692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46355</wp:posOffset>
            </wp:positionV>
            <wp:extent cx="7969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780"/>
          </w:cols>
          <w:pgMar w:left="980" w:top="517" w:right="999" w:bottom="1440" w:gutter="0" w:footer="0" w:header="0"/>
          <w:type w:val="continuous"/>
        </w:sectPr>
      </w:pPr>
    </w:p>
    <w:p>
      <w:pPr>
        <w:spacing w:after="0" w:line="8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Full valuation allowance was provided on the related deferred tax assets as the Group’s management does not believe that sufficient positive evidence exists to conclude that recoverability of such deferred tax assets is more likely than not to be realized.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Sales tax</w:t>
      </w:r>
    </w:p>
    <w:p>
      <w:pPr>
        <w:spacing w:after="0" w:line="22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Pursuant to the provision regulation of the PRC on VAT and its implementation rules, the Company’s subsidiaries and VIEs are generally subject to VAT at a rate of 6% from revenues earned from services provided or 17% from sales of general goods. Effective from 1 May, 2018, the 17% VAT rates was reduced to 16% and effective from 1 April, 2019, the 16% VAT rates was further reduced to 13%.</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Group is also subject to cultural development fee on the provision of advertising services in China. The applicable tax rate is 3% of the advertising services revenue and subject to a 50% reduction which is effective from 1 July, 2019.</w:t>
      </w:r>
    </w:p>
    <w:p>
      <w:pPr>
        <w:spacing w:after="0" w:line="166" w:lineRule="exact"/>
        <w:rPr>
          <w:sz w:val="20"/>
          <w:szCs w:val="20"/>
          <w:color w:val="auto"/>
        </w:rPr>
      </w:pPr>
    </w:p>
    <w:p>
      <w:pPr>
        <w:ind w:left="400" w:hanging="392"/>
        <w:spacing w:after="0"/>
        <w:tabs>
          <w:tab w:leader="none" w:pos="4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 and liabilities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presents the tax impact of significant temporary differences that give rise to the deferred tax assets and liabilities as of December 31, 2018 and 2019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Pr>
          <w:p>
            <w:pPr>
              <w:spacing w:after="0"/>
              <w:rPr>
                <w:sz w:val="12"/>
                <w:szCs w:val="12"/>
                <w:color w:val="auto"/>
              </w:rPr>
            </w:pPr>
          </w:p>
        </w:tc>
        <w:tc>
          <w:tcPr>
            <w:tcW w:w="15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w w:val="99"/>
              </w:rPr>
              <w:t>Deferred revenue, primarily for advanced payments from online games customers</w:t>
            </w:r>
          </w:p>
        </w:tc>
        <w:tc>
          <w:tcPr>
            <w:tcW w:w="1520" w:type="dxa"/>
            <w:vAlign w:val="bottom"/>
          </w:tcPr>
          <w:p>
            <w:pPr>
              <w:jc w:val="right"/>
              <w:spacing w:after="0"/>
              <w:rPr>
                <w:sz w:val="20"/>
                <w:szCs w:val="20"/>
                <w:color w:val="auto"/>
              </w:rPr>
            </w:pPr>
            <w:r>
              <w:rPr>
                <w:rFonts w:ascii="Arial" w:cs="Arial" w:eastAsia="Arial" w:hAnsi="Arial"/>
                <w:sz w:val="18"/>
                <w:szCs w:val="18"/>
                <w:color w:val="auto"/>
              </w:rPr>
              <w:t>507,982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484,637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Accruals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589,322</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Depreciation of fixed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5,103</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operating tax loss carry forward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1,215,444</w:t>
            </w:r>
          </w:p>
        </w:tc>
        <w:tc>
          <w:tcPr>
            <w:tcW w:w="2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2,333,910</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Arial" w:cs="Arial" w:eastAsia="Arial" w:hAnsi="Arial"/>
                <w:sz w:val="18"/>
                <w:szCs w:val="18"/>
                <w:color w:val="auto"/>
              </w:rPr>
              <w:t>Less: valuation allowance</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(1,269,615)</w:t>
            </w:r>
          </w:p>
        </w:tc>
        <w:tc>
          <w:tcPr>
            <w:tcW w:w="1520" w:type="dxa"/>
            <w:vAlign w:val="bottom"/>
          </w:tcPr>
          <w:p>
            <w:pPr>
              <w:jc w:val="right"/>
              <w:spacing w:after="0"/>
              <w:rPr>
                <w:sz w:val="20"/>
                <w:szCs w:val="20"/>
                <w:color w:val="auto"/>
              </w:rPr>
            </w:pPr>
            <w:r>
              <w:rPr>
                <w:rFonts w:ascii="Arial" w:cs="Arial" w:eastAsia="Arial" w:hAnsi="Arial"/>
                <w:sz w:val="18"/>
                <w:szCs w:val="18"/>
                <w:color w:val="auto"/>
              </w:rPr>
              <w:t>(2,148,879)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1,064,295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620" w:type="dxa"/>
            <w:vAlign w:val="bottom"/>
          </w:tcPr>
          <w:p>
            <w:pPr>
              <w:spacing w:after="0"/>
              <w:rPr>
                <w:sz w:val="24"/>
                <w:szCs w:val="24"/>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RMB</w:t>
            </w:r>
          </w:p>
        </w:tc>
        <w:tc>
          <w:tcPr>
            <w:tcW w:w="1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5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20"/>
              <w:spacing w:after="0" w:line="216" w:lineRule="exact"/>
              <w:rPr>
                <w:sz w:val="20"/>
                <w:szCs w:val="20"/>
                <w:color w:val="auto"/>
              </w:rPr>
            </w:pPr>
            <w:r>
              <w:rPr>
                <w:rFonts w:ascii="Arial" w:cs="Arial" w:eastAsia="Arial" w:hAnsi="Arial"/>
                <w:sz w:val="17"/>
                <w:szCs w:val="17"/>
                <w:color w:val="auto"/>
              </w:rPr>
              <w:t>Withholding income tax</w:t>
            </w:r>
            <w:r>
              <w:rPr>
                <w:rFonts w:ascii="Arial" w:cs="Arial" w:eastAsia="Arial" w:hAnsi="Arial"/>
                <w:sz w:val="25"/>
                <w:szCs w:val="25"/>
                <w:color w:val="auto"/>
                <w:vertAlign w:val="superscript"/>
              </w:rPr>
              <w:t>(d)</w:t>
            </w:r>
          </w:p>
        </w:tc>
        <w:tc>
          <w:tcPr>
            <w:tcW w:w="1520" w:type="dxa"/>
            <w:vAlign w:val="bottom"/>
          </w:tcPr>
          <w:p>
            <w:pPr>
              <w:jc w:val="right"/>
              <w:spacing w:after="0"/>
              <w:rPr>
                <w:sz w:val="20"/>
                <w:szCs w:val="20"/>
                <w:color w:val="auto"/>
              </w:rPr>
            </w:pPr>
            <w:r>
              <w:rPr>
                <w:rFonts w:ascii="Arial" w:cs="Arial" w:eastAsia="Arial" w:hAnsi="Arial"/>
                <w:sz w:val="18"/>
                <w:szCs w:val="18"/>
                <w:color w:val="auto"/>
              </w:rPr>
              <w:t>391,862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6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ind w:left="2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392,598</w:t>
            </w:r>
          </w:p>
        </w:tc>
        <w:tc>
          <w:tcPr>
            <w:tcW w:w="26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vMerge w:val="restart"/>
          </w:tcPr>
          <w:p>
            <w:pPr>
              <w:ind w:left="4800"/>
              <w:spacing w:after="0"/>
              <w:rPr>
                <w:sz w:val="20"/>
                <w:szCs w:val="20"/>
                <w:color w:val="auto"/>
              </w:rPr>
            </w:pPr>
            <w:r>
              <w:rPr>
                <w:rFonts w:ascii="Arial" w:cs="Arial" w:eastAsia="Arial" w:hAnsi="Arial"/>
                <w:sz w:val="18"/>
                <w:szCs w:val="18"/>
                <w:color w:val="auto"/>
              </w:rPr>
              <w:t>F-34</w:t>
            </w: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6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 does not believe that sufficient positive evidence exists to conclude that the recoverability of deferred tax assets of certain entities of the Group is more likely than not to be realized. Consequently, the Group has provided full valuation allowances for certain entities of the Group on the related deferred tax assets. The following table sets forth the movement of the aggregate valuation allowances for deferred tax assets for the periods presented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Balance at</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Provision/(Write-off)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618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January 1</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for the year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w:t>
            </w:r>
          </w:p>
        </w:tc>
      </w:tr>
      <w:tr>
        <w:trPr>
          <w:trHeight w:val="142"/>
        </w:trPr>
        <w:tc>
          <w:tcPr>
            <w:tcW w:w="618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6180" w:type="dxa"/>
            <w:vAlign w:val="bottom"/>
            <w:shd w:val="clear" w:color="auto" w:fill="CCEEFF"/>
          </w:tcPr>
          <w:p>
            <w:pPr>
              <w:jc w:val="right"/>
              <w:ind w:right="5730"/>
              <w:spacing w:after="0"/>
              <w:rPr>
                <w:sz w:val="20"/>
                <w:szCs w:val="20"/>
                <w:color w:val="auto"/>
              </w:rPr>
            </w:pPr>
            <w:r>
              <w:rPr>
                <w:rFonts w:ascii="Arial" w:cs="Arial" w:eastAsia="Arial" w:hAnsi="Arial"/>
                <w:sz w:val="18"/>
                <w:szCs w:val="18"/>
                <w:color w:val="auto"/>
                <w:w w:val="84"/>
              </w:rPr>
              <w:t>2017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241,394</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230,995</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472,389</w:t>
            </w:r>
          </w:p>
        </w:tc>
      </w:tr>
      <w:tr>
        <w:trPr>
          <w:trHeight w:val="216"/>
        </w:trPr>
        <w:tc>
          <w:tcPr>
            <w:tcW w:w="6180" w:type="dxa"/>
            <w:vAlign w:val="bottom"/>
          </w:tcPr>
          <w:p>
            <w:pPr>
              <w:jc w:val="right"/>
              <w:ind w:right="5730"/>
              <w:spacing w:after="0"/>
              <w:rPr>
                <w:sz w:val="20"/>
                <w:szCs w:val="20"/>
                <w:color w:val="auto"/>
              </w:rPr>
            </w:pPr>
            <w:r>
              <w:rPr>
                <w:rFonts w:ascii="Arial" w:cs="Arial" w:eastAsia="Arial" w:hAnsi="Arial"/>
                <w:sz w:val="18"/>
                <w:szCs w:val="18"/>
                <w:color w:val="auto"/>
                <w:w w:val="84"/>
              </w:rPr>
              <w:t>2018</w:t>
            </w:r>
          </w:p>
        </w:tc>
        <w:tc>
          <w:tcPr>
            <w:tcW w:w="1060" w:type="dxa"/>
            <w:vAlign w:val="bottom"/>
          </w:tcPr>
          <w:p>
            <w:pPr>
              <w:jc w:val="right"/>
              <w:spacing w:after="0"/>
              <w:rPr>
                <w:sz w:val="20"/>
                <w:szCs w:val="20"/>
                <w:color w:val="auto"/>
              </w:rPr>
            </w:pPr>
            <w:r>
              <w:rPr>
                <w:rFonts w:ascii="Arial" w:cs="Arial" w:eastAsia="Arial" w:hAnsi="Arial"/>
                <w:sz w:val="18"/>
                <w:szCs w:val="18"/>
                <w:color w:val="auto"/>
              </w:rPr>
              <w:t>472,389</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797,226</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1,269,615</w:t>
            </w:r>
          </w:p>
        </w:tc>
      </w:tr>
      <w:tr>
        <w:trPr>
          <w:trHeight w:val="216"/>
        </w:trPr>
        <w:tc>
          <w:tcPr>
            <w:tcW w:w="6180" w:type="dxa"/>
            <w:vAlign w:val="bottom"/>
            <w:shd w:val="clear" w:color="auto" w:fill="CCEEFF"/>
          </w:tcPr>
          <w:p>
            <w:pPr>
              <w:jc w:val="right"/>
              <w:ind w:right="5730"/>
              <w:spacing w:after="0"/>
              <w:rPr>
                <w:sz w:val="20"/>
                <w:szCs w:val="20"/>
                <w:color w:val="auto"/>
              </w:rPr>
            </w:pPr>
            <w:r>
              <w:rPr>
                <w:rFonts w:ascii="Arial" w:cs="Arial" w:eastAsia="Arial" w:hAnsi="Arial"/>
                <w:sz w:val="18"/>
                <w:szCs w:val="18"/>
                <w:color w:val="auto"/>
                <w:w w:val="84"/>
              </w:rPr>
              <w:t>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1,269,615</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879,264</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2,148,879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Withholding income tax</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Enterprise Income Tax Law also imposes a withholding income tax of 10% on dividends distributed by a FIE to its immediate holding company outside of China. A lower withholding income tax rate of 5% is applied if the FIE’s immediate holding company is registered in Hong Kong or other jurisdictions that have a tax treaty arrangement with China. Such withholding income tax was exempted under the previous income tax law. On February 22, 2008, the Ministry of Finance and State Administration of Taxation jointly issued a circular which stated that for FIEs, all profits accumulated up to December 31, 2007 are exempted from withholding tax when they are distributed to foreign investors. Based on the interpretation of the current tax laws, management believes that the Company and all its non-PRC subsidiaries are not considered as a “resident enterprise” in China for corporate income tax purposes, but it cannot be certain that the relevant PRC tax authorities will agree with this determination. Except for the foregoing withholding taxes, the Company’s non-PRC subsidiaries, which are currently all incorporated in Hong Kong, the British Virgin Islands or Cayman Islands are not subject to taxation on dividends they receive from the Company’s PRC subsidiaries.</w:t>
      </w:r>
    </w:p>
    <w:p>
      <w:pPr>
        <w:spacing w:after="0" w:line="18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Group accrued RMB707.1 million, RMB679.4 million and RMB846.6 million (US$121.6 million) withholding tax liabilities associated with its quarterly dividend and cash expected to be distributed from its PRC subsidiaries to overseas for general corporate purposes in 2017, 2018 and 2019, respectively. The Group have repatriated a portion of these earnings and paid related withholding income tax in 2017, 2018 and 2019.</w:t>
      </w:r>
    </w:p>
    <w:p>
      <w:pPr>
        <w:spacing w:after="0" w:line="18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As of December 31, 2018 and 2019, there were approximately RMB1,057.7 million and RMB993.3 million (US$142.7 million) unrecognized deferred tax liabilities related to undistributed earnings of the Group’s PRC subsidiaries, respectively. And the Group still intends to indefinitely reinvest these remaining undistributed earnings in its PRC subsidiaries.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Taxes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taxes payable as of December 31, 2018 and 2019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5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142"/>
        </w:trPr>
        <w:tc>
          <w:tcPr>
            <w:tcW w:w="75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Sales Tax payable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541,175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Withholding individual income taxes for employees</w:t>
            </w:r>
          </w:p>
        </w:tc>
        <w:tc>
          <w:tcPr>
            <w:tcW w:w="1060" w:type="dxa"/>
            <w:vAlign w:val="bottom"/>
          </w:tcPr>
          <w:p>
            <w:pPr>
              <w:jc w:val="right"/>
              <w:spacing w:after="0"/>
              <w:rPr>
                <w:sz w:val="20"/>
                <w:szCs w:val="20"/>
                <w:color w:val="auto"/>
              </w:rPr>
            </w:pPr>
            <w:r>
              <w:rPr>
                <w:rFonts w:ascii="Arial" w:cs="Arial" w:eastAsia="Arial" w:hAnsi="Arial"/>
                <w:sz w:val="18"/>
                <w:szCs w:val="18"/>
                <w:color w:val="auto"/>
              </w:rPr>
              <w:t>183,681</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190,340</w:t>
            </w: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Enterprise income taxes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1,775,908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2,377,655</w:t>
            </w:r>
          </w:p>
        </w:tc>
      </w:tr>
      <w:tr>
        <w:trPr>
          <w:trHeight w:val="216"/>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44,707</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47,343</w:t>
            </w:r>
          </w:p>
        </w:tc>
      </w:tr>
      <w:tr>
        <w:trPr>
          <w:trHeight w:val="210"/>
        </w:trPr>
        <w:tc>
          <w:tcPr>
            <w:tcW w:w="75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2,260,646</w:t>
            </w: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3,156,513</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Short-term Loans</w:t>
      </w:r>
    </w:p>
    <w:p>
      <w:pPr>
        <w:spacing w:after="0" w:line="22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of December 31, 2018 and 2019, the short-term loans balances represent short-term loan arrangements with banks which were repayable within a maturity term ranging from one week to one year and charged at a fixed interest rates ranging 0.68% and 4.57% per annum. As of December 31, 2018 and 2019, the weighted average interest rate for the outstanding short-term loans was approximately 3.14% and 2.38%, respectively. The short-term loans are denominated in US$, EUR, GBP, CAD, HK$, JPY or CNY.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December 31, 2018 and 2019, certain short-term loans were secured by RMB deposits of the Group in onshore branches of the banks in the amount of RMB2,695.0 million and RMB1,595.0 million (US$229.1 million), which was recognized as restricted cash (see Note 2(f)).</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9, 2018, the Group entered into a three-year US$500 million syndicated facility agreement with a group of four mandated lead arrangers and bookrunners. The facility is priced at 95 basis points over London interbank offered rate (“LIBOR”) and has a commitment fee of 0.20% on the undrawn portion. There were US$200.0 million of borrowings outstanding under the syndicated facility as of December 31, 2019. The Group was subject to certain covenants under the syndicated facility agreement and was in compliance with these covenants as of December 31, 2019.</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2019, the Group also entered into several uncommitted loan credit facility agreements provided by certain financial institutions. As at December 31, 2019, US$1,015.7 million of such credit facilities has not been utilized.</w:t>
      </w:r>
    </w:p>
    <w:p>
      <w:pPr>
        <w:spacing w:after="0" w:line="17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year ended December 31, 2019, the Group also entered into several guarantee agreements in the aggregate amount of US$1,062.0 million in respect of certain credit facilities taken by its subsidiaries. As at December 31, 2019, US$240.0 million of such credit facilities had not been utilized.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Accrued Liabilities and Other Payables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accrued liabilities and other payables as of December 31, 2018 and 2019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3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r>
      <w:tr>
        <w:trPr>
          <w:trHeight w:val="142"/>
        </w:trPr>
        <w:tc>
          <w:tcPr>
            <w:tcW w:w="73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 on NetEase Pay accounts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1,369,672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1,539,417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Marketing expenses and promotion materials</w:t>
            </w:r>
          </w:p>
        </w:tc>
        <w:tc>
          <w:tcPr>
            <w:tcW w:w="1180" w:type="dxa"/>
            <w:vAlign w:val="bottom"/>
          </w:tcPr>
          <w:p>
            <w:pPr>
              <w:jc w:val="right"/>
              <w:spacing w:after="0"/>
              <w:rPr>
                <w:sz w:val="20"/>
                <w:szCs w:val="20"/>
                <w:color w:val="auto"/>
              </w:rPr>
            </w:pPr>
            <w:r>
              <w:rPr>
                <w:rFonts w:ascii="Arial" w:cs="Arial" w:eastAsia="Arial" w:hAnsi="Arial"/>
                <w:sz w:val="18"/>
                <w:szCs w:val="18"/>
                <w:color w:val="auto"/>
              </w:rPr>
              <w:t>1,723,766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1,672,096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fixed assets related payables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354,388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304,379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Server and bandwidth service fees and technical charges</w:t>
            </w:r>
          </w:p>
        </w:tc>
        <w:tc>
          <w:tcPr>
            <w:tcW w:w="1180" w:type="dxa"/>
            <w:vAlign w:val="bottom"/>
          </w:tcPr>
          <w:p>
            <w:pPr>
              <w:jc w:val="right"/>
              <w:spacing w:after="0"/>
              <w:rPr>
                <w:sz w:val="20"/>
                <w:szCs w:val="20"/>
                <w:color w:val="auto"/>
              </w:rPr>
            </w:pPr>
            <w:r>
              <w:rPr>
                <w:rFonts w:ascii="Arial" w:cs="Arial" w:eastAsia="Arial" w:hAnsi="Arial"/>
                <w:sz w:val="18"/>
                <w:szCs w:val="18"/>
                <w:color w:val="auto"/>
              </w:rPr>
              <w:t>257,066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231,868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Accrued revenue sharing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373,559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Content cost</w:t>
            </w:r>
          </w:p>
        </w:tc>
        <w:tc>
          <w:tcPr>
            <w:tcW w:w="1180" w:type="dxa"/>
            <w:vAlign w:val="bottom"/>
          </w:tcPr>
          <w:p>
            <w:pPr>
              <w:jc w:val="right"/>
              <w:spacing w:after="0"/>
              <w:rPr>
                <w:sz w:val="20"/>
                <w:szCs w:val="20"/>
                <w:color w:val="auto"/>
              </w:rPr>
            </w:pPr>
            <w:r>
              <w:rPr>
                <w:rFonts w:ascii="Arial" w:cs="Arial" w:eastAsia="Arial" w:hAnsi="Arial"/>
                <w:sz w:val="18"/>
                <w:szCs w:val="18"/>
                <w:color w:val="auto"/>
              </w:rPr>
              <w:t>299,837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403,402</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243,106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Accrued freight and warehousing charge</w:t>
            </w:r>
          </w:p>
        </w:tc>
        <w:tc>
          <w:tcPr>
            <w:tcW w:w="1180" w:type="dxa"/>
            <w:vAlign w:val="bottom"/>
          </w:tcPr>
          <w:p>
            <w:pPr>
              <w:jc w:val="right"/>
              <w:spacing w:after="0"/>
              <w:rPr>
                <w:sz w:val="20"/>
                <w:szCs w:val="20"/>
                <w:color w:val="auto"/>
              </w:rPr>
            </w:pPr>
            <w:r>
              <w:rPr>
                <w:rFonts w:ascii="Arial" w:cs="Arial" w:eastAsia="Arial" w:hAnsi="Arial"/>
                <w:sz w:val="18"/>
                <w:szCs w:val="18"/>
                <w:color w:val="auto"/>
              </w:rPr>
              <w:t>109,716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47,524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Other staff related cost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80,013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69,849</w:t>
            </w:r>
          </w:p>
        </w:tc>
      </w:tr>
      <w:tr>
        <w:trPr>
          <w:trHeight w:val="216"/>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194,067</w:t>
            </w:r>
          </w:p>
        </w:tc>
        <w:tc>
          <w:tcPr>
            <w:tcW w:w="2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357,258</w:t>
            </w:r>
          </w:p>
        </w:tc>
      </w:tr>
      <w:tr>
        <w:trPr>
          <w:trHeight w:val="210"/>
        </w:trPr>
        <w:tc>
          <w:tcPr>
            <w:tcW w:w="73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5,005,190</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5,292,774</w:t>
            </w:r>
          </w:p>
        </w:tc>
      </w:tr>
      <w:tr>
        <w:trPr>
          <w:trHeight w:val="20"/>
        </w:trPr>
        <w:tc>
          <w:tcPr>
            <w:tcW w:w="7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Deferred Revenue</w:t>
      </w:r>
    </w:p>
    <w:p>
      <w:pPr>
        <w:spacing w:after="0" w:line="229"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Deferred revenue represents sales proceeds from prepaid points sold, unamortized mobile game in-game spending, prepaid products fees before delivery and prepaid subscription fees for internet value-added services for which services are yet to be provided as of the balance sheet dates.</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year ended December 31, 2019, the additions to the deferred revenue balance were primarily due to cash payments received or due in advance of satisfying the Group’s performance obligations, while the reductions to the deferred revenue balance were primarily due to the recognition of revenues upon fulfillment of the Group’s performance obligations, both of which were in the ordinary course of business. During the year ended December 31, 2018 and 2019, RMB5,737.3 million and RMB7,319.4 million of revenues recognized were included in the deferred revenue balance at the beginning of the year, respectively.</w:t>
      </w:r>
    </w:p>
    <w:p>
      <w:pPr>
        <w:spacing w:after="0" w:line="176" w:lineRule="exact"/>
        <w:rPr>
          <w:sz w:val="20"/>
          <w:szCs w:val="20"/>
          <w:color w:val="auto"/>
        </w:rPr>
      </w:pPr>
    </w:p>
    <w:p>
      <w:pPr>
        <w:ind w:right="20" w:firstLine="45"/>
        <w:spacing w:after="0" w:line="257" w:lineRule="auto"/>
        <w:rPr>
          <w:sz w:val="20"/>
          <w:szCs w:val="20"/>
          <w:color w:val="auto"/>
        </w:rPr>
      </w:pPr>
      <w:r>
        <w:rPr>
          <w:rFonts w:ascii="Arial" w:cs="Arial" w:eastAsia="Arial" w:hAnsi="Arial"/>
          <w:sz w:val="18"/>
          <w:szCs w:val="18"/>
          <w:color w:val="auto"/>
        </w:rPr>
        <w:t>As of December 31, 2019, the aggregate amount of transaction price allocated to the unsatisfied performance obligations is RMB8,602.2 million, which includes the deferred revenues balances and amounts to be invoiced and recognized as revenue in future periods. The Group expect to recognize a significant majority of this balance as revenue over the next 12 months, and the remainder thereafter. This balance does not include an estimate for variable consideration arising from sales rebates to advertising service customers and estimated breakage for online points.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0" w:name="page181"/>
    <w:bookmarkEnd w:id="1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Noncontrolling Interests and Redeemable Noncontrolling Interests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NetEase Cloud Music</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the first quarter of 2017, pursuant to the agreements entered into by certain of the Group's subsidiaries and VIE (together referred as "NetEase Cloud Music") and some investors, one of NetEase Cloud Music’s PRC subsidiary (“Hangzhou Cloud Music”) issued equity interests with preferential rights to certain investors for a total cash consideration of RMB600.0 million. In addition, Hangzhou Cloud Music issued equity interest to one investor for a total cash consideration of RMB150.0 million. After the issuance of the equity interests, the investors together held approximately 12.59% equity interests in NetEase Cloud Music.</w:t>
      </w:r>
    </w:p>
    <w:p>
      <w:pPr>
        <w:spacing w:after="0" w:line="1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Group determined that the equity interests with preferential rights of RMB600.0 million should be classified as redeemable noncontrolling interests since they are contingently redeemable upon the occurrence of a conditional event, which is not solely within the control of the Company. The redemption price equals initial investment plus annual interests. Equity interests issued of RMB150.0 million was classified as noncontrolling interests.</w:t>
      </w:r>
    </w:p>
    <w:p>
      <w:pPr>
        <w:spacing w:after="0" w:line="18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first quarter of 2018, due to the changes of NetEase Cloud Music financing plan, the Group repurchased all of the redeemable noncontrolling interests and noncontrolling interest issued in China by Hangzhou Cloud Music at a cash consideration of RMB780.0 million and RMB195.0 million, respectively (the “Onshore Repurchase”). The Group accounted for the Onshore Repurchase as an equity transaction, no gains or losses were recognized from the repurchase. The excess of the consideration transferred over the carrying amount of the noncontrolling interests surrendered, amounting to RMB63.9 million was recorded as a reduction to retained earnings. The excess of the consideration transferred over the carrying amount of the redeemable noncontrolling interests surrendered, amounting to RMB159.4 million was recognized as a deemed dividend to preferred shareholders, which also reduces the numerator for EPS calculation. The repurchased redeemable noncontrolling interest and noncontrolling interest of NetEase Cloud Music were then retired.</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Following the Onshore Repurchase, during 2018 and 2019, Cloud Village Inc., the Cayman holding company of NetEase Cloud Music issued preferred shares ("NetEase Cloud Music Preferred Shares") to certain investors for an aggregated cash consideration of US$716.3 million and US$711.6 million (the “Offshore Issuance”), respectively.</w:t>
      </w:r>
    </w:p>
    <w:p>
      <w:pPr>
        <w:spacing w:after="0" w:line="184"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As of December 31, 2019, the NetEase Cloud Music Preferred Shares investors together held approximately 37.4% issued and outstanding interests in NetEase Cloud Music. The Company still maintains in control of NetEase Cloud Music.</w:t>
      </w:r>
    </w:p>
    <w:p>
      <w:pPr>
        <w:spacing w:after="0" w:line="12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NetEase Cloud Music Preferred Shares were entitled to certain preferences and privileges with respect to redemption. The Group determined that the preferred shares should be classified as redeemable noncontrolling interests since they are contingently redeemable upon the occurrence of a conditional event or a deemed redemption event, which is not solely within the control of the Group. The redemption price equals to the net initial investment amount plus annual interests, if 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Youdao</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In April 2018, Youdao issued equity interests with preferential rights ("Youdao Preferred Shares") to two investors for a total cash consideration of US$70.0 million. The Group determined that the equity interests with preferential rights should be classified as redeemable noncontrolling interest since they are contingently redeemable upon the occurrence of a conditional event, which is not solely within the control of the Company. The redemption price equals to the net initial investment amount plus annual interests. Upon completion of the IPO of Youdao in October 2019, all Youdao Preferred Shares held by external preferred shareholders were automatically re-designated and converted on a one-for-one basis into Class A ordinary shares of Youdao.</w:t>
      </w:r>
    </w:p>
    <w:p>
      <w:pPr>
        <w:spacing w:after="0" w:line="178"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Each issuance of the preferred shares is recognized at the respective issue price at the date of issuance net of issuance costs. The Group records accretions on the redeemable noncontrolling interest to the redemption value from the issuance dates to the earliest redemption dates if redemption is probable. The accretions using the effective interest method, are recorded as deemed dividends to preferred shareholders, which reduces retained earnings and equity classified noncontrolling interests, and earnings available to common shareholders in calculating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Capital Structure</w:t>
      </w:r>
    </w:p>
    <w:p>
      <w:pPr>
        <w:spacing w:after="0" w:line="22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holders of ordinary shares in the Company are entitled to one vote per share and to receive ratably such dividends, if any, as may be declared by the board of directors of the Company. In the event of liquidation, the holders of ordinary shares are entitled to share ratably in all assets remaining after payment of liabilities. The ordinary shares have no preemptive, conversion, or other subscription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Employee Benefits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subsidiaries and VIEs incorporated in China participate in a government-mandated multi-employer defined contribution plan under which certain retirement, medical, housing and other welfare benefits are provided to employees. Chinese labor regulations require the Company’s Chinese subsidiaries and VIEs to pay to the local labor bureau a monthly contribution at a stated contribution rate based on the monthly basic compensation of qualified employees. The relevant local labor bureau is responsible for meeting all retirement benefit obligations; hence, the Group has no further commitments beyond its monthly contribution. The following table presents the Group’s employee welfare benefits expense for the years ended December 31, 2017, 2018 and 2019 (in millions):</w:t>
      </w:r>
    </w:p>
    <w:p>
      <w:pPr>
        <w:spacing w:after="0" w:line="169"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6350</wp:posOffset>
            </wp:positionV>
            <wp:extent cx="17659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6400"/>
        <w:spacing w:after="0"/>
        <w:tabs>
          <w:tab w:leader="none" w:pos="7360" w:val="left"/>
          <w:tab w:leader="none" w:pos="83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-3175</wp:posOffset>
            </wp:positionV>
            <wp:extent cx="17659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6380"/>
        <w:spacing w:after="0" w:line="232" w:lineRule="auto"/>
        <w:tabs>
          <w:tab w:leader="none" w:pos="7340" w:val="left"/>
          <w:tab w:leader="none" w:pos="8340" w:val="left"/>
        </w:tabs>
        <w:rPr>
          <w:sz w:val="20"/>
          <w:szCs w:val="20"/>
          <w:color w:val="auto"/>
        </w:rPr>
      </w:pP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r>
        <w:rPr>
          <w:sz w:val="20"/>
          <w:szCs w:val="20"/>
          <w:color w:val="auto"/>
        </w:rPr>
        <w:tab/>
      </w:r>
      <w:r>
        <w:rPr>
          <w:rFonts w:ascii="Arial" w:cs="Arial" w:eastAsia="Arial" w:hAnsi="Arial"/>
          <w:sz w:val="14"/>
          <w:szCs w:val="14"/>
          <w:b w:val="1"/>
          <w:bCs w:val="1"/>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medical and pension schemes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r>
      <w:tr>
        <w:trPr>
          <w:trHeight w:val="216"/>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employee benefits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r>
      <w:tr>
        <w:trPr>
          <w:trHeight w:val="209"/>
        </w:trPr>
        <w:tc>
          <w:tcPr>
            <w:tcW w:w="5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1,535.2</w:t>
            </w:r>
          </w:p>
        </w:tc>
      </w:tr>
      <w:tr>
        <w:trPr>
          <w:trHeight w:val="20"/>
        </w:trPr>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25" w:lineRule="exact"/>
        <w:rPr>
          <w:rFonts w:ascii="Arial" w:cs="Arial" w:eastAsia="Arial" w:hAnsi="Arial"/>
          <w:sz w:val="18"/>
          <w:szCs w:val="18"/>
          <w:b w:val="1"/>
          <w:bCs w:val="1"/>
          <w:color w:val="auto"/>
        </w:rPr>
      </w:pPr>
    </w:p>
    <w:p>
      <w:pPr>
        <w:ind w:right="7380"/>
        <w:spacing w:after="0" w:line="566" w:lineRule="auto"/>
        <w:rPr>
          <w:rFonts w:ascii="Arial" w:cs="Arial" w:eastAsia="Arial" w:hAnsi="Arial"/>
          <w:sz w:val="18"/>
          <w:szCs w:val="18"/>
          <w:b w:val="1"/>
          <w:bCs w:val="1"/>
          <w:color w:val="auto"/>
        </w:rPr>
      </w:pPr>
      <w:r>
        <w:rPr>
          <w:rFonts w:ascii="Arial" w:cs="Arial" w:eastAsia="Arial" w:hAnsi="Arial"/>
          <w:sz w:val="16"/>
          <w:szCs w:val="16"/>
          <w:b w:val="1"/>
          <w:bCs w:val="1"/>
          <w:color w:val="auto"/>
        </w:rPr>
        <w:t>(a) Restricted share units plan 2009 Restricted Share Unit Plan</w:t>
      </w:r>
    </w:p>
    <w:p>
      <w:pPr>
        <w:spacing w:after="0" w:line="259" w:lineRule="auto"/>
        <w:rPr>
          <w:sz w:val="20"/>
          <w:szCs w:val="20"/>
          <w:color w:val="auto"/>
        </w:rPr>
      </w:pPr>
      <w:r>
        <w:rPr>
          <w:rFonts w:ascii="Arial" w:cs="Arial" w:eastAsia="Arial" w:hAnsi="Arial"/>
          <w:sz w:val="18"/>
          <w:szCs w:val="18"/>
          <w:color w:val="auto"/>
        </w:rPr>
        <w:t>In November 2009, the Company adopted a restricted share unit plan for the Company’s employees, directors and consultants (the “2009 Plan”). The Company has reserved 323,694,050 ordinary shares for issuance under the plan. The 2009 Plan was adopted by a resolution of the board of directors on November 17, 2009 and became effective for a term of ten years unless sooner terminated. The 2009 Plan was expired on November 16,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Restricted Share Unit Plan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October 2019, the Company adopted a 2019 restricted share unit plan (the “2019 Plan”) for the Company’s employees, directors and others. The 2019 Plan has a ten-year term and a maximum number of 322,458,300 ordinary shares available for issuance pursuant to all awards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Share-based compensation expense</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Group recognizes share-based compensation cost in the consolidated statements of operations and comprehensive income based on awards ultimately expected to vest, after considering estimated forfeitures. Forfeitures are estimated based on the Group’s historical experience over the last five years and revised in subsequent periods if actual forfeitures differ from those estimates.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table below presents a summary of the Group’s share-based compensation cost for the years ended December 31, 2017, 2018 and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35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r>
      <w:tr>
        <w:trPr>
          <w:trHeight w:val="142"/>
        </w:trPr>
        <w:tc>
          <w:tcPr>
            <w:tcW w:w="6420" w:type="dxa"/>
            <w:vAlign w:val="bottom"/>
          </w:tcPr>
          <w:p>
            <w:pPr>
              <w:spacing w:after="0"/>
              <w:rPr>
                <w:sz w:val="12"/>
                <w:szCs w:val="12"/>
                <w:color w:val="auto"/>
              </w:rPr>
            </w:pPr>
          </w:p>
        </w:tc>
        <w:tc>
          <w:tcPr>
            <w:tcW w:w="100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2"/>
                <w:szCs w:val="12"/>
                <w:color w:val="auto"/>
              </w:rPr>
            </w:pPr>
          </w:p>
        </w:tc>
        <w:tc>
          <w:tcPr>
            <w:tcW w:w="10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420" w:type="dxa"/>
            <w:vAlign w:val="bottom"/>
          </w:tcPr>
          <w:p>
            <w:pPr>
              <w:spacing w:after="0"/>
              <w:rPr>
                <w:sz w:val="12"/>
                <w:szCs w:val="12"/>
                <w:color w:val="auto"/>
              </w:rPr>
            </w:pPr>
          </w:p>
        </w:tc>
        <w:tc>
          <w:tcPr>
            <w:tcW w:w="1000" w:type="dxa"/>
            <w:vAlign w:val="bottom"/>
          </w:tcPr>
          <w:p>
            <w:pPr>
              <w:jc w:val="right"/>
              <w:ind w:right="257"/>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2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RMB</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818,101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757,341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758,810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000" w:type="dxa"/>
            <w:vAlign w:val="bottom"/>
          </w:tcPr>
          <w:p>
            <w:pPr>
              <w:jc w:val="right"/>
              <w:spacing w:after="0"/>
              <w:rPr>
                <w:sz w:val="20"/>
                <w:szCs w:val="20"/>
                <w:color w:val="auto"/>
              </w:rPr>
            </w:pPr>
            <w:r>
              <w:rPr>
                <w:rFonts w:ascii="Arial" w:cs="Arial" w:eastAsia="Arial" w:hAnsi="Arial"/>
                <w:sz w:val="18"/>
                <w:szCs w:val="18"/>
                <w:color w:val="auto"/>
              </w:rPr>
              <w:t>90,271</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102,638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84,920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787,200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797,120</w:t>
            </w: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499,850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824,552</w:t>
            </w: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763,239</w:t>
            </w:r>
          </w:p>
        </w:tc>
      </w:tr>
      <w:tr>
        <w:trPr>
          <w:trHeight w:val="209"/>
        </w:trPr>
        <w:tc>
          <w:tcPr>
            <w:tcW w:w="64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1,984,851</w:t>
            </w: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2,471,731</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2,404,089</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As of December 31, 2019, total unrecognized compensation cost related to unvested awards under the 2009 Plan and the 2019 Plan, adjusted for estimated forfeitures, was US$329.2 million (RMB2,291.8 million) and is expected to be recognized through the remaining vesting period of each grant. As of December 31, 2019, the weighted average remaining vesting periods was 2.22 years.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Restricted share units award activities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presents a summary of the Company’s RSUs award activities for the years ended December 31, 2017, 2018 and 2019:</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 of RSUs</w:t>
            </w: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value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1280" w:type="dxa"/>
            <w:vAlign w:val="bottom"/>
          </w:tcPr>
          <w:p>
            <w:pPr>
              <w:jc w:val="right"/>
              <w:spacing w:after="0"/>
              <w:rPr>
                <w:sz w:val="20"/>
                <w:szCs w:val="20"/>
                <w:color w:val="auto"/>
              </w:rPr>
            </w:pPr>
            <w:r>
              <w:rPr>
                <w:rFonts w:ascii="Arial" w:cs="Arial" w:eastAsia="Arial" w:hAnsi="Arial"/>
                <w:sz w:val="18"/>
                <w:szCs w:val="18"/>
                <w:color w:val="auto"/>
              </w:rPr>
              <w:t>177.14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2,073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1280" w:type="dxa"/>
            <w:vAlign w:val="bottom"/>
          </w:tcPr>
          <w:p>
            <w:pPr>
              <w:jc w:val="right"/>
              <w:spacing w:after="0"/>
              <w:rPr>
                <w:sz w:val="20"/>
                <w:szCs w:val="20"/>
                <w:color w:val="auto"/>
              </w:rPr>
            </w:pPr>
            <w:r>
              <w:rPr>
                <w:rFonts w:ascii="Arial" w:cs="Arial" w:eastAsia="Arial" w:hAnsi="Arial"/>
                <w:sz w:val="18"/>
                <w:szCs w:val="18"/>
                <w:color w:val="auto"/>
              </w:rPr>
              <w:t>238.34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2019</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1,763</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1280" w:type="dxa"/>
            <w:vAlign w:val="bottom"/>
          </w:tcPr>
          <w:p>
            <w:pPr>
              <w:jc w:val="right"/>
              <w:spacing w:after="0"/>
              <w:rPr>
                <w:sz w:val="20"/>
                <w:szCs w:val="20"/>
                <w:color w:val="auto"/>
              </w:rPr>
            </w:pPr>
            <w:r>
              <w:rPr>
                <w:rFonts w:ascii="Arial" w:cs="Arial" w:eastAsia="Arial" w:hAnsi="Arial"/>
                <w:sz w:val="18"/>
                <w:szCs w:val="18"/>
                <w:color w:val="auto"/>
              </w:rPr>
              <w:t>244.09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2019</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aggregate intrinsic value of RSUs outstanding as of December 31, 2019 was US$863.1 million. The intrinsic value was calculated based on the Company’s closing stock price of US$306.64 per ADS as of December 31, 2019.</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It is the Company’s policy to issue new shares upon vesting of RSUs. The number of shares available for future grant under the Company’s 2019 RSU Plan was 322,055,900 as of December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Other Share Incentive Plan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of the Company’s subsidiaries have adopted stock option plans, which allow the related subsidiaries to grant options to certain employees of the Group. The options expire in five to ten years from the date of grant and either vest or have a vesting commencement date upon certain conditions being met (“Vesting Commencement Date”). The award can become 100% vested on the Vesting Commencement Date, or vests in two, four or five substantially equal annual installments with the first installment vesting on the Vesting Commencement Date.</w:t>
      </w:r>
    </w:p>
    <w:p>
      <w:pPr>
        <w:spacing w:after="0" w:line="18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Group has used the binomial model to estimate the fair value of the options granted. For the years ended December 31, 2017, 2018, and 2019, RMB91.5 million, RMB32.0 million and RMB56.2 million compensation expenses were recorded for the share options granted.</w:t>
      </w:r>
    </w:p>
    <w:p>
      <w:pPr>
        <w:spacing w:after="0" w:line="18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While certain share options granted will become vested or commence vesting beginning on the Vesting Commencement Date, the effectiveness of the conditions is not within the control of the Group and is not deemed probable to occur for accounting purposes until the Vesting Commencement Date. For such share options, no compensation expenses were recorded. As of December 31, 2019, there were RMB307.4 million unrecognized share-based compensation expenses are related to such share options for which the service condition had been met and are expected to be recognized when the conditions are achieved.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Net Income Per Share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for the years ended December 31, 2017, 2018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9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 (RMB in thousands):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line="201" w:lineRule="exact"/>
              <w:rPr>
                <w:sz w:val="20"/>
                <w:szCs w:val="20"/>
                <w:color w:val="auto"/>
              </w:rPr>
            </w:pPr>
            <w:r>
              <w:rPr>
                <w:rFonts w:ascii="Arial" w:cs="Arial" w:eastAsia="Arial" w:hAnsi="Arial"/>
                <w:sz w:val="18"/>
                <w:szCs w:val="18"/>
                <w:color w:val="auto"/>
              </w:rPr>
              <w:t>Net income from continuing operations attributable to NetEase, Inc's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shareholders</w:t>
            </w:r>
          </w:p>
        </w:tc>
        <w:tc>
          <w:tcPr>
            <w:tcW w:w="1120" w:type="dxa"/>
            <w:vAlign w:val="bottom"/>
          </w:tcPr>
          <w:p>
            <w:pPr>
              <w:jc w:val="right"/>
              <w:spacing w:after="0"/>
              <w:rPr>
                <w:sz w:val="20"/>
                <w:szCs w:val="20"/>
                <w:color w:val="auto"/>
              </w:rPr>
            </w:pPr>
            <w:r>
              <w:rPr>
                <w:rFonts w:ascii="Arial" w:cs="Arial" w:eastAsia="Arial" w:hAnsi="Arial"/>
                <w:sz w:val="18"/>
                <w:szCs w:val="18"/>
                <w:color w:val="auto"/>
              </w:rPr>
              <w:t>11,542,393</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8,291,089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13,274,997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(loss)/income from discontinued operations attributable to NetEase, Inc's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(834,454)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(2,138,682)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7,962,519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spacing w:after="0" w:line="182" w:lineRule="exact"/>
              <w:rPr>
                <w:sz w:val="20"/>
                <w:szCs w:val="20"/>
                <w:color w:val="auto"/>
              </w:rPr>
            </w:pPr>
            <w:r>
              <w:rPr>
                <w:rFonts w:ascii="Arial" w:cs="Arial" w:eastAsia="Arial" w:hAnsi="Arial"/>
                <w:sz w:val="18"/>
                <w:szCs w:val="18"/>
                <w:color w:val="auto"/>
                <w:w w:val="99"/>
              </w:rPr>
              <w:t>Net income attributable to NetEase, Inc.’s shareholders for basic/dilutive net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10,707,939</w:t>
            </w:r>
          </w:p>
        </w:tc>
        <w:tc>
          <w:tcPr>
            <w:tcW w:w="240" w:type="dxa"/>
            <w:vAlign w:val="bottom"/>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6,152,407</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21,237,516</w:t>
            </w: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income per share calculation</w:t>
            </w:r>
          </w:p>
        </w:tc>
        <w:tc>
          <w:tcPr>
            <w:tcW w:w="112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0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Denominator (No. of shares in thousands):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basic</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3,290,312</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3,235,324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Dilutive effect of employee stock options and restricted share units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25,166</w:t>
            </w: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19,365</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diluted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3,315,478</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3,254,689</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line="195" w:lineRule="exact"/>
              <w:rPr>
                <w:sz w:val="20"/>
                <w:szCs w:val="20"/>
                <w:color w:val="auto"/>
              </w:rPr>
            </w:pPr>
            <w:r>
              <w:rPr>
                <w:rFonts w:ascii="Arial" w:cs="Arial" w:eastAsia="Arial" w:hAnsi="Arial"/>
                <w:sz w:val="18"/>
                <w:szCs w:val="18"/>
                <w:color w:val="auto"/>
                <w:w w:val="96"/>
              </w:rPr>
              <w:t>Net income per share from continuing operations attributable to NetEase, Inc's</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3.51</w:t>
            </w: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shareholders, basic (RMB)</w:t>
            </w:r>
          </w:p>
        </w:tc>
        <w:tc>
          <w:tcPr>
            <w:tcW w:w="11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Net (loss)/income per share from discontinued operations attributable to</w:t>
            </w: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000000"/>
          </w:tcPr>
          <w:p>
            <w:pPr>
              <w:spacing w:after="0" w:line="20" w:lineRule="exact"/>
              <w:rPr>
                <w:sz w:val="1"/>
                <w:szCs w:val="1"/>
                <w:color w:val="auto"/>
              </w:rPr>
            </w:pPr>
          </w:p>
        </w:tc>
        <w:tc>
          <w:tcPr>
            <w:tcW w:w="90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(0.66)</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NetEase, Inc's shareholders, basic (RMB)</w:t>
            </w:r>
          </w:p>
        </w:tc>
        <w:tc>
          <w:tcPr>
            <w:tcW w:w="1360" w:type="dxa"/>
            <w:vAlign w:val="bottom"/>
            <w:gridSpan w:val="2"/>
            <w:vMerge w:val="continue"/>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per share, basic (RMB)</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080" w:type="dxa"/>
            <w:vAlign w:val="bottom"/>
            <w:gridSpan w:val="2"/>
            <w:vMerge w:val="continue"/>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6.59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rPr>
              <w:t>Net income per share from continuing operations attributable to NetEase, Inc's</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diluted (RMB)</w:t>
            </w: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line="195" w:lineRule="exact"/>
              <w:rPr>
                <w:sz w:val="20"/>
                <w:szCs w:val="20"/>
                <w:color w:val="auto"/>
              </w:rPr>
            </w:pPr>
            <w:r>
              <w:rPr>
                <w:rFonts w:ascii="Arial" w:cs="Arial" w:eastAsia="Arial" w:hAnsi="Arial"/>
                <w:sz w:val="18"/>
                <w:szCs w:val="18"/>
                <w:color w:val="auto"/>
              </w:rPr>
              <w:t>Net (loss)/income per share from discontinued operations attributable to</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(0.25)</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(0.66)</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6080" w:type="dxa"/>
            <w:vAlign w:val="bottom"/>
            <w:gridSpan w:val="2"/>
          </w:tcPr>
          <w:p>
            <w:pPr>
              <w:spacing w:after="0"/>
              <w:rPr>
                <w:sz w:val="20"/>
                <w:szCs w:val="20"/>
                <w:color w:val="auto"/>
              </w:rPr>
            </w:pPr>
            <w:r>
              <w:rPr>
                <w:rFonts w:ascii="Arial" w:cs="Arial" w:eastAsia="Arial" w:hAnsi="Arial"/>
                <w:sz w:val="18"/>
                <w:szCs w:val="18"/>
                <w:color w:val="auto"/>
              </w:rPr>
              <w:t>NetEase, Inc's shareholders, diluted (RMB)</w:t>
            </w:r>
          </w:p>
        </w:tc>
        <w:tc>
          <w:tcPr>
            <w:tcW w:w="136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per share, diluted (RMB)</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3.23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1.89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Basic net income per share is computed using the weighted average number of the ordinary shares outstanding during the year. Diluted net income per share is computed using the weighted average number of ordinary shares and potential ordinary shares outstanding during the year. For the years ended December 31, 2017, 2018 and 2019, options to purchase ordinary shares and RSUs that were anti-dilutive and excluded from the calculation of diluted net income per share totaled approximately 3.8 million shares, 19.6 million shares and 11.4 million shares,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40" w:hanging="332"/>
        <w:spacing w:after="0"/>
        <w:tabs>
          <w:tab w:leader="none" w:pos="3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Commitments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2019, future minimum payment for server and bandwidth service fee commitments, capital commitments, royalties and other expenditures commitments related to licensed contents, including the royalties and minimum marketing expenditure commitment for the games licensed by Blizzard, as well as other commitments related to office machines and services purchases, were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Server and</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Royalties and</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Office Machines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Bandwidth</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Expenditure for</w:t>
            </w:r>
          </w:p>
        </w:tc>
        <w:tc>
          <w:tcPr>
            <w:tcW w:w="12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Service Fee</w:t>
            </w:r>
          </w:p>
        </w:tc>
        <w:tc>
          <w:tcPr>
            <w:tcW w:w="1240" w:type="dxa"/>
            <w:vAlign w:val="bottom"/>
            <w:gridSpan w:val="2"/>
            <w:vMerge w:val="continue"/>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Licensed Content</w:t>
            </w: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and Other</w:t>
            </w:r>
          </w:p>
        </w:tc>
        <w:tc>
          <w:tcPr>
            <w:tcW w:w="108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Commitments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Commitments</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08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210,343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467,344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2,057,962</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135,903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2,871,552</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2021</w:t>
            </w:r>
          </w:p>
        </w:tc>
        <w:tc>
          <w:tcPr>
            <w:tcW w:w="1060" w:type="dxa"/>
            <w:vAlign w:val="bottom"/>
          </w:tcPr>
          <w:p>
            <w:pPr>
              <w:jc w:val="right"/>
              <w:spacing w:after="0"/>
              <w:rPr>
                <w:sz w:val="20"/>
                <w:szCs w:val="20"/>
                <w:color w:val="auto"/>
              </w:rPr>
            </w:pPr>
            <w:r>
              <w:rPr>
                <w:rFonts w:ascii="Arial" w:cs="Arial" w:eastAsia="Arial" w:hAnsi="Arial"/>
                <w:sz w:val="18"/>
                <w:szCs w:val="18"/>
                <w:color w:val="auto"/>
              </w:rPr>
              <w:t>368,206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578,011</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2,166,368</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3,141,889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218,863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217,001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1,707,765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2,161,515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2023</w:t>
            </w:r>
          </w:p>
        </w:tc>
        <w:tc>
          <w:tcPr>
            <w:tcW w:w="1060" w:type="dxa"/>
            <w:vAlign w:val="bottom"/>
          </w:tcPr>
          <w:p>
            <w:pPr>
              <w:jc w:val="right"/>
              <w:spacing w:after="0"/>
              <w:rPr>
                <w:sz w:val="20"/>
                <w:szCs w:val="20"/>
                <w:color w:val="auto"/>
              </w:rPr>
            </w:pPr>
            <w:r>
              <w:rPr>
                <w:rFonts w:ascii="Arial" w:cs="Arial" w:eastAsia="Arial" w:hAnsi="Arial"/>
                <w:sz w:val="18"/>
                <w:szCs w:val="18"/>
                <w:color w:val="auto"/>
              </w:rPr>
              <w:t>77,616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209,284</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1,311,465</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17,619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1,615,984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Beyond 2023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849,159</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903,007</w:t>
            </w:r>
          </w:p>
        </w:tc>
        <w:tc>
          <w:tcPr>
            <w:tcW w:w="0" w:type="dxa"/>
            <w:vAlign w:val="bottom"/>
          </w:tcPr>
          <w:p>
            <w:pPr>
              <w:spacing w:after="0"/>
              <w:rPr>
                <w:sz w:val="1"/>
                <w:szCs w:val="1"/>
                <w:color w:val="auto"/>
              </w:rPr>
            </w:pPr>
          </w:p>
        </w:tc>
      </w:tr>
      <w:tr>
        <w:trPr>
          <w:trHeight w:val="209"/>
        </w:trPr>
        <w:tc>
          <w:tcPr>
            <w:tcW w:w="38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927,876</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1,472,640</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8,092,719</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200,712</w:t>
            </w:r>
          </w:p>
        </w:tc>
        <w:tc>
          <w:tcPr>
            <w:tcW w:w="2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10,693,947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820" w:firstLine="8"/>
        <w:spacing w:after="0" w:line="532" w:lineRule="auto"/>
        <w:tabs>
          <w:tab w:leader="none" w:pos="324"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Litigation Overview</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From time to time, the Group is involved in claims and legal proceedings that arise in the ordinary course of business. Based on currently available information, management does not believe that the ultimate outcome of these unresolved matters, individually and in the aggregate, is reasonably possible to have a material adverse effect on the Group’s financial position, results of operations or cash flows. However, litigation is subject to inherent uncertainties and the Group’s view of these matters may change in the future. Were an unfavorable outcome to occur, there exists the possibility of a material adverse impact on the Group’s financial position, results of operations or cash flows for the period in which the unfavorable outcome occurs, and potentially in future periods. The Group records a liability when it is both probable that a liability has been incurred and the amount of the loss can be reasonably estimated. The Group reviews the need for any such liability on a regular basis. The Group has not recorded any material liabilities in this regard as of December 31, 2018 and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April 2018, PUBG Corporation and PUBG Santa Monica, Inc. (collectively “PUBG”), filed a lawsuit against defendants NetEase, Inc., NetEase Information Technology Corp. and NetEase (Hong Kong) Limited in the U.S. District Court for the Northern District of California. PUBG subsequently dropped all claims against NetEase (Hong Kong) Limited, and added Hong Kong NetEase Interactive Entertainment Limited to the lawsuit. PUBG’s complaint generally alleged that two of the Group’s mobile games, Rules of Survival and Knives Out, infringed PUBG’s copyrights and trade dress in their competing game, Battlegrounds. On March 11, 2019, the Group entered into a settlement agreement with PUBG, and the lawsuit was dismissed. On October 15, 2019, PUBG filed a second lawsuit against the same NetEase defendants, also in the U.S. District Court for the Northern District of California, claiming the Group had allegedly breached the settlement agreement. On March 3, 2020, the court dismissed PUBG’s new lawsuit, without prejudice, for lack of subject matter jurisdiction. On March 4, 2020, the Group initiated a declaratory judgment action against PUBG in the Superior Court of California for the County of San Mateo, requesting a declaration that the Group had not breached the settlement agreement. As at the date of this report, this lawsuit against PUBG is on-going.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Dividend Policy</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In May 2014, the Company's board of directors approved a new quarterly dividend policy. Under this policy, the Company intends to make quarterly cash dividend distributions at an amount equivalent to approximately 25% of the Group’s anticipated net income after tax in each fiscal quarter. In the second quarter of 2019, the Company’s board of directors determined that quarterly dividends will be set at an amount equivalent to approximately 20%-30% of the Company’s anticipated net income after tax in each fiscal quarter. The Company's board of directors also approved an additional special dividend of US$3.45 per ADS in the third quarter of 2019.</w:t>
      </w:r>
    </w:p>
    <w:p>
      <w:pPr>
        <w:spacing w:after="0" w:line="16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Dividends are recognized when declared. There is no dividend payable as of December 31, 2018 and 2019, respectively. The cash dividend declared related to the net profits of fiscal year 2018 and fiscal year 2019 was RMB1,538.3 million and RMB9,353.6 million (US$1,343.6 million) in total, respectively.</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determination to make dividend distributions and the amount of such distributions in any particular quarter will be made at the discretion of the Company's board of directors and will be based upon its operations and earnings, cash flow, financial condition, capital and other reserve requirements and surplus, any applicable contractual restrictions, the ability of the Company’s PRC subsidiaries to make distributions to their offshore parent companies, and any other conditions or factors which the board deems relevant and having regard to the directors' fiduciary duties.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 Repurchase Programs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accounts for repurchased ordinary shares under the cost method and includes such treasury stock as a component of the common shareholders’ equity. Cancellation of treasury stock is recorded as a reduction of ordinary shares, additional paid-in-capital and retained earnings, as applicable. An excess of purchase price over par value is allocated to additional paid-in-capital first with any remaining excess charged entirely to retained earnings.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November 2017, the Company announced that its board of directors approved a new share repurchase program of up to US$1.0 billion of the Company's outstanding ADSs for a period not to exceed 12 months. On June 11, 2018, the Company announced that its board of directors approved an amendment to its share repurchase program, authorizing the repurchase of up to an additional US$1.0 billion of the Company’s outstanding ADSs. This expands the US$1.0 billion repurchase program that was approved on November 15, 2017 for a period not to exceed 12 months, bringing the total authorized repurchase amount to US$2.0 billion. As of expiration date of the program, the Company has repurchased approximately 4.6 million ADSs (equivalent to 114.9 million ordinary shares) for approximately US$1,178.5 million under this program.</w:t>
      </w:r>
    </w:p>
    <w:p>
      <w:pPr>
        <w:spacing w:after="0" w:line="19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November 2018, the Company announced that its board of directors approved a new share repurchase program of up to US$1.0 billion of the Company's outstanding ADSs for a period not to exceed 12 months. As of expiration date of the program, the Company has repurchased approximately 1,015 ADSs (equivalent to 25,375 ordinary shares) for approximately US$0.2 million under this program.</w:t>
      </w:r>
    </w:p>
    <w:p>
      <w:pPr>
        <w:spacing w:after="0" w:line="14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November 2019, the Company announced that its board of directors has approved a share purchase program of up to US$20.0 million of Youdao’s outstanding ADSs for a period not to exceed 12 months. As of December 31, 2019, approximately 50,000 ADSs had been purchased under this program.</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February 2020, the Company announced that its board of directors had approved a share repurchase program of up to US$1.0 billion of the Company’s outstanding ADSs for a period not to exceed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Related Party Transactions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Group had no material transactions with related parties for the year ended December 31, 2017, 2018 and 2019, and no material related parties’ balances as of December 31,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6" w:lineRule="exact"/>
        <w:rPr>
          <w:sz w:val="20"/>
          <w:szCs w:val="20"/>
          <w:color w:val="auto"/>
        </w:rPr>
      </w:pPr>
    </w:p>
    <w:p>
      <w:pPr>
        <w:ind w:left="340" w:hanging="332"/>
        <w:spacing w:after="0"/>
        <w:tabs>
          <w:tab w:leader="none" w:pos="3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Description of segments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or decision making group, in deciding how to allocate resources and in assessing performance. The Group’s CODM is the Chief Executive Officer.</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Group’s organizational structure is based on a number of factors that the CODM uses to evaluate, view and run its business operations which include, but are not limited to, customer base, homogeneity of products and technology. The Group’s operating segments are based on this organizational structure and information reviewed by the Group’s CODM to evaluate the operating segment results.</w:t>
      </w:r>
    </w:p>
    <w:p>
      <w:pPr>
        <w:spacing w:after="0" w:line="18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Effective in the third quarter of 2019, the Group changed its segment disclosure to add the financial results of its certain advertising services and Yanxuan into innovative businesses and others. In addition, the Group has commenced separately reporting the results of Youdao, which completed its initial public offering and listing on the New York Stock Exchange in October 2019. As a result, the Group now reports segments as online game services, Youdao and innovative businesses and others. This change in segment reporting aligns with the manner in which the Group’s CODM currently receives and uses financial information to allocate resources and evaluate the performance of reporting segments. This change in segment presentation does not affect consolidated balance sheets, consolidated statements of operations and comprehensive income or consolidated statements of cash flows. The Group retrospectively revised prior year segment information, to conform to current year presentation.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Segment data</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table below provides a summary of the Group’s operating segment results for the years ended December 31, 2017, 2018 and 2019. The Group does not allocate any operating costs or assets to its business segments as the Group’s CODM does not use this information to measure the performance of the operating segments. There was no significant transaction between reportable segments for the years ended December 31, 2017, 2018 and 2019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5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0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Online game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36,281,642</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40,190,057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46,422,640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455,746</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731,598</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7,699,967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10,256,920</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11,513,622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44,437,355</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51,178,575</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59,241,145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Online game services</w:t>
            </w:r>
          </w:p>
        </w:tc>
        <w:tc>
          <w:tcPr>
            <w:tcW w:w="4080" w:type="dxa"/>
            <w:vAlign w:val="bottom"/>
            <w:gridSpan w:val="3"/>
          </w:tcPr>
          <w:p>
            <w:pPr>
              <w:jc w:val="right"/>
              <w:ind w:right="240"/>
              <w:spacing w:after="0"/>
              <w:rPr>
                <w:sz w:val="20"/>
                <w:szCs w:val="20"/>
                <w:color w:val="auto"/>
              </w:rPr>
            </w:pPr>
            <w:r>
              <w:rPr>
                <w:rFonts w:ascii="Arial" w:cs="Arial" w:eastAsia="Arial" w:hAnsi="Arial"/>
                <w:sz w:val="18"/>
                <w:szCs w:val="18"/>
                <w:color w:val="auto"/>
              </w:rPr>
              <w:t>(13,473,339)</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(14,617,656)</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(16,974,234)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4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(293,807)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(515,133)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4080" w:type="dxa"/>
            <w:vAlign w:val="bottom"/>
            <w:gridSpan w:val="3"/>
          </w:tcPr>
          <w:p>
            <w:pPr>
              <w:jc w:val="right"/>
              <w:ind w:right="240"/>
              <w:spacing w:after="0"/>
              <w:rPr>
                <w:sz w:val="20"/>
                <w:szCs w:val="20"/>
                <w:color w:val="auto"/>
              </w:rPr>
            </w:pPr>
            <w:r>
              <w:rPr>
                <w:rFonts w:ascii="Arial" w:cs="Arial" w:eastAsia="Arial" w:hAnsi="Arial"/>
                <w:sz w:val="18"/>
                <w:szCs w:val="18"/>
                <w:color w:val="auto"/>
              </w:rPr>
              <w:t>(5,627,168)</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(8,699,637)</w:t>
            </w:r>
          </w:p>
        </w:tc>
        <w:tc>
          <w:tcPr>
            <w:tcW w:w="1020" w:type="dxa"/>
            <w:vAlign w:val="bottom"/>
          </w:tcPr>
          <w:p>
            <w:pPr>
              <w:jc w:val="right"/>
              <w:spacing w:after="0"/>
              <w:rPr>
                <w:sz w:val="20"/>
                <w:szCs w:val="20"/>
                <w:color w:val="auto"/>
              </w:rPr>
            </w:pPr>
            <w:r>
              <w:rPr>
                <w:rFonts w:ascii="Arial" w:cs="Arial" w:eastAsia="Arial" w:hAnsi="Arial"/>
                <w:sz w:val="18"/>
                <w:szCs w:val="18"/>
                <w:color w:val="auto"/>
              </w:rPr>
              <w:t>(9,777,350)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8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(19,394,314)</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(23,832,426)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(27,685,845)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Online game services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22,808,303</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25,572,401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29,448,406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Youdao</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161,939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216,465</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Innovative businesses and others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2,072,799</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1,557,283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1,736,272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8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25,043,041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27,346,149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80" w:type="dxa"/>
            <w:vAlign w:val="bottom"/>
            <w:gridSpan w:val="3"/>
          </w:tcPr>
          <w:p>
            <w:pPr>
              <w:jc w:val="right"/>
              <w:ind w:right="2520"/>
              <w:spacing w:after="0"/>
              <w:rPr>
                <w:sz w:val="20"/>
                <w:szCs w:val="20"/>
                <w:color w:val="auto"/>
              </w:rPr>
            </w:pPr>
            <w:r>
              <w:rPr>
                <w:rFonts w:ascii="Arial" w:cs="Arial" w:eastAsia="Arial" w:hAnsi="Arial"/>
                <w:sz w:val="18"/>
                <w:szCs w:val="18"/>
                <w:color w:val="auto"/>
              </w:rPr>
              <w:t>F-43</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set forth the breakdown of net revenues by type of good or service for the years ended December 31, 2017, 2018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4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960" w:type="dxa"/>
            <w:vAlign w:val="bottom"/>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games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36,281,642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40,190,057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46,422,640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Youdao learning services and products</w:t>
            </w:r>
          </w:p>
        </w:tc>
        <w:tc>
          <w:tcPr>
            <w:tcW w:w="940" w:type="dxa"/>
            <w:vAlign w:val="bottom"/>
          </w:tcPr>
          <w:p>
            <w:pPr>
              <w:jc w:val="right"/>
              <w:spacing w:after="0"/>
              <w:rPr>
                <w:sz w:val="20"/>
                <w:szCs w:val="20"/>
                <w:color w:val="auto"/>
              </w:rPr>
            </w:pPr>
            <w:r>
              <w:rPr>
                <w:rFonts w:ascii="Arial" w:cs="Arial" w:eastAsia="Arial" w:hAnsi="Arial"/>
                <w:sz w:val="18"/>
                <w:szCs w:val="18"/>
                <w:color w:val="auto"/>
              </w:rPr>
              <w:t>149,915</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428,716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Advertising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2,449,558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2,769,337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5,556,240</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7,790,465</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44,437,355</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51,178,575</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59,241,145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presents the total depreciation and amortization expenses of property and equipment and land use rights by segment for the years ended December 31, 2017, 2018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2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Pr>
          <w:p>
            <w:pPr>
              <w:jc w:val="right"/>
              <w:ind w:right="218"/>
              <w:spacing w:after="0"/>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5"/>
                <w:szCs w:val="15"/>
                <w:color w:val="auto"/>
              </w:rPr>
            </w:pPr>
          </w:p>
        </w:tc>
        <w:tc>
          <w:tcPr>
            <w:tcW w:w="960" w:type="dxa"/>
            <w:vAlign w:val="bottom"/>
          </w:tcPr>
          <w:p>
            <w:pPr>
              <w:jc w:val="right"/>
              <w:ind w:right="236"/>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Online game services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235,896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Youdao</w:t>
            </w:r>
          </w:p>
        </w:tc>
        <w:tc>
          <w:tcPr>
            <w:tcW w:w="940" w:type="dxa"/>
            <w:vAlign w:val="bottom"/>
          </w:tcPr>
          <w:p>
            <w:pPr>
              <w:jc w:val="right"/>
              <w:spacing w:after="0"/>
              <w:rPr>
                <w:sz w:val="20"/>
                <w:szCs w:val="20"/>
                <w:color w:val="auto"/>
              </w:rPr>
            </w:pPr>
            <w:r>
              <w:rPr>
                <w:rFonts w:ascii="Arial" w:cs="Arial" w:eastAsia="Arial" w:hAnsi="Arial"/>
                <w:sz w:val="18"/>
                <w:szCs w:val="18"/>
                <w:color w:val="auto"/>
              </w:rPr>
              <w:t>2,160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3,863</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Innovative businesses and others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98,997</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201,707</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40" w:type="dxa"/>
            <w:vAlign w:val="bottom"/>
          </w:tcPr>
          <w:p>
            <w:pPr>
              <w:spacing w:after="0" w:line="182" w:lineRule="exact"/>
              <w:rPr>
                <w:sz w:val="20"/>
                <w:szCs w:val="20"/>
                <w:color w:val="auto"/>
              </w:rPr>
            </w:pPr>
            <w:r>
              <w:rPr>
                <w:rFonts w:ascii="Arial" w:cs="Arial" w:eastAsia="Arial" w:hAnsi="Arial"/>
                <w:sz w:val="18"/>
                <w:szCs w:val="18"/>
                <w:color w:val="auto"/>
                <w:w w:val="96"/>
              </w:rPr>
              <w:t>Total depreciation and amortization expenses of property and equipment and land use</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258,852</w:t>
            </w: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441,466</w:t>
            </w: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481,107</w:t>
            </w:r>
          </w:p>
        </w:tc>
        <w:tc>
          <w:tcPr>
            <w:tcW w:w="0" w:type="dxa"/>
            <w:vAlign w:val="bottom"/>
          </w:tcPr>
          <w:p>
            <w:pPr>
              <w:spacing w:after="0"/>
              <w:rPr>
                <w:sz w:val="1"/>
                <w:szCs w:val="1"/>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rights</w:t>
            </w:r>
          </w:p>
        </w:tc>
        <w:tc>
          <w:tcPr>
            <w:tcW w:w="9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substantially all of the Group's long-lived assets are located in the PRC and substantially all of the Group's revenue of reportable segments are derived from China based on the geographical locations where services and products are provided to customers, no geographical information is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Financial Instruments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(RMB)</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Active Market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32,900,287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32,900,287</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Time deposits-long term</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Equity investments with readily determinable fair values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612,465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612,465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Short-term investments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11,674,775</w:t>
            </w:r>
          </w:p>
        </w:tc>
        <w:tc>
          <w:tcPr>
            <w:tcW w:w="2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11,674,775</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45,287,527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33,612,752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11,674,775</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440" w:type="dxa"/>
            <w:vAlign w:val="bottom"/>
          </w:tcPr>
          <w:p>
            <w:pPr>
              <w:spacing w:after="0"/>
              <w:rPr>
                <w:sz w:val="24"/>
                <w:szCs w:val="24"/>
                <w:color w:val="auto"/>
              </w:rPr>
            </w:pPr>
          </w:p>
        </w:tc>
        <w:tc>
          <w:tcPr>
            <w:tcW w:w="2540" w:type="dxa"/>
            <w:vAlign w:val="bottom"/>
            <w:gridSpan w:val="2"/>
          </w:tcPr>
          <w:p>
            <w:pPr>
              <w:jc w:val="right"/>
              <w:ind w:right="1756"/>
              <w:spacing w:after="0"/>
              <w:rPr>
                <w:sz w:val="20"/>
                <w:szCs w:val="20"/>
                <w:color w:val="auto"/>
              </w:rPr>
            </w:pPr>
            <w:r>
              <w:rPr>
                <w:rFonts w:ascii="Arial" w:cs="Arial" w:eastAsia="Arial" w:hAnsi="Arial"/>
                <w:sz w:val="18"/>
                <w:szCs w:val="18"/>
                <w:color w:val="auto"/>
              </w:rPr>
              <w:t>F-44</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financial instruments, measured at fair value, by level within the fair value hierarchy as of December 31, 2019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Fair Value Measurements</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(RMB)</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Quoted Prices in</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Active Market</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122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Assets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1)</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deposits-short term</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53,487,075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53,487,075</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Time deposits-long term</w:t>
            </w:r>
          </w:p>
        </w:tc>
        <w:tc>
          <w:tcPr>
            <w:tcW w:w="1220" w:type="dxa"/>
            <w:vAlign w:val="bottom"/>
          </w:tcPr>
          <w:p>
            <w:pPr>
              <w:jc w:val="right"/>
              <w:spacing w:after="0"/>
              <w:rPr>
                <w:sz w:val="20"/>
                <w:szCs w:val="20"/>
                <w:color w:val="auto"/>
              </w:rPr>
            </w:pPr>
            <w:r>
              <w:rPr>
                <w:rFonts w:ascii="Arial" w:cs="Arial" w:eastAsia="Arial" w:hAnsi="Arial"/>
                <w:sz w:val="18"/>
                <w:szCs w:val="18"/>
                <w:color w:val="auto"/>
              </w:rPr>
              <w:t>2,360,000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2,360,000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 with readily determinable fair values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3,551,545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3,551,545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15,312,595</w:t>
            </w:r>
          </w:p>
        </w:tc>
        <w:tc>
          <w:tcPr>
            <w:tcW w:w="22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15,312,595</w:t>
            </w:r>
          </w:p>
        </w:tc>
        <w:tc>
          <w:tcPr>
            <w:tcW w:w="0" w:type="dxa"/>
            <w:vAlign w:val="bottom"/>
          </w:tcPr>
          <w:p>
            <w:pPr>
              <w:spacing w:after="0"/>
              <w:rPr>
                <w:sz w:val="1"/>
                <w:szCs w:val="1"/>
                <w:color w:val="auto"/>
              </w:rPr>
            </w:pPr>
          </w:p>
        </w:tc>
      </w:tr>
      <w:tr>
        <w:trPr>
          <w:trHeight w:val="209"/>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74,711,215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59,398,620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15,312,595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rates of interest under the loan agreements with the lending banks were determined based on the prevailing interest rates in the market. The Group classifies the valuation techniques that use these inputs as Level 2 of fair value measurements of short-term bank loans. For other financial assets and liabilities with carrying values that approximate fair value, if measured at fair value in the financial statements, these financial instruments would be classified as Level 3 in the fair value hierarchy. As of December 31, 2018 and 2019, certain equity investments without determinable fair value (Note 10) were measured using significant unobservable inputs (Level 3) and written down from their respective carrying value to fair value, with impairment charges of RMB133.6 million and RMB168.4 million incurred and recorded in earnings for the years then 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Restricted Net Assets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Relevant PRC laws and regulations permit PRC companies to pay dividends only out of their retained earnings, if any, as determined in accordance with PRC accounting standards and regulations. Additionally, the Company’s PRC subsidiaries and VIEs can only distribute dividends upon approval of the shareholders after they have met the PRC requirements for appropriation to the general reserve fund and the statutory surplus fund respectively. The general reserve fund and the statutory surplus fund require that annual appropriations of 10% of net after-tax income should be set aside prior to payment of any dividends. As a result of these and other restrictions under PRC laws and regulations, the PRC subsidiaries and VIEs are restricted in their ability to transfer a portion of their net assets to the Company either in the form of dividends, loans or advances, which restricted portion amounted to approximately RMB14.1 billion, or 23% of the Company’s total consolidated net assets, as of December 31, 2019. Even though the Company currently does not require any such dividends, loans or advances from the PRC subsidiaries and VIEs for working capital and other funding purposes, the Company may in the future require additional cash resources from its PRC subsidiaries and VIEs due to changes in business conditions, to fund future acquisitions and developments, or merely declare and pay dividends to or distributions to the Company’s shareholders.</w:t>
      </w:r>
    </w:p>
    <w:p>
      <w:pPr>
        <w:spacing w:after="0" w:line="1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After the outbreak of Coronavirus Disease 2019 (“COVID-19 outbreak”) in early 2020, a series of precautionary and control measures have been and continued to be implemented across the country. The Group prioritizes the health and safety of its employees, and has taken various preventative and quarantine measures across the Group soon after the outbreak. The Group will pay close attention to the development of the COVID-19 outbreak and evaluate its impact on the financial position and operating results of the Group. As at the date on which this form 20-F was filed, the Group was not aware of any material adverse effects on the financial statements as a result of the COVID-19 outbreak.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b w:val="1"/>
          <w:bCs w:val="1"/>
          <w:color w:val="auto"/>
        </w:rPr>
        <w:t>Exhibit 2.4</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Ordinary Shares</w:t>
      </w:r>
    </w:p>
    <w:p>
      <w:pPr>
        <w:spacing w:after="0" w:line="212"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The following are summaries of material provisions of our currently effective memorandum and articles of association and the Cayman Islands Companies Law (2020 Revision), or the Companies Law, insofar as they relate to the material terms of our ordinary shares.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Preferences and Restrictions of Ordinary Shares</w:t>
      </w:r>
    </w:p>
    <w:p>
      <w:pPr>
        <w:spacing w:after="0" w:line="206" w:lineRule="exact"/>
        <w:rPr>
          <w:sz w:val="20"/>
          <w:szCs w:val="20"/>
          <w:color w:val="auto"/>
        </w:rPr>
      </w:pPr>
    </w:p>
    <w:p>
      <w:pPr>
        <w:ind w:right="200" w:firstLine="648"/>
        <w:spacing w:after="0"/>
        <w:rPr>
          <w:sz w:val="20"/>
          <w:szCs w:val="20"/>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All of our issued and outstanding shares are fully paid and non-assessable. Shares are issued in</w:t>
      </w:r>
      <w:r>
        <w:rPr>
          <w:rFonts w:ascii="Arial" w:cs="Arial" w:eastAsia="Arial" w:hAnsi="Arial"/>
          <w:sz w:val="22"/>
          <w:szCs w:val="22"/>
          <w:i w:val="1"/>
          <w:iCs w:val="1"/>
          <w:color w:val="auto"/>
        </w:rPr>
        <w:t xml:space="preserve"> </w:t>
      </w:r>
      <w:r>
        <w:rPr>
          <w:rFonts w:ascii="Arial" w:cs="Arial" w:eastAsia="Arial" w:hAnsi="Arial"/>
          <w:sz w:val="22"/>
          <w:szCs w:val="22"/>
          <w:color w:val="auto"/>
        </w:rPr>
        <w:t>registered form. Our shareholders who are non-residents of the Cayman Islands may freely hold and vote their shares. Each ordinary share has US$0.0001 par value.</w:t>
      </w:r>
    </w:p>
    <w:p>
      <w:pPr>
        <w:spacing w:after="0" w:line="186"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i w:val="1"/>
          <w:iCs w:val="1"/>
          <w:color w:val="auto"/>
        </w:rPr>
        <w:t>Dividends</w:t>
      </w:r>
      <w:r>
        <w:rPr>
          <w:rFonts w:ascii="Arial" w:cs="Arial" w:eastAsia="Arial" w:hAnsi="Arial"/>
          <w:sz w:val="22"/>
          <w:szCs w:val="22"/>
          <w:color w:val="auto"/>
        </w:rPr>
        <w:t>. The holders of shares are entitled to such dividends as may be declared by our board of</w:t>
      </w:r>
      <w:r>
        <w:rPr>
          <w:rFonts w:ascii="Arial" w:cs="Arial" w:eastAsia="Arial" w:hAnsi="Arial"/>
          <w:sz w:val="22"/>
          <w:szCs w:val="22"/>
          <w:i w:val="1"/>
          <w:iCs w:val="1"/>
          <w:color w:val="auto"/>
        </w:rPr>
        <w:t xml:space="preserve"> </w:t>
      </w:r>
      <w:r>
        <w:rPr>
          <w:rFonts w:ascii="Arial" w:cs="Arial" w:eastAsia="Arial" w:hAnsi="Arial"/>
          <w:sz w:val="22"/>
          <w:szCs w:val="22"/>
          <w:color w:val="auto"/>
        </w:rPr>
        <w:t>directors. Under Cayman Islands law, dividends may be declared and paid only out of funds legally available therefor, namely out of either profit or our share premium account, and provided further that a dividend may not be paid if this would result in our company being, immediately following such payment, unable to pay its debts as they fall due in the ordinary course of business.</w:t>
      </w:r>
    </w:p>
    <w:p>
      <w:pPr>
        <w:spacing w:after="0" w:line="18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i w:val="1"/>
          <w:iCs w:val="1"/>
          <w:color w:val="auto"/>
        </w:rPr>
        <w:t>Voting Rights</w:t>
      </w:r>
      <w:r>
        <w:rPr>
          <w:rFonts w:ascii="Arial" w:cs="Arial" w:eastAsia="Arial" w:hAnsi="Arial"/>
          <w:sz w:val="19"/>
          <w:szCs w:val="19"/>
          <w:color w:val="auto"/>
        </w:rPr>
        <w:t>. Each share is entitled to one vote on all matters upon which the shares are entitled to vote,</w:t>
      </w:r>
      <w:r>
        <w:rPr>
          <w:rFonts w:ascii="Arial" w:cs="Arial" w:eastAsia="Arial" w:hAnsi="Arial"/>
          <w:sz w:val="19"/>
          <w:szCs w:val="19"/>
          <w:i w:val="1"/>
          <w:iCs w:val="1"/>
          <w:color w:val="auto"/>
        </w:rPr>
        <w:t xml:space="preserve"> </w:t>
      </w:r>
      <w:r>
        <w:rPr>
          <w:rFonts w:ascii="Arial" w:cs="Arial" w:eastAsia="Arial" w:hAnsi="Arial"/>
          <w:sz w:val="19"/>
          <w:szCs w:val="19"/>
          <w:color w:val="auto"/>
        </w:rPr>
        <w:t>including the election of directors. Voting at any meeting of shareholders is by show of hands unless a poll is demanded. A poll may be demanded by the chairman or any other shareholder present in person or by proxy. A quorum required for a meeting of shareholders consists of at least two shareholders present in person or by proxy.</w:t>
      </w:r>
    </w:p>
    <w:p>
      <w:pPr>
        <w:spacing w:after="0" w:line="14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Any ordinary resolution to be made by the shareholders requires the affirmative vote of a simple majority of the votes attaching to the shares cast in a general meeting, while a special resolution requires the affirmative vote of no less than two-thirds of the votes cast attaching to the shares. A special resolution is required for matters such as a change of our name. Holders of the shares may by ordinary resolution, among other things, elect directors, appoint auditors, and increase our share capital. Both ordinary resolutions and special resolutions may also be passed by a unanimous written resolution signed by all the shareholders of our company.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 xml:space="preserve">Preemptive Rights. </w:t>
      </w:r>
      <w:r>
        <w:rPr>
          <w:rFonts w:ascii="Arial" w:cs="Arial" w:eastAsia="Arial" w:hAnsi="Arial"/>
          <w:sz w:val="22"/>
          <w:szCs w:val="22"/>
          <w:color w:val="auto"/>
        </w:rPr>
        <w:t>Holders of our ordinary shares do not have preemptive rights.</w:t>
      </w:r>
    </w:p>
    <w:p>
      <w:pPr>
        <w:spacing w:after="0" w:line="206"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i w:val="1"/>
          <w:iCs w:val="1"/>
          <w:color w:val="auto"/>
        </w:rPr>
        <w:t>Liquidation</w:t>
      </w:r>
      <w:r>
        <w:rPr>
          <w:rFonts w:ascii="Arial" w:cs="Arial" w:eastAsia="Arial" w:hAnsi="Arial"/>
          <w:sz w:val="19"/>
          <w:szCs w:val="19"/>
          <w:color w:val="auto"/>
        </w:rPr>
        <w:t>. On a return of capital on winding up or otherwise (other than on conversion, redemption or</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 of shares) assets available for distribution among the holders of shares shall be distributed among the holders of the shares pro rata. If the assets available for distribution are insufficient to repay all of the paid-up capital, the assets will be distributed so that the losses are borne by our shareholders proportionately.</w:t>
      </w:r>
    </w:p>
    <w:p>
      <w:pPr>
        <w:spacing w:after="0" w:line="143"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i w:val="1"/>
          <w:iCs w:val="1"/>
          <w:color w:val="auto"/>
        </w:rPr>
        <w:t>Calls on Shares and Forfeiture of Shares</w:t>
      </w:r>
      <w:r>
        <w:rPr>
          <w:rFonts w:ascii="Arial" w:cs="Arial" w:eastAsia="Arial" w:hAnsi="Arial"/>
          <w:sz w:val="22"/>
          <w:szCs w:val="22"/>
          <w:color w:val="auto"/>
        </w:rPr>
        <w:t>. Our board of directors may from time to time make calls upon</w:t>
      </w:r>
      <w:r>
        <w:rPr>
          <w:rFonts w:ascii="Arial" w:cs="Arial" w:eastAsia="Arial" w:hAnsi="Arial"/>
          <w:sz w:val="22"/>
          <w:szCs w:val="22"/>
          <w:i w:val="1"/>
          <w:iCs w:val="1"/>
          <w:color w:val="auto"/>
        </w:rPr>
        <w:t xml:space="preserve"> </w:t>
      </w:r>
      <w:r>
        <w:rPr>
          <w:rFonts w:ascii="Arial" w:cs="Arial" w:eastAsia="Arial" w:hAnsi="Arial"/>
          <w:sz w:val="22"/>
          <w:szCs w:val="22"/>
          <w:color w:val="auto"/>
        </w:rPr>
        <w:t>shareholders for any amounts unpaid on their shares in a notice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878840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90" w:name="page191"/>
    <w:bookmarkEnd w:id="190"/>
    <w:p>
      <w:pPr>
        <w:ind w:right="300"/>
        <w:spacing w:after="0" w:line="250" w:lineRule="auto"/>
        <w:rPr>
          <w:sz w:val="20"/>
          <w:szCs w:val="20"/>
          <w:color w:val="auto"/>
        </w:rPr>
      </w:pPr>
      <w:r>
        <w:rPr>
          <w:rFonts w:ascii="Arial" w:cs="Arial" w:eastAsia="Arial" w:hAnsi="Arial"/>
          <w:sz w:val="22"/>
          <w:szCs w:val="22"/>
          <w:color w:val="auto"/>
        </w:rPr>
        <w:t>to such shareholders at least 14 days prior to the specified time or times of payment. The shares that have been called upon and remain unpaid are subject to forfeiture.</w:t>
      </w:r>
    </w:p>
    <w:p>
      <w:pPr>
        <w:spacing w:after="0" w:line="175"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i w:val="1"/>
          <w:iCs w:val="1"/>
          <w:color w:val="auto"/>
        </w:rPr>
        <w:t>Redemption, Repurchase and Surrender of Shares</w:t>
      </w:r>
      <w:r>
        <w:rPr>
          <w:rFonts w:ascii="Arial" w:cs="Arial" w:eastAsia="Arial" w:hAnsi="Arial"/>
          <w:sz w:val="19"/>
          <w:szCs w:val="19"/>
          <w:color w:val="auto"/>
        </w:rPr>
        <w:t>. Subject to the provisions of the Companies Law and</w:t>
      </w:r>
      <w:r>
        <w:rPr>
          <w:rFonts w:ascii="Arial" w:cs="Arial" w:eastAsia="Arial" w:hAnsi="Arial"/>
          <w:sz w:val="19"/>
          <w:szCs w:val="19"/>
          <w:i w:val="1"/>
          <w:iCs w:val="1"/>
          <w:color w:val="auto"/>
        </w:rPr>
        <w:t xml:space="preserve"> </w:t>
      </w:r>
      <w:r>
        <w:rPr>
          <w:rFonts w:ascii="Arial" w:cs="Arial" w:eastAsia="Arial" w:hAnsi="Arial"/>
          <w:sz w:val="19"/>
          <w:szCs w:val="19"/>
          <w:color w:val="auto"/>
        </w:rPr>
        <w:t>the memorandum and articles of association, we may issue shares on the terms that they are, or at our option or at the option of the holders are, subject to redemption on such terms and in such manner as we may determine by special resolution. Subject to the provisions of the Companies Law and the memorandum and articles of association, we may also repurchase any of our shares provided that the manner of such purchase has first been approved by ordinary resolution of our shareholders. Under the Companies Law, the redemption or repurchase of any share may be paid out of our profits or out of the proceeds of a fresh issue of shares made for the purpose of such redemption or repurchase, or out of capital (including share premium account and capital redemption reserve) if we can, immediately following such payment, pay our debts as they fall due in the ordinary course of business. In addition, under the Companies Law no such share may be redeemed or repurchased (a) unless it is fully paid up, (b) if such redemption or repurchase would result in there being no shares outstanding, or (c) if we have commenced liquidation. In addition, we may accept the surrender of any fully paid share for no consideration.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Variations of Rights of Shares</w:t>
      </w:r>
    </w:p>
    <w:p>
      <w:pPr>
        <w:spacing w:after="0" w:line="206"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rights attached to any class of shares (unless otherwise provided by the terms of issue of the shares of that class) may, subject to the provisions of the Companies Law, be varied either with the consent in writing of the holders of three-fourths of the issued shares of that class or with the sanction of a special resolution passed at a general meeting of the holders of the shares of that class.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Meetings of Shareholders</w:t>
      </w:r>
    </w:p>
    <w:p>
      <w:pPr>
        <w:spacing w:after="0" w:line="206"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directors may whenever they think fit, and they shall on the requisition of our shareholders holding not less than one-tenth of our paid-up capital as at the date of the deposit of the requisition carries the right of voting at general meetings of our company, proceed to convene a general meeting of our company. If the directors do not within 21 days from the date of the deposit of the requisition duly proceed to convene a general meeting, the requisitionists, or any of them representing more than one-half of the total voting rights of all of them, may themselves convene a general meeting, but any meeting so convened shall not be held after the expiration of three months after the expiration of such 21 days. Advanced notice of at least five days is required for the convening of the annual general meeting and other shareholders meetings.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on the Right to Own Shares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There are no limitations on the right to own our ordinary shares.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on Transfer of Shares</w:t>
      </w:r>
    </w:p>
    <w:p>
      <w:pPr>
        <w:spacing w:after="0" w:line="206" w:lineRule="exact"/>
        <w:rPr>
          <w:sz w:val="20"/>
          <w:szCs w:val="20"/>
          <w:color w:val="auto"/>
        </w:rPr>
      </w:pPr>
    </w:p>
    <w:p>
      <w:pPr>
        <w:jc w:val="both"/>
        <w:ind w:right="700" w:firstLine="648"/>
        <w:spacing w:after="0"/>
        <w:rPr>
          <w:sz w:val="20"/>
          <w:szCs w:val="20"/>
          <w:color w:val="auto"/>
        </w:rPr>
      </w:pPr>
      <w:r>
        <w:rPr>
          <w:rFonts w:ascii="Arial" w:cs="Arial" w:eastAsia="Arial" w:hAnsi="Arial"/>
          <w:sz w:val="22"/>
          <w:szCs w:val="22"/>
          <w:color w:val="auto"/>
        </w:rPr>
        <w:t>There are no provisions in our memorandum or articles of association that would have an effect of delaying, deferring or preventing a change in control and that would operate only with respect to a merger, acquisition or corporate restructuring.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Disclosure of Shareholder Ownership</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91" w:name="page192"/>
    <w:bookmarkEnd w:id="191"/>
    <w:p>
      <w:pPr>
        <w:ind w:right="20" w:firstLine="648"/>
        <w:spacing w:after="0" w:line="250" w:lineRule="auto"/>
        <w:rPr>
          <w:sz w:val="20"/>
          <w:szCs w:val="20"/>
          <w:color w:val="auto"/>
        </w:rPr>
      </w:pPr>
      <w:r>
        <w:rPr>
          <w:rFonts w:ascii="Arial" w:cs="Arial" w:eastAsia="Arial" w:hAnsi="Arial"/>
          <w:sz w:val="22"/>
          <w:szCs w:val="22"/>
          <w:color w:val="auto"/>
        </w:rPr>
        <w:t>There are no provisions in our memorandum or articles of association that require our company to disclose shareholder ownershi above any particular ownership threshold.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Capital</w:t>
      </w:r>
    </w:p>
    <w:p>
      <w:pPr>
        <w:spacing w:after="0" w:line="206"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We may from time to time by ordinary resolution increase the share capital by such sum, to be divided into shares of such amount, as the resolution shall prescribe. The new shares shall be subject to the same provisions with reference to the payment of calls, lien, transfer, transmission, forfeiture and otherwise as the shares in the original share capital. We may by ordinary resolution: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consolidate and divide all or any of our share capital into shares of larger amount than our existing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88" w:lineRule="exact"/>
        <w:rPr>
          <w:sz w:val="20"/>
          <w:szCs w:val="20"/>
          <w:color w:val="auto"/>
        </w:rPr>
      </w:pPr>
    </w:p>
    <w:p>
      <w:pPr>
        <w:ind w:right="640" w:firstLine="657"/>
        <w:spacing w:after="0" w:line="250" w:lineRule="auto"/>
        <w:tabs>
          <w:tab w:leader="none" w:pos="95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sub-divide our existing shares, or any of them into shares of smaller amount than is fixed by our memorandum of association or into shares without nominal or par value; and</w:t>
      </w:r>
    </w:p>
    <w:p>
      <w:pPr>
        <w:spacing w:after="0" w:line="174" w:lineRule="exact"/>
        <w:rPr>
          <w:rFonts w:ascii="Arial" w:cs="Arial" w:eastAsia="Arial" w:hAnsi="Arial"/>
          <w:sz w:val="22"/>
          <w:szCs w:val="22"/>
          <w:color w:val="auto"/>
        </w:rPr>
      </w:pPr>
    </w:p>
    <w:p>
      <w:pPr>
        <w:ind w:right="220" w:firstLine="657"/>
        <w:spacing w:after="0" w:line="250" w:lineRule="auto"/>
        <w:tabs>
          <w:tab w:leader="none" w:pos="94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cancel any shares which, at the date of the passing of the resolution, have not been taken or agreed to be taken by any person.</w:t>
      </w:r>
    </w:p>
    <w:p>
      <w:pPr>
        <w:spacing w:after="0" w:line="17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We may by special resolution reduce our share capital and any capital redemption reserve fund in any manner authorized by the Companies Law.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Differences in Corporate Law</w:t>
      </w:r>
    </w:p>
    <w:p>
      <w:pPr>
        <w:spacing w:after="0" w:line="206"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The Companies Law is modeled after that of the English companies legislation but does not follow recent English law statutory enactments and accordingly there are significant differences between the Companies Law and the current Companies Act of England. In addition, the Companies Law differs from laws applicable to U.S.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7"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i w:val="1"/>
          <w:iCs w:val="1"/>
          <w:color w:val="auto"/>
        </w:rPr>
        <w:t>Mergers and Similar Arrangements</w:t>
      </w:r>
      <w:r>
        <w:rPr>
          <w:rFonts w:ascii="Arial" w:cs="Arial" w:eastAsia="Arial" w:hAnsi="Arial"/>
          <w:sz w:val="19"/>
          <w:szCs w:val="19"/>
          <w:color w:val="auto"/>
        </w:rPr>
        <w:t>. The Companies Law permits mergers and consolidations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or a Plan, which must then be authorized by each constituent company by way of (a) a special resolution of the shareholders of each such constituent company; and (b) such other authorization, if any, as may be specified in such constituent company’s articles of association. The consent of each holder of a fixed or floating security interest of a Cayman Islands constituent company must be obtained, unless the Grand Court of the Cayman Islands waives such requirement. The Plan must be filed with the Registrar of Companies together with, among other documents, a director’s declaration as to the solvency of the constituent company and of the consolidated or surviving company, a director’s declaration of the assets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92" w:name="page193"/>
    <w:bookmarkEnd w:id="192"/>
    <w:p>
      <w:pPr>
        <w:ind w:right="80"/>
        <w:spacing w:after="0" w:line="246" w:lineRule="auto"/>
        <w:rPr>
          <w:sz w:val="20"/>
          <w:szCs w:val="20"/>
          <w:color w:val="auto"/>
        </w:rPr>
      </w:pPr>
      <w:r>
        <w:rPr>
          <w:rFonts w:ascii="Arial" w:cs="Arial" w:eastAsia="Arial" w:hAnsi="Arial"/>
          <w:sz w:val="21"/>
          <w:szCs w:val="21"/>
          <w:color w:val="auto"/>
        </w:rPr>
        <w:t>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Grand Court of the Cayman Islands) if they follow the required procedures set out in the Companies Law, subject to certain exceptions. Court approval is not required for a merger or consolidation which is effected in compliance with these statutory procedures.</w:t>
      </w:r>
    </w:p>
    <w:p>
      <w:pPr>
        <w:spacing w:after="0" w:line="184"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in question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ought not to be approved, the court can be expected to approve the arrangement if it satisfies itself that:</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statutory provisions as to majority vote have been complied with;</w:t>
      </w:r>
    </w:p>
    <w:p>
      <w:pPr>
        <w:spacing w:after="0" w:line="220" w:lineRule="exact"/>
        <w:rPr>
          <w:sz w:val="20"/>
          <w:szCs w:val="20"/>
          <w:color w:val="auto"/>
        </w:rPr>
      </w:pPr>
    </w:p>
    <w:p>
      <w:pPr>
        <w:ind w:left="340" w:right="120" w:firstLine="81"/>
        <w:spacing w:after="0" w:line="328" w:lineRule="auto"/>
        <w:rPr>
          <w:sz w:val="20"/>
          <w:szCs w:val="20"/>
          <w:color w:val="auto"/>
        </w:rPr>
      </w:pPr>
      <w:r>
        <w:rPr>
          <w:rFonts w:ascii="Arial" w:cs="Arial" w:eastAsia="Arial" w:hAnsi="Arial"/>
          <w:sz w:val="19"/>
          <w:szCs w:val="19"/>
          <w:color w:val="auto"/>
        </w:rPr>
        <w:t>the shareholders have been fairly represented at the meeting in question and the statutory majority are acting bona fide without coercion of the minority to promote interests adverse to those of the class;</w:t>
      </w:r>
    </w:p>
    <w:p>
      <w:pPr>
        <w:spacing w:after="0" w:line="118" w:lineRule="exact"/>
        <w:rPr>
          <w:sz w:val="20"/>
          <w:szCs w:val="20"/>
          <w:color w:val="auto"/>
        </w:rPr>
      </w:pPr>
    </w:p>
    <w:p>
      <w:pPr>
        <w:ind w:left="340" w:firstLine="81"/>
        <w:spacing w:after="0" w:line="250" w:lineRule="auto"/>
        <w:rPr>
          <w:sz w:val="20"/>
          <w:szCs w:val="20"/>
          <w:color w:val="auto"/>
        </w:rPr>
      </w:pPr>
      <w:r>
        <w:rPr>
          <w:rFonts w:ascii="Arial" w:cs="Arial" w:eastAsia="Arial" w:hAnsi="Arial"/>
          <w:sz w:val="22"/>
          <w:szCs w:val="22"/>
          <w:color w:val="auto"/>
        </w:rPr>
        <w:t>the arrangement is such that may be reasonably approved by an intelligent and honest man of that class acting in respect of his interest; and</w:t>
      </w:r>
    </w:p>
    <w:p>
      <w:pPr>
        <w:spacing w:after="0" w:line="188" w:lineRule="exact"/>
        <w:rPr>
          <w:sz w:val="20"/>
          <w:szCs w:val="20"/>
          <w:color w:val="auto"/>
        </w:rPr>
      </w:pPr>
    </w:p>
    <w:p>
      <w:pPr>
        <w:ind w:left="340" w:right="720" w:firstLine="81"/>
        <w:spacing w:after="0" w:line="250" w:lineRule="auto"/>
        <w:rPr>
          <w:sz w:val="20"/>
          <w:szCs w:val="20"/>
          <w:color w:val="auto"/>
        </w:rPr>
      </w:pPr>
      <w:r>
        <w:rPr>
          <w:rFonts w:ascii="Arial" w:cs="Arial" w:eastAsia="Arial" w:hAnsi="Arial"/>
          <w:sz w:val="22"/>
          <w:szCs w:val="22"/>
          <w:color w:val="auto"/>
        </w:rPr>
        <w:t>the arrangement is not one that would more properly be sanctioned under some other provision of the Companies Law.</w:t>
      </w:r>
    </w:p>
    <w:p>
      <w:pPr>
        <w:spacing w:after="0" w:line="175"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The Companies Law contains a statutory power of compulsory acquisition which may facilitate the “squeeze out” of dissentient minority shareholders upon a tender offer. When a tender offer is made and accepted by holders of 90% of the affected shares within four months, the offeror may, within a two-month period after expiry of such four-month period, require the holders of the remaining shares to transfer such shares to the offeror on the terms of the offer. An objection can be made to the Grand Court of the Cayman Islands but this is unlikely to succeed unless there is evidence of fraud, bad faith or collusion.</w:t>
      </w:r>
    </w:p>
    <w:p>
      <w:pPr>
        <w:spacing w:after="0" w:line="177" w:lineRule="exact"/>
        <w:rPr>
          <w:sz w:val="20"/>
          <w:szCs w:val="20"/>
          <w:color w:val="auto"/>
        </w:rPr>
      </w:pPr>
    </w:p>
    <w:p>
      <w:pPr>
        <w:ind w:right="80" w:firstLine="648"/>
        <w:spacing w:after="0" w:line="252" w:lineRule="auto"/>
        <w:rPr>
          <w:sz w:val="20"/>
          <w:szCs w:val="20"/>
          <w:color w:val="auto"/>
        </w:rPr>
      </w:pPr>
      <w:r>
        <w:rPr>
          <w:rFonts w:ascii="Arial" w:cs="Arial" w:eastAsia="Arial" w:hAnsi="Arial"/>
          <w:sz w:val="21"/>
          <w:szCs w:val="21"/>
          <w:color w:val="auto"/>
        </w:rPr>
        <w:t>If the arrangement and reconstruction by way of a scheme of arrangement is thus approved, or if a tender offer is made and accepted, a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74"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i w:val="1"/>
          <w:iCs w:val="1"/>
          <w:color w:val="auto"/>
        </w:rPr>
        <w:t>Shareholders’ Suits</w:t>
      </w:r>
      <w:r>
        <w:rPr>
          <w:rFonts w:ascii="Arial" w:cs="Arial" w:eastAsia="Arial" w:hAnsi="Arial"/>
          <w:sz w:val="22"/>
          <w:szCs w:val="22"/>
          <w:color w:val="auto"/>
        </w:rPr>
        <w:t>. In principle, we will normally be the proper plaintiff and as a general rule a</w:t>
      </w:r>
      <w:r>
        <w:rPr>
          <w:rFonts w:ascii="Arial" w:cs="Arial" w:eastAsia="Arial" w:hAnsi="Arial"/>
          <w:sz w:val="22"/>
          <w:szCs w:val="22"/>
          <w:i w:val="1"/>
          <w:iCs w:val="1"/>
          <w:color w:val="auto"/>
        </w:rPr>
        <w:t xml:space="preserve"> </w:t>
      </w:r>
      <w:r>
        <w:rPr>
          <w:rFonts w:ascii="Arial" w:cs="Arial" w:eastAsia="Arial" w:hAnsi="Arial"/>
          <w:sz w:val="22"/>
          <w:szCs w:val="22"/>
          <w:color w:val="auto"/>
        </w:rPr>
        <w:t>derivative action may not be brought by a minority shareholder. However, based on English authorities, which would in all likelihood be of persuasive authority in the Cayman Islands, there are exceptions to the foregoing principle, including when: (a) 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193" w:name="page194"/>
    <w:bookmarkEnd w:id="193"/>
    <w:p>
      <w:pPr>
        <w:jc w:val="both"/>
        <w:ind w:right="80"/>
        <w:spacing w:after="0"/>
        <w:rPr>
          <w:sz w:val="20"/>
          <w:szCs w:val="20"/>
          <w:color w:val="auto"/>
        </w:rPr>
      </w:pPr>
      <w:r>
        <w:rPr>
          <w:rFonts w:ascii="Arial" w:cs="Arial" w:eastAsia="Arial" w:hAnsi="Arial"/>
          <w:sz w:val="22"/>
          <w:szCs w:val="22"/>
          <w:color w:val="auto"/>
        </w:rPr>
        <w:t>company acts or proposes to act illegally or ultra vires; (b) the act complained of, although not ultra vires, could only be effected duly if authorized by more than a simple majority vote that has not been obtained; and (c) those who control the company are perpetrating a “fraud on the minority.”</w:t>
      </w:r>
    </w:p>
    <w:p>
      <w:pPr>
        <w:spacing w:after="0" w:line="186"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i w:val="1"/>
          <w:iCs w:val="1"/>
          <w:color w:val="auto"/>
        </w:rPr>
        <w:t>Indemnification</w:t>
      </w:r>
      <w:r>
        <w:rPr>
          <w:rFonts w:ascii="Arial" w:cs="Arial" w:eastAsia="Arial" w:hAnsi="Arial"/>
          <w:sz w:val="19"/>
          <w:szCs w:val="19"/>
          <w:color w:val="auto"/>
        </w:rPr>
        <w:t>. Cayman Islands law does not (other than as set forth hereafter) limit the extent to which</w:t>
      </w:r>
      <w:r>
        <w:rPr>
          <w:rFonts w:ascii="Arial" w:cs="Arial" w:eastAsia="Arial" w:hAnsi="Arial"/>
          <w:sz w:val="19"/>
          <w:szCs w:val="19"/>
          <w:i w:val="1"/>
          <w:iCs w:val="1"/>
          <w:color w:val="auto"/>
        </w:rPr>
        <w:t xml:space="preserve"> </w:t>
      </w:r>
      <w:r>
        <w:rPr>
          <w:rFonts w:ascii="Arial" w:cs="Arial" w:eastAsia="Arial" w:hAnsi="Arial"/>
          <w:sz w:val="19"/>
          <w:szCs w:val="19"/>
          <w:color w:val="auto"/>
        </w:rPr>
        <w:t>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of association provide for indemnification of officers and directors for losses, damages, costs and expenses incurred in their capacities as such, except through their own willful neglect or default.</w:t>
      </w:r>
    </w:p>
    <w:p>
      <w:pPr>
        <w:spacing w:after="0" w:line="150" w:lineRule="exact"/>
        <w:rPr>
          <w:sz w:val="20"/>
          <w:szCs w:val="20"/>
          <w:color w:val="auto"/>
        </w:rPr>
      </w:pPr>
    </w:p>
    <w:p>
      <w:pPr>
        <w:ind w:right="640" w:firstLine="648"/>
        <w:spacing w:after="0" w:line="252" w:lineRule="auto"/>
        <w:rPr>
          <w:sz w:val="20"/>
          <w:szCs w:val="20"/>
          <w:color w:val="auto"/>
        </w:rPr>
      </w:pPr>
      <w:r>
        <w:rPr>
          <w:rFonts w:ascii="Arial" w:cs="Arial" w:eastAsia="Arial" w:hAnsi="Arial"/>
          <w:sz w:val="21"/>
          <w:szCs w:val="21"/>
          <w:color w:val="auto"/>
        </w:rPr>
        <w:t>Insofar as indemnification or liability arising under the Securities Act of 1933 may be permitted to directors, officers or persons controlling the registrant pursuant to the foregoing provisions, we have been informed that in the opinion of the SEC such indemnification is against public policy as expressed in the Securities Act of 1933 and is therefore unenforceable.</w:t>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00"/>
          </w:cols>
          <w:pgMar w:left="980" w:top="334" w:right="111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b w:val="1"/>
          <w:bCs w:val="1"/>
          <w:color w:val="auto"/>
        </w:rPr>
        <w:t>Exhibit 2.5</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American Depositary Shares</w:t>
      </w:r>
    </w:p>
    <w:p>
      <w:pPr>
        <w:spacing w:after="0" w:line="21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The Bank of New York Mellon acts as the depositary bank for our American depositary shares, or ADSs. Each ADS currently represents 25 ordinary shares and will also represent any other securities, cash or other property deposited with the depositary but not distributed to ADS holders. ADSs are normally represented by certificates that are commonly known as American depositary receipts, or ADRs. The depositary bank typically appoints a custodian to safekeep the securities on deposit. In this case, the custodian is the Hong Kong office of The Hongkong and Shanghai Banking Corporation Limited.</w:t>
      </w:r>
    </w:p>
    <w:p>
      <w:pPr>
        <w:spacing w:after="0" w:line="150" w:lineRule="exact"/>
        <w:rPr>
          <w:sz w:val="20"/>
          <w:szCs w:val="20"/>
          <w:color w:val="auto"/>
        </w:rPr>
      </w:pPr>
    </w:p>
    <w:p>
      <w:pPr>
        <w:ind w:right="380" w:firstLine="648"/>
        <w:spacing w:after="0" w:line="328" w:lineRule="auto"/>
        <w:rPr>
          <w:sz w:val="20"/>
          <w:szCs w:val="20"/>
          <w:color w:val="auto"/>
        </w:rPr>
      </w:pPr>
      <w:r>
        <w:rPr>
          <w:rFonts w:ascii="Arial" w:cs="Arial" w:eastAsia="Arial" w:hAnsi="Arial"/>
          <w:sz w:val="19"/>
          <w:szCs w:val="19"/>
          <w:color w:val="auto"/>
        </w:rPr>
        <w:t>The corporate trust office of the depositary is currently located at 101 Barclay Street, New York, New York 10286. The principal office of the custodian is currently located at 1 Queen’s Road Central, Hong Kong.</w:t>
      </w:r>
    </w:p>
    <w:p>
      <w:pPr>
        <w:spacing w:after="0" w:line="105"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deposit agreement and the ADR specify our rights and obligations as well as the rights and obligations of owners of our ADSs and those of the depositary. You may hold ADRs either directly or indirectly through your broker or other financial institution. If you hold ADRs directly, you are an ADR holder. This description assumes you hold your ADRs directly. If you hold the ADRs indirectly, you must rely on the procedures of your broker or other financial institution to assert the rights of ADR holders described in this section. You should consult with your broker or financial institution to find out what those procedures are.</w:t>
      </w:r>
    </w:p>
    <w:p>
      <w:pPr>
        <w:spacing w:after="0" w:line="150" w:lineRule="exact"/>
        <w:rPr>
          <w:sz w:val="20"/>
          <w:szCs w:val="20"/>
          <w:color w:val="auto"/>
        </w:rPr>
      </w:pPr>
    </w:p>
    <w:p>
      <w:pPr>
        <w:ind w:right="260" w:firstLine="648"/>
        <w:spacing w:after="0" w:line="238" w:lineRule="auto"/>
        <w:rPr>
          <w:sz w:val="20"/>
          <w:szCs w:val="20"/>
          <w:color w:val="auto"/>
        </w:rPr>
      </w:pPr>
      <w:r>
        <w:rPr>
          <w:rFonts w:ascii="Arial" w:cs="Arial" w:eastAsia="Arial" w:hAnsi="Arial"/>
          <w:sz w:val="22"/>
          <w:szCs w:val="22"/>
          <w:color w:val="auto"/>
        </w:rPr>
        <w:t>As an ADR holder, you appoint the depositary to act on your behalf in certain circumstances. Although the deposit agreement is governed by New York law, our obligations to the holders of our ordinary shares will continue to be governed by the laws of the Cayman Islands, which may be different from the laws in the United States.</w:t>
      </w:r>
    </w:p>
    <w:p>
      <w:pPr>
        <w:spacing w:after="0" w:line="185"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You should read this summary together with the deposit agreement which has been filed with the Securities and Exchange Commission as exhibit 1 to our registration statement on Form F-6EF (File No. 333-115868) and the form of ADR.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 Withdrawal and Cancellation</w:t>
      </w:r>
    </w:p>
    <w:p>
      <w:pPr>
        <w:spacing w:after="0" w:line="206"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depositary will only issue ADSs in whole numbers. Accordingly, any amount of ordinary shares which is not divisible into 100 (or the then current conversion ratio) cannot be deposited for the issuance of ADSs, unless it is aggregated with other shares which together are divisible by 100 (or the then current conversion ratio).</w:t>
      </w:r>
    </w:p>
    <w:p>
      <w:pPr>
        <w:spacing w:after="0" w:line="134" w:lineRule="exact"/>
        <w:rPr>
          <w:sz w:val="20"/>
          <w:szCs w:val="20"/>
          <w:color w:val="auto"/>
        </w:rPr>
      </w:pPr>
    </w:p>
    <w:p>
      <w:pPr>
        <w:ind w:right="120" w:firstLine="648"/>
        <w:spacing w:after="0" w:line="246" w:lineRule="auto"/>
        <w:rPr>
          <w:sz w:val="20"/>
          <w:szCs w:val="20"/>
          <w:color w:val="auto"/>
        </w:rPr>
      </w:pPr>
      <w:r>
        <w:rPr>
          <w:rFonts w:ascii="Arial" w:cs="Arial" w:eastAsia="Arial" w:hAnsi="Arial"/>
          <w:sz w:val="21"/>
          <w:szCs w:val="21"/>
          <w:color w:val="auto"/>
        </w:rPr>
        <w:t>The depositary will issue ADRs if you or your broker deposit ordinary shares or evidence of rights to receive ordinary shares with the custodian. The issuance of ADSs may be delayed until the depositary or the custodian receives confirmation that all required approvals have been given and that the number of ordinary shares have been duly transferred to the custodian. In addition, our deposit agreement provides that any ordinary shares deposited for inclusion in the ADS program should be accompanied by appropriate instruments of transfer or endorsement, in the form satisfactory to the custodian, together with any certifications as may be reasonably required by the depositary or the custodian. Ordinary shares cannot be deposited unless, upon deposit, the ordinary shares will be free of all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882015</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b w:val="1"/>
          <w:bCs w:val="1"/>
          <w:i w:val="1"/>
          <w:iCs w:val="1"/>
          <w:color w:val="auto"/>
        </w:rPr>
        <w:t>Share Dividends and Other Distributions</w:t>
      </w:r>
    </w:p>
    <w:p>
      <w:pPr>
        <w:spacing w:after="0" w:line="206" w:lineRule="exact"/>
        <w:rPr>
          <w:sz w:val="20"/>
          <w:szCs w:val="20"/>
          <w:color w:val="auto"/>
        </w:rPr>
      </w:pPr>
    </w:p>
    <w:p>
      <w:pPr>
        <w:ind w:right="540" w:firstLine="648"/>
        <w:spacing w:after="0" w:line="257" w:lineRule="auto"/>
        <w:rPr>
          <w:sz w:val="20"/>
          <w:szCs w:val="20"/>
          <w:color w:val="auto"/>
        </w:rPr>
      </w:pPr>
      <w:r>
        <w:rPr>
          <w:rFonts w:ascii="Arial" w:cs="Arial" w:eastAsia="Arial" w:hAnsi="Arial"/>
          <w:sz w:val="21"/>
          <w:szCs w:val="21"/>
          <w:color w:val="auto"/>
        </w:rPr>
        <w:t>The depositary has agreed to pay to you the cash dividends or other distributions it or the custodian receives on shares or other deposited securities after deducting its fees and expenses. You will receive these distributions in proportion to the number of shares your ADRs represent.</w:t>
      </w:r>
    </w:p>
    <w:p>
      <w:pPr>
        <w:spacing w:after="0" w:line="169"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i w:val="1"/>
          <w:iCs w:val="1"/>
          <w:color w:val="auto"/>
        </w:rPr>
        <w:t>Cash</w:t>
      </w:r>
      <w:r>
        <w:rPr>
          <w:rFonts w:ascii="Arial" w:cs="Arial" w:eastAsia="Arial" w:hAnsi="Arial"/>
          <w:sz w:val="19"/>
          <w:szCs w:val="19"/>
          <w:color w:val="auto"/>
        </w:rPr>
        <w:t>. The depositary will promptly convert any cash dividend or other cash distribution we pay on the</w:t>
      </w:r>
      <w:r>
        <w:rPr>
          <w:rFonts w:ascii="Arial" w:cs="Arial" w:eastAsia="Arial" w:hAnsi="Arial"/>
          <w:sz w:val="19"/>
          <w:szCs w:val="19"/>
          <w:i w:val="1"/>
          <w:iCs w:val="1"/>
          <w:color w:val="auto"/>
        </w:rPr>
        <w:t xml:space="preserve"> </w:t>
      </w:r>
      <w:r>
        <w:rPr>
          <w:rFonts w:ascii="Arial" w:cs="Arial" w:eastAsia="Arial" w:hAnsi="Arial"/>
          <w:sz w:val="19"/>
          <w:szCs w:val="19"/>
          <w:color w:val="auto"/>
        </w:rPr>
        <w:t>shares into U.S. dollars, if it can do so on a reasonable basis and can transfer the U.S. dollars to the United States. If such conversion or distribution can be effected only with the approval or license of any government or agency thereof, the depositary shall file such application for approval or license, if any. If such conversion is not possible on a reasonable basis or any approval or license of any government or agency is needed and cannot be obtained, the deposit agreement allows the depositary to distribute Renminbi only to those ADR holders to whom it is possible to do so. It will hold Renminbi it cannot convert for the account of the ADR holders who have not been paid. It will not invest Renminbi and it will not be liable for interest.</w:t>
      </w:r>
    </w:p>
    <w:p>
      <w:pPr>
        <w:spacing w:after="0" w:line="157" w:lineRule="exact"/>
        <w:rPr>
          <w:sz w:val="20"/>
          <w:szCs w:val="20"/>
          <w:color w:val="auto"/>
        </w:rPr>
      </w:pPr>
    </w:p>
    <w:p>
      <w:pPr>
        <w:ind w:right="180" w:firstLine="648"/>
        <w:spacing w:after="0" w:line="238" w:lineRule="auto"/>
        <w:rPr>
          <w:sz w:val="20"/>
          <w:szCs w:val="20"/>
          <w:color w:val="auto"/>
        </w:rPr>
      </w:pPr>
      <w:r>
        <w:rPr>
          <w:rFonts w:ascii="Arial" w:cs="Arial" w:eastAsia="Arial" w:hAnsi="Arial"/>
          <w:sz w:val="22"/>
          <w:szCs w:val="22"/>
          <w:color w:val="auto"/>
        </w:rPr>
        <w:t>Before making a distribution, any withholding taxes that must be paid under United States law will be deducted. The depositary will distribute only whole U.S. dollars and cents and will round fractional cents to the nearest whole cent. If the exchange rates fluctuate during a time when the depositary cannot convert the Renminbi, you may lose some or all of the value of the distribution.</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i w:val="1"/>
          <w:iCs w:val="1"/>
          <w:color w:val="auto"/>
        </w:rPr>
        <w:t>Shares</w:t>
      </w:r>
      <w:r>
        <w:rPr>
          <w:rFonts w:ascii="Arial" w:cs="Arial" w:eastAsia="Arial" w:hAnsi="Arial"/>
          <w:sz w:val="22"/>
          <w:szCs w:val="22"/>
          <w:color w:val="auto"/>
        </w:rPr>
        <w:t>. The depositary may distribute new ADRs representing any shares we may distribute as a dividend</w:t>
      </w:r>
      <w:r>
        <w:rPr>
          <w:rFonts w:ascii="Arial" w:cs="Arial" w:eastAsia="Arial" w:hAnsi="Arial"/>
          <w:sz w:val="22"/>
          <w:szCs w:val="22"/>
          <w:i w:val="1"/>
          <w:iCs w:val="1"/>
          <w:color w:val="auto"/>
        </w:rPr>
        <w:t xml:space="preserve"> </w:t>
      </w:r>
      <w:r>
        <w:rPr>
          <w:rFonts w:ascii="Arial" w:cs="Arial" w:eastAsia="Arial" w:hAnsi="Arial"/>
          <w:sz w:val="22"/>
          <w:szCs w:val="22"/>
          <w:color w:val="auto"/>
        </w:rPr>
        <w:t>or free distribution, if we furnish it promptly with satisfactory evidence that it is legal to do so. The depositary will only distribute whole ADRs. It will sell shares which would require it to issue a fractional ADR and distribute the net proceeds in the same way as it does with cash. If the depositary does not distribute additional ADRs, each ADR will also represent the new shares.</w:t>
      </w:r>
    </w:p>
    <w:p>
      <w:pPr>
        <w:spacing w:after="0" w:line="187"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i w:val="1"/>
          <w:iCs w:val="1"/>
          <w:color w:val="auto"/>
        </w:rPr>
        <w:t>Rights to Receive Additional Shares</w:t>
      </w:r>
      <w:r>
        <w:rPr>
          <w:rFonts w:ascii="Arial" w:cs="Arial" w:eastAsia="Arial" w:hAnsi="Arial"/>
          <w:sz w:val="19"/>
          <w:szCs w:val="19"/>
          <w:color w:val="auto"/>
        </w:rPr>
        <w:t>. If we offer holders of our ordinary shares any rights to subscribe for</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shares or any other rights, the depositary may make these rights available to you. We must first instruct the depositary to do so and furnish it with satisfactory evidence that it is legal to do so. If we do not furnish this evidence and/or give these instructions, and the depositary decides it is practical to sell the rights, the depositary will sell the rights and distribute the proceeds, in the same way as it does with cash. The depositary may allow rights that are not distributed or sold to lapse. In that case, you will receive no value for them.</w:t>
      </w:r>
    </w:p>
    <w:p>
      <w:pPr>
        <w:spacing w:after="0" w:line="150"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If the depositary makes rights available to you, it will exercise the rights and purchase the shares on your behalf. The depositary will then deposit the shares and issue ADRs to you. It will only exercise rights if you pay it the exercise price and any other charges the rights require you to pay.</w:t>
      </w:r>
    </w:p>
    <w:p>
      <w:pPr>
        <w:spacing w:after="0" w:line="18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U.S. securities laws may restrict the sale, deposit, cancellation and transfer of the ADRs issued after exercise of rights. For example, you may not be able to trade the ADRs freely in the United States. In this case, the depositary may issue the ADRs under a separate restricted deposit agreement which will contain the same provisions as the deposit agreement, except for the changes needed to put the restrictions in place.</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34" w:right="1039" w:bottom="1440" w:gutter="0" w:footer="0" w:header="0"/>
        </w:sectPr>
      </w:pPr>
    </w:p>
    <w:bookmarkStart w:id="196" w:name="page197"/>
    <w:bookmarkEnd w:id="196"/>
    <w:p>
      <w:pPr>
        <w:ind w:firstLine="648"/>
        <w:spacing w:after="0" w:line="236" w:lineRule="auto"/>
        <w:rPr>
          <w:sz w:val="20"/>
          <w:szCs w:val="20"/>
          <w:color w:val="auto"/>
        </w:rPr>
      </w:pPr>
      <w:r>
        <w:rPr>
          <w:rFonts w:ascii="Arial" w:cs="Arial" w:eastAsia="Arial" w:hAnsi="Arial"/>
          <w:sz w:val="22"/>
          <w:szCs w:val="22"/>
          <w:i w:val="1"/>
          <w:iCs w:val="1"/>
          <w:color w:val="auto"/>
        </w:rPr>
        <w:t>Other Distributions</w:t>
      </w:r>
      <w:r>
        <w:rPr>
          <w:rFonts w:ascii="Arial" w:cs="Arial" w:eastAsia="Arial" w:hAnsi="Arial"/>
          <w:sz w:val="22"/>
          <w:szCs w:val="22"/>
          <w:color w:val="auto"/>
        </w:rPr>
        <w:t>. The depositary will send to you anything else we distribute on deposited securities by</w:t>
      </w:r>
      <w:r>
        <w:rPr>
          <w:rFonts w:ascii="Arial" w:cs="Arial" w:eastAsia="Arial" w:hAnsi="Arial"/>
          <w:sz w:val="22"/>
          <w:szCs w:val="22"/>
          <w:i w:val="1"/>
          <w:iCs w:val="1"/>
          <w:color w:val="auto"/>
        </w:rPr>
        <w:t xml:space="preserve"> </w:t>
      </w:r>
      <w:r>
        <w:rPr>
          <w:rFonts w:ascii="Arial" w:cs="Arial" w:eastAsia="Arial" w:hAnsi="Arial"/>
          <w:sz w:val="22"/>
          <w:szCs w:val="22"/>
          <w:color w:val="auto"/>
        </w:rPr>
        <w:t>means it thinks are legal and practical. If it cannot make the distribution in that way, the depositary has a choice. It may decide to sell what we distributed and distribute the net proceeds in the same way as it does with cash or it may decide to hold what we distributed, in which case the ADRs will also represent the newly distributed property.</w:t>
      </w:r>
    </w:p>
    <w:p>
      <w:pPr>
        <w:spacing w:after="0" w:line="187"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The depositary is not responsible if it decides that it is unlawful or impractical to make a distribution available to any ADR holders. We have no obligation to register ADRs, shares, rights or other securities under the Securities Act of 1933. We also have no obligation to take any other action to permit the distribution of ADRs, shares, rights, or anything else to ADR holders. This means that you may not receive the distribution we make on our shares or any value for them if it is illegal or impractical for us to make them available to you.</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20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You may instruct the depositary to vote the shares underlying your ADRs but only if we ask the depositary to ask for your instructions. Otherwise, you will not be able to exercise your right to vote unless you withdraw the shares. However, you may not know about the meeting enough in advance to withdraw the shares.</w:t>
      </w:r>
    </w:p>
    <w:p>
      <w:pPr>
        <w:spacing w:after="0" w:line="134"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If we ask for your instructions, the depositary will notify you of the upcoming vote and arrange to deliver our voting materials to you. The materials will:</w:t>
      </w:r>
    </w:p>
    <w:p>
      <w:pPr>
        <w:spacing w:after="0" w:line="175" w:lineRule="exact"/>
        <w:rPr>
          <w:sz w:val="20"/>
          <w:szCs w:val="20"/>
          <w:color w:val="auto"/>
        </w:rPr>
      </w:pPr>
    </w:p>
    <w:p>
      <w:pPr>
        <w:ind w:left="1660" w:hanging="900"/>
        <w:spacing w:after="0"/>
        <w:tabs>
          <w:tab w:leader="none" w:pos="16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describe the matters to be voted on; and</w:t>
      </w:r>
    </w:p>
    <w:p>
      <w:pPr>
        <w:spacing w:after="0" w:line="8" w:lineRule="exact"/>
        <w:rPr>
          <w:rFonts w:ascii="Arial" w:cs="Arial" w:eastAsia="Arial" w:hAnsi="Arial"/>
          <w:sz w:val="22"/>
          <w:szCs w:val="22"/>
          <w:color w:val="auto"/>
        </w:rPr>
      </w:pPr>
    </w:p>
    <w:p>
      <w:pPr>
        <w:ind w:left="1660" w:right="200" w:hanging="895"/>
        <w:spacing w:after="0" w:line="232" w:lineRule="auto"/>
        <w:tabs>
          <w:tab w:leader="none" w:pos="1655" w:val="left"/>
        </w:tabs>
        <w:numPr>
          <w:ilvl w:val="0"/>
          <w:numId w:val="119"/>
        </w:numPr>
        <w:rPr>
          <w:rFonts w:ascii="Arial" w:cs="Arial" w:eastAsia="Arial" w:hAnsi="Arial"/>
          <w:sz w:val="22"/>
          <w:szCs w:val="22"/>
          <w:color w:val="auto"/>
        </w:rPr>
      </w:pPr>
      <w:r>
        <w:rPr>
          <w:rFonts w:ascii="Arial" w:cs="Arial" w:eastAsia="Arial" w:hAnsi="Arial"/>
          <w:sz w:val="22"/>
          <w:szCs w:val="22"/>
          <w:color w:val="auto"/>
        </w:rPr>
        <w:t>explain how you, on a specified date, may instruct the depositary to vote the shares or other deposited securities underlying your ADRs as you direct. For instructions to be valid, the depositary must receive them on or before the date specified. The depositary will try, in compliance with Cayman Islands law or Hong Kong law and the provisions of our memorandum and articles of association, to vote or to have its agents vote the shares or other deposited securities as you instruct. The depositary will only vote or attempt to vote as you instruct.</w:t>
      </w:r>
    </w:p>
    <w:p>
      <w:pPr>
        <w:spacing w:after="0" w:line="187"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If the depositary does not receive voting instructions from you by the specified date, it will consider you to have authorized us to vote the number of deposited securities represented by your ADSs. The depositary will give us a discretionary proxy in those circumstances to vote on all questions to be voted upon unless we notify the depositary that:</w:t>
      </w:r>
    </w:p>
    <w:p>
      <w:pPr>
        <w:spacing w:after="0" w:line="185" w:lineRule="exact"/>
        <w:rPr>
          <w:sz w:val="20"/>
          <w:szCs w:val="20"/>
          <w:color w:val="auto"/>
        </w:rPr>
      </w:pPr>
    </w:p>
    <w:p>
      <w:pPr>
        <w:ind w:left="1660" w:hanging="900"/>
        <w:spacing w:after="0"/>
        <w:tabs>
          <w:tab w:leader="none" w:pos="1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we do not wish to receive a discretionary proxy;</w:t>
      </w:r>
    </w:p>
    <w:p>
      <w:pPr>
        <w:spacing w:after="0" w:line="8" w:lineRule="exact"/>
        <w:rPr>
          <w:rFonts w:ascii="Arial" w:cs="Arial" w:eastAsia="Arial" w:hAnsi="Arial"/>
          <w:sz w:val="22"/>
          <w:szCs w:val="22"/>
          <w:color w:val="auto"/>
        </w:rPr>
      </w:pPr>
    </w:p>
    <w:p>
      <w:pPr>
        <w:ind w:left="1660" w:hanging="900"/>
        <w:spacing w:after="0" w:line="230" w:lineRule="auto"/>
        <w:tabs>
          <w:tab w:leader="none" w:pos="166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we think there is substantial shareholder opposition to the particular question; or</w:t>
      </w:r>
    </w:p>
    <w:p>
      <w:pPr>
        <w:ind w:left="1660" w:hanging="895"/>
        <w:spacing w:after="0"/>
        <w:tabs>
          <w:tab w:leader="none" w:pos="16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we think the particular question would have a material adverse impact on our shareholders.</w:t>
      </w:r>
    </w:p>
    <w:p>
      <w:pPr>
        <w:spacing w:after="0" w:line="223"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We cannot assure you that you will receive the voting materials in time to ensure that you can instruct the depositary to vote your shares. In addition, the depositary and its agents are not responsible for failing to carry out voting instructions or for the manner of carrying</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197" w:name="page198"/>
    <w:bookmarkEnd w:id="197"/>
    <w:p>
      <w:pPr>
        <w:ind w:right="560"/>
        <w:spacing w:after="0" w:line="250" w:lineRule="auto"/>
        <w:rPr>
          <w:sz w:val="20"/>
          <w:szCs w:val="20"/>
          <w:color w:val="auto"/>
        </w:rPr>
      </w:pPr>
      <w:r>
        <w:rPr>
          <w:rFonts w:ascii="Arial" w:cs="Arial" w:eastAsia="Arial" w:hAnsi="Arial"/>
          <w:sz w:val="22"/>
          <w:szCs w:val="22"/>
          <w:color w:val="auto"/>
        </w:rPr>
        <w:t>out voting instructions. This means that you may not be able to exercise your right to vote and there may be nothing you can do if your shares are not voted as you requested.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Fees and Expenses</w:t>
      </w:r>
    </w:p>
    <w:p>
      <w:pPr>
        <w:spacing w:after="0" w:line="206"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refuse to provide fee-attracting services until its fees for those services are paid.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40" w:type="dxa"/>
            <w:vAlign w:val="bottom"/>
          </w:tcPr>
          <w:p>
            <w:pPr>
              <w:spacing w:after="0"/>
              <w:rPr>
                <w:sz w:val="20"/>
                <w:szCs w:val="20"/>
                <w:color w:val="auto"/>
              </w:rPr>
            </w:pPr>
            <w:r>
              <w:rPr>
                <w:rFonts w:ascii="Arial" w:cs="Arial" w:eastAsia="Arial" w:hAnsi="Arial"/>
                <w:sz w:val="22"/>
                <w:szCs w:val="22"/>
                <w:b w:val="1"/>
                <w:bCs w:val="1"/>
                <w:color w:val="auto"/>
                <w:w w:val="91"/>
              </w:rPr>
              <w:t>Persons depositing or withdrawing shares must</w:t>
            </w:r>
          </w:p>
        </w:tc>
        <w:tc>
          <w:tcPr>
            <w:tcW w:w="600" w:type="dxa"/>
            <w:vAlign w:val="bottom"/>
          </w:tcPr>
          <w:p>
            <w:pPr>
              <w:spacing w:after="0"/>
              <w:rPr>
                <w:sz w:val="21"/>
                <w:szCs w:val="21"/>
                <w:color w:val="auto"/>
              </w:rPr>
            </w:pPr>
          </w:p>
        </w:tc>
        <w:tc>
          <w:tcPr>
            <w:tcW w:w="4680" w:type="dxa"/>
            <w:vAlign w:val="bottom"/>
          </w:tcPr>
          <w:p>
            <w:pPr>
              <w:spacing w:after="0"/>
              <w:rPr>
                <w:sz w:val="21"/>
                <w:szCs w:val="2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22"/>
                <w:szCs w:val="22"/>
                <w:b w:val="1"/>
                <w:bCs w:val="1"/>
                <w:color w:val="auto"/>
              </w:rPr>
              <w:t>pay:</w:t>
            </w:r>
          </w:p>
        </w:tc>
        <w:tc>
          <w:tcPr>
            <w:tcW w:w="5280" w:type="dxa"/>
            <w:vAlign w:val="bottom"/>
            <w:gridSpan w:val="2"/>
          </w:tcPr>
          <w:p>
            <w:pPr>
              <w:ind w:left="600"/>
              <w:spacing w:after="0"/>
              <w:rPr>
                <w:sz w:val="20"/>
                <w:szCs w:val="20"/>
                <w:color w:val="auto"/>
              </w:rPr>
            </w:pPr>
            <w:r>
              <w:rPr>
                <w:rFonts w:ascii="Arial" w:cs="Arial" w:eastAsia="Arial" w:hAnsi="Arial"/>
                <w:sz w:val="22"/>
                <w:szCs w:val="22"/>
                <w:b w:val="1"/>
                <w:bCs w:val="1"/>
                <w:color w:val="auto"/>
              </w:rPr>
              <w:t>For:</w:t>
            </w:r>
          </w:p>
        </w:tc>
      </w:tr>
      <w:tr>
        <w:trPr>
          <w:trHeight w:val="350"/>
        </w:trPr>
        <w:tc>
          <w:tcPr>
            <w:tcW w:w="46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Up to US$0.05 per ADS</w:t>
            </w:r>
          </w:p>
        </w:tc>
        <w:tc>
          <w:tcPr>
            <w:tcW w:w="600" w:type="dxa"/>
            <w:vAlign w:val="bottom"/>
          </w:tcPr>
          <w:p>
            <w:pPr>
              <w:spacing w:after="0"/>
              <w:rPr>
                <w:sz w:val="24"/>
                <w:szCs w:val="24"/>
                <w:color w:val="auto"/>
              </w:rPr>
            </w:pPr>
          </w:p>
        </w:tc>
        <w:tc>
          <w:tcPr>
            <w:tcW w:w="46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88"/>
              </w:rPr>
              <w:t>Issuance of ADSs, including issuances</w:t>
            </w:r>
          </w:p>
        </w:tc>
      </w:tr>
      <w:tr>
        <w:trPr>
          <w:trHeight w:val="243"/>
        </w:trPr>
        <w:tc>
          <w:tcPr>
            <w:tcW w:w="4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80" w:type="dxa"/>
            <w:vAlign w:val="bottom"/>
          </w:tcPr>
          <w:p>
            <w:pPr>
              <w:ind w:left="580"/>
              <w:spacing w:after="0" w:line="243" w:lineRule="exact"/>
              <w:rPr>
                <w:sz w:val="20"/>
                <w:szCs w:val="20"/>
                <w:color w:val="auto"/>
              </w:rPr>
            </w:pPr>
            <w:r>
              <w:rPr>
                <w:rFonts w:ascii="Arial" w:cs="Arial" w:eastAsia="Arial" w:hAnsi="Arial"/>
                <w:sz w:val="22"/>
                <w:szCs w:val="22"/>
                <w:color w:val="auto"/>
                <w:w w:val="91"/>
              </w:rPr>
              <w:t>resulting from a distribution of ordinary shares</w:t>
            </w:r>
          </w:p>
        </w:tc>
      </w:tr>
      <w:tr>
        <w:trPr>
          <w:trHeight w:val="274"/>
        </w:trPr>
        <w:tc>
          <w:tcPr>
            <w:tcW w:w="46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80" w:type="dxa"/>
            <w:vAlign w:val="bottom"/>
          </w:tcPr>
          <w:p>
            <w:pPr>
              <w:ind w:left="580"/>
              <w:spacing w:after="0"/>
              <w:rPr>
                <w:sz w:val="20"/>
                <w:szCs w:val="20"/>
                <w:color w:val="auto"/>
              </w:rPr>
            </w:pPr>
            <w:r>
              <w:rPr>
                <w:rFonts w:ascii="Arial" w:cs="Arial" w:eastAsia="Arial" w:hAnsi="Arial"/>
                <w:sz w:val="22"/>
                <w:szCs w:val="22"/>
                <w:color w:val="auto"/>
              </w:rPr>
              <w:t>or rights or other property</w:t>
            </w:r>
          </w:p>
        </w:tc>
      </w:tr>
      <w:tr>
        <w:trPr>
          <w:trHeight w:val="392"/>
        </w:trPr>
        <w:tc>
          <w:tcPr>
            <w:tcW w:w="4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jc w:val="center"/>
              <w:spacing w:after="0"/>
              <w:rPr>
                <w:sz w:val="20"/>
                <w:szCs w:val="20"/>
                <w:color w:val="auto"/>
              </w:rPr>
            </w:pPr>
            <w:r>
              <w:rPr>
                <w:rFonts w:ascii="Arial" w:cs="Arial" w:eastAsia="Arial" w:hAnsi="Arial"/>
                <w:sz w:val="22"/>
                <w:szCs w:val="22"/>
                <w:color w:val="auto"/>
                <w:w w:val="91"/>
              </w:rPr>
              <w:t>Cancellation or withdrawals of ADSs</w:t>
            </w:r>
          </w:p>
        </w:tc>
      </w:tr>
    </w:tbl>
    <w:p>
      <w:pPr>
        <w:spacing w:after="0" w:line="117" w:lineRule="exact"/>
        <w:rPr>
          <w:sz w:val="20"/>
          <w:szCs w:val="20"/>
          <w:color w:val="auto"/>
        </w:rPr>
      </w:pPr>
    </w:p>
    <w:p>
      <w:pPr>
        <w:sectPr>
          <w:pgSz w:w="11900" w:h="16838" w:orient="portrait"/>
          <w:cols w:equalWidth="0" w:num="1">
            <w:col w:w="9920"/>
          </w:cols>
          <w:pgMar w:left="980" w:top="334"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Arial" w:cs="Arial" w:eastAsia="Arial" w:hAnsi="Arial"/>
          <w:sz w:val="22"/>
          <w:szCs w:val="22"/>
          <w:color w:val="auto"/>
        </w:rPr>
        <w:t>Up to US$0.01 per ADS</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22"/>
          <w:szCs w:val="22"/>
          <w:color w:val="auto"/>
        </w:rPr>
        <w:t>US$1.50 per certificate presented for transfer</w:t>
      </w:r>
    </w:p>
    <w:p>
      <w:pPr>
        <w:spacing w:after="0" w:line="382"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Taxes and other governmental charges the depositary or the custodian have to pay on any ADS or ordinary shares underlying an ADS, for example, stock transfer taxes, stamp duty or withholding taxes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Payment of Taxes</w:t>
      </w:r>
    </w:p>
    <w:p>
      <w:pPr>
        <w:spacing w:after="0" w:line="20" w:lineRule="exact"/>
        <w:rPr>
          <w:sz w:val="20"/>
          <w:szCs w:val="20"/>
          <w:color w:val="auto"/>
        </w:rPr>
      </w:pPr>
      <w:r>
        <w:rPr>
          <w:sz w:val="20"/>
          <w:szCs w:val="20"/>
          <w:color w:val="auto"/>
        </w:rPr>
        <w:br w:type="column"/>
      </w:r>
    </w:p>
    <w:p>
      <w:pPr>
        <w:ind w:right="180" w:firstLine="50"/>
        <w:spacing w:after="0"/>
        <w:rPr>
          <w:sz w:val="20"/>
          <w:szCs w:val="20"/>
          <w:color w:val="auto"/>
        </w:rPr>
      </w:pPr>
      <w:r>
        <w:rPr>
          <w:rFonts w:ascii="Arial" w:cs="Arial" w:eastAsia="Arial" w:hAnsi="Arial"/>
          <w:sz w:val="22"/>
          <w:szCs w:val="22"/>
          <w:color w:val="auto"/>
        </w:rPr>
        <w:t>Distribution of ADSs pursuant to stock dividends, free stock distributions or exercise of rights</w:t>
      </w:r>
    </w:p>
    <w:p>
      <w:pPr>
        <w:spacing w:after="0" w:line="119" w:lineRule="exact"/>
        <w:rPr>
          <w:sz w:val="20"/>
          <w:szCs w:val="20"/>
          <w:color w:val="auto"/>
        </w:rPr>
      </w:pPr>
    </w:p>
    <w:p>
      <w:pPr>
        <w:ind w:right="80" w:firstLine="50"/>
        <w:spacing w:after="0" w:line="274" w:lineRule="auto"/>
        <w:rPr>
          <w:sz w:val="20"/>
          <w:szCs w:val="20"/>
          <w:color w:val="auto"/>
        </w:rPr>
      </w:pPr>
      <w:r>
        <w:rPr>
          <w:rFonts w:ascii="Arial" w:cs="Arial" w:eastAsia="Arial" w:hAnsi="Arial"/>
          <w:sz w:val="21"/>
          <w:szCs w:val="21"/>
          <w:color w:val="auto"/>
        </w:rPr>
        <w:t>Distributions of securities other than ADSs or rights to purchase additional ADSs</w:t>
      </w:r>
    </w:p>
    <w:p>
      <w:pPr>
        <w:spacing w:after="0" w:line="83" w:lineRule="exact"/>
        <w:rPr>
          <w:sz w:val="20"/>
          <w:szCs w:val="20"/>
          <w:color w:val="auto"/>
        </w:rPr>
      </w:pPr>
    </w:p>
    <w:p>
      <w:pPr>
        <w:ind w:right="180" w:firstLine="50"/>
        <w:spacing w:after="0" w:line="250" w:lineRule="auto"/>
        <w:rPr>
          <w:sz w:val="20"/>
          <w:szCs w:val="20"/>
          <w:color w:val="auto"/>
        </w:rPr>
      </w:pPr>
      <w:r>
        <w:rPr>
          <w:rFonts w:ascii="Arial" w:cs="Arial" w:eastAsia="Arial" w:hAnsi="Arial"/>
          <w:sz w:val="22"/>
          <w:szCs w:val="22"/>
          <w:color w:val="auto"/>
        </w:rPr>
        <w:t>Distributions of cash dividends or other cash distributions</w:t>
      </w:r>
    </w:p>
    <w:p>
      <w:pPr>
        <w:spacing w:after="0" w:line="107" w:lineRule="exact"/>
        <w:rPr>
          <w:sz w:val="20"/>
          <w:szCs w:val="20"/>
          <w:color w:val="auto"/>
        </w:rPr>
      </w:pPr>
    </w:p>
    <w:p>
      <w:pPr>
        <w:ind w:right="220" w:firstLine="46"/>
        <w:spacing w:after="0" w:line="250" w:lineRule="auto"/>
        <w:rPr>
          <w:sz w:val="20"/>
          <w:szCs w:val="20"/>
          <w:color w:val="auto"/>
        </w:rPr>
      </w:pPr>
      <w:r>
        <w:rPr>
          <w:rFonts w:ascii="Arial" w:cs="Arial" w:eastAsia="Arial" w:hAnsi="Arial"/>
          <w:sz w:val="22"/>
          <w:szCs w:val="22"/>
          <w:color w:val="auto"/>
        </w:rPr>
        <w:t>Transfer of American depositary receipts, or ADRs</w:t>
      </w:r>
    </w:p>
    <w:p>
      <w:pPr>
        <w:spacing w:after="0" w:line="107" w:lineRule="exact"/>
        <w:rPr>
          <w:sz w:val="20"/>
          <w:szCs w:val="20"/>
          <w:color w:val="auto"/>
        </w:rPr>
      </w:pPr>
    </w:p>
    <w:p>
      <w:pPr>
        <w:ind w:left="40"/>
        <w:spacing w:after="0"/>
        <w:rPr>
          <w:sz w:val="20"/>
          <w:szCs w:val="20"/>
          <w:color w:val="auto"/>
        </w:rPr>
      </w:pPr>
      <w:r>
        <w:rPr>
          <w:rFonts w:ascii="Arial" w:cs="Arial" w:eastAsia="Arial" w:hAnsi="Arial"/>
          <w:sz w:val="22"/>
          <w:szCs w:val="22"/>
          <w:color w:val="auto"/>
        </w:rPr>
        <w:t>As necessary</w:t>
      </w:r>
    </w:p>
    <w:p>
      <w:pPr>
        <w:spacing w:after="0" w:line="1374" w:lineRule="exact"/>
        <w:rPr>
          <w:sz w:val="20"/>
          <w:szCs w:val="20"/>
          <w:color w:val="auto"/>
        </w:rPr>
      </w:pPr>
    </w:p>
    <w:p>
      <w:pPr>
        <w:sectPr>
          <w:pgSz w:w="11900" w:h="16838" w:orient="portrait"/>
          <w:cols w:equalWidth="0" w:num="2">
            <w:col w:w="5100" w:space="720"/>
            <w:col w:w="4100"/>
          </w:cols>
          <w:pgMar w:left="980" w:top="334" w:right="999" w:bottom="1440" w:gutter="0" w:footer="0" w:header="0"/>
          <w:type w:val="continuous"/>
        </w:sectPr>
      </w:pPr>
    </w:p>
    <w:p>
      <w:pPr>
        <w:spacing w:after="0" w:line="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You will be responsible for any taxes or other governmental charges payable on your ADRs or on the deposited securities underlying your ADRs. The depositary may refuse to transfer your ADRs or allow you to withdraw the deposited securities underlying your ADRs until such taxes or other charges are paid. It may apply payments owed to you or sell deposited securities underlying your ADRs to pay any taxes owed and you will remain liable for any deficiency. If it sells deposited securities, it will, if appropriate, reduce the number of</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type w:val="continuous"/>
        </w:sectPr>
      </w:pPr>
    </w:p>
    <w:bookmarkStart w:id="198" w:name="page199"/>
    <w:bookmarkEnd w:id="198"/>
    <w:p>
      <w:pPr>
        <w:ind w:right="100"/>
        <w:spacing w:after="0" w:line="250" w:lineRule="auto"/>
        <w:rPr>
          <w:sz w:val="20"/>
          <w:szCs w:val="20"/>
          <w:color w:val="auto"/>
        </w:rPr>
      </w:pPr>
      <w:r>
        <w:rPr>
          <w:rFonts w:ascii="Arial" w:cs="Arial" w:eastAsia="Arial" w:hAnsi="Arial"/>
          <w:sz w:val="22"/>
          <w:szCs w:val="22"/>
          <w:color w:val="auto"/>
        </w:rPr>
        <w:t>ADRs to reflect the sale and pay to you any proceeds, or send to you any property, remaining after it has paid the taxes.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Fees and Other Payments Made by the Depositary to Us</w:t>
      </w:r>
    </w:p>
    <w:p>
      <w:pPr>
        <w:spacing w:after="0" w:line="20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color w:val="auto"/>
        </w:rPr>
        <w:t>From time to time, the depositary may make payments to us to reimburse and/or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Reclassifications, Recapitalizations and Mergers</w:t>
      </w:r>
    </w:p>
    <w:p>
      <w:pPr>
        <w:spacing w:after="0" w:line="200" w:lineRule="exact"/>
        <w:rPr>
          <w:sz w:val="20"/>
          <w:szCs w:val="20"/>
          <w:color w:val="auto"/>
        </w:rPr>
      </w:pPr>
    </w:p>
    <w:p>
      <w:pPr>
        <w:spacing w:after="0"/>
        <w:tabs>
          <w:tab w:leader="none" w:pos="5300" w:val="left"/>
        </w:tabs>
        <w:rPr>
          <w:sz w:val="20"/>
          <w:szCs w:val="20"/>
          <w:color w:val="auto"/>
        </w:rPr>
      </w:pPr>
      <w:r>
        <w:rPr>
          <w:rFonts w:ascii="Arial" w:cs="Arial" w:eastAsia="Arial" w:hAnsi="Arial"/>
          <w:sz w:val="22"/>
          <w:szCs w:val="22"/>
          <w:b w:val="1"/>
          <w:bCs w:val="1"/>
          <w:color w:val="auto"/>
        </w:rPr>
        <w:t>If we:</w:t>
      </w:r>
      <w:r>
        <w:rPr>
          <w:sz w:val="20"/>
          <w:szCs w:val="20"/>
          <w:color w:val="auto"/>
        </w:rPr>
        <w:tab/>
      </w:r>
      <w:r>
        <w:rPr>
          <w:rFonts w:ascii="Arial" w:cs="Arial" w:eastAsia="Arial" w:hAnsi="Arial"/>
          <w:sz w:val="19"/>
          <w:szCs w:val="19"/>
          <w:b w:val="1"/>
          <w:bCs w:val="1"/>
          <w:color w:val="auto"/>
        </w:rPr>
        <w:t>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9880"/>
          </w:cols>
          <w:pgMar w:left="980" w:top="334" w:right="1039" w:bottom="1440" w:gutter="0" w:footer="0" w:header="0"/>
        </w:sectPr>
      </w:pPr>
    </w:p>
    <w:p>
      <w:pPr>
        <w:spacing w:after="0" w:line="118" w:lineRule="exact"/>
        <w:rPr>
          <w:sz w:val="20"/>
          <w:szCs w:val="20"/>
          <w:color w:val="auto"/>
        </w:rPr>
      </w:pPr>
    </w:p>
    <w:p>
      <w:pPr>
        <w:ind w:left="600" w:right="500" w:firstLine="103"/>
        <w:spacing w:after="0" w:line="245" w:lineRule="auto"/>
        <w:rPr>
          <w:sz w:val="20"/>
          <w:szCs w:val="20"/>
          <w:color w:val="auto"/>
        </w:rPr>
      </w:pPr>
      <w:r>
        <w:rPr>
          <w:rFonts w:ascii="Arial" w:cs="Arial" w:eastAsia="Arial" w:hAnsi="Arial"/>
          <w:sz w:val="22"/>
          <w:szCs w:val="22"/>
          <w:color w:val="auto"/>
        </w:rPr>
        <w:t>Change the nominal or par value of our shares;</w:t>
      </w:r>
    </w:p>
    <w:p>
      <w:pPr>
        <w:spacing w:after="0" w:line="1" w:lineRule="exact"/>
        <w:rPr>
          <w:sz w:val="20"/>
          <w:szCs w:val="20"/>
          <w:color w:val="auto"/>
        </w:rPr>
      </w:pPr>
    </w:p>
    <w:p>
      <w:pPr>
        <w:ind w:left="600" w:right="80" w:firstLine="103"/>
        <w:spacing w:after="0" w:line="236" w:lineRule="auto"/>
        <w:rPr>
          <w:sz w:val="20"/>
          <w:szCs w:val="20"/>
          <w:color w:val="auto"/>
        </w:rPr>
      </w:pPr>
      <w:r>
        <w:rPr>
          <w:rFonts w:ascii="Arial" w:cs="Arial" w:eastAsia="Arial" w:hAnsi="Arial"/>
          <w:sz w:val="22"/>
          <w:szCs w:val="22"/>
          <w:color w:val="auto"/>
        </w:rPr>
        <w:t>Reclassify, split up or consolidate any of the deposited securities;</w:t>
      </w:r>
    </w:p>
    <w:p>
      <w:pPr>
        <w:spacing w:after="0" w:line="92" w:lineRule="exact"/>
        <w:rPr>
          <w:sz w:val="20"/>
          <w:szCs w:val="20"/>
          <w:color w:val="auto"/>
        </w:rPr>
      </w:pPr>
    </w:p>
    <w:p>
      <w:pPr>
        <w:ind w:left="600" w:right="280" w:firstLine="103"/>
        <w:spacing w:after="0" w:line="250" w:lineRule="auto"/>
        <w:rPr>
          <w:sz w:val="20"/>
          <w:szCs w:val="20"/>
          <w:color w:val="auto"/>
        </w:rPr>
      </w:pPr>
      <w:r>
        <w:rPr>
          <w:rFonts w:ascii="Arial" w:cs="Arial" w:eastAsia="Arial" w:hAnsi="Arial"/>
          <w:sz w:val="22"/>
          <w:szCs w:val="22"/>
          <w:color w:val="auto"/>
        </w:rPr>
        <w:t>Distribute securities on the shares that are not distributed to you;</w:t>
      </w:r>
    </w:p>
    <w:p>
      <w:pPr>
        <w:spacing w:after="0" w:line="67" w:lineRule="exact"/>
        <w:rPr>
          <w:sz w:val="20"/>
          <w:szCs w:val="20"/>
          <w:color w:val="auto"/>
        </w:rPr>
      </w:pPr>
    </w:p>
    <w:p>
      <w:pPr>
        <w:ind w:left="600" w:right="260" w:firstLine="103"/>
        <w:spacing w:after="0" w:line="328" w:lineRule="auto"/>
        <w:rPr>
          <w:sz w:val="20"/>
          <w:szCs w:val="20"/>
          <w:color w:val="auto"/>
        </w:rPr>
      </w:pPr>
      <w:r>
        <w:rPr>
          <w:rFonts w:ascii="Arial" w:cs="Arial" w:eastAsia="Arial" w:hAnsi="Arial"/>
          <w:sz w:val="19"/>
          <w:szCs w:val="19"/>
          <w:color w:val="auto"/>
        </w:rPr>
        <w:t>Recapitalize, reorganize, merge, liquidate, sell all or substantially all of our assets; or</w:t>
      </w:r>
    </w:p>
    <w:p>
      <w:pPr>
        <w:spacing w:after="0" w:line="10" w:lineRule="exact"/>
        <w:rPr>
          <w:sz w:val="20"/>
          <w:szCs w:val="20"/>
          <w:color w:val="auto"/>
        </w:rPr>
      </w:pPr>
    </w:p>
    <w:p>
      <w:pPr>
        <w:ind w:right="1880" w:firstLine="687"/>
        <w:spacing w:after="0" w:line="504" w:lineRule="auto"/>
        <w:rPr>
          <w:sz w:val="20"/>
          <w:szCs w:val="20"/>
          <w:color w:val="auto"/>
        </w:rPr>
      </w:pPr>
      <w:r>
        <w:rPr>
          <w:rFonts w:ascii="Arial" w:cs="Arial" w:eastAsia="Arial" w:hAnsi="Arial"/>
          <w:sz w:val="19"/>
          <w:szCs w:val="19"/>
          <w:color w:val="auto"/>
        </w:rPr>
        <w:t xml:space="preserve">Take any similar action </w:t>
      </w:r>
      <w:r>
        <w:rPr>
          <w:rFonts w:ascii="Arial" w:cs="Arial" w:eastAsia="Arial" w:hAnsi="Arial"/>
          <w:sz w:val="19"/>
          <w:szCs w:val="19"/>
          <w:b w:val="1"/>
          <w:bCs w:val="1"/>
          <w:i w:val="1"/>
          <w:iCs w:val="1"/>
          <w:color w:val="auto"/>
        </w:rPr>
        <w:t>Amendment and Termination</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100"/>
        <w:spacing w:after="0" w:line="287" w:lineRule="auto"/>
        <w:rPr>
          <w:sz w:val="20"/>
          <w:szCs w:val="20"/>
          <w:color w:val="auto"/>
        </w:rPr>
      </w:pPr>
      <w:r>
        <w:rPr>
          <w:rFonts w:ascii="Arial" w:cs="Arial" w:eastAsia="Arial" w:hAnsi="Arial"/>
          <w:sz w:val="19"/>
          <w:szCs w:val="19"/>
          <w:color w:val="auto"/>
        </w:rPr>
        <w:t>The cash, shares or other securities received by the depositary will become deposited securities. Each ADR will automatically represent its equal share of the new deposited securities.</w:t>
      </w:r>
    </w:p>
    <w:p>
      <w:pPr>
        <w:spacing w:after="0" w:line="62"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The depositary may, and will if we ask it to, distribute some or all of the cash, shares or other securities it received. It may also issue new ADRs or ask you to surrender your outstanding ADRs in exchange for new ADRs identifying the new deposited securities.</w:t>
      </w:r>
    </w:p>
    <w:p>
      <w:pPr>
        <w:spacing w:after="0" w:line="636" w:lineRule="exact"/>
        <w:rPr>
          <w:sz w:val="20"/>
          <w:szCs w:val="20"/>
          <w:color w:val="auto"/>
        </w:rPr>
      </w:pPr>
    </w:p>
    <w:p>
      <w:pPr>
        <w:sectPr>
          <w:pgSz w:w="11900" w:h="16838" w:orient="portrait"/>
          <w:cols w:equalWidth="0" w:num="2">
            <w:col w:w="4600" w:space="720"/>
            <w:col w:w="4560"/>
          </w:cols>
          <w:pgMar w:left="980" w:top="334" w:right="1039" w:bottom="1440" w:gutter="0" w:footer="0" w:header="0"/>
          <w:type w:val="continuous"/>
        </w:sectPr>
      </w:pPr>
    </w:p>
    <w:p>
      <w:pPr>
        <w:ind w:right="20" w:firstLine="648"/>
        <w:spacing w:after="0"/>
        <w:rPr>
          <w:sz w:val="20"/>
          <w:szCs w:val="20"/>
          <w:color w:val="auto"/>
        </w:rPr>
      </w:pPr>
      <w:r>
        <w:rPr>
          <w:rFonts w:ascii="Arial" w:cs="Arial" w:eastAsia="Arial" w:hAnsi="Arial"/>
          <w:sz w:val="22"/>
          <w:szCs w:val="22"/>
          <w:color w:val="auto"/>
        </w:rPr>
        <w:t>We may agree with the depositary to amend the deposit agreement and the ADRs without your consent for any reason. If the amendment will cause any of the following results, the amendment will become effective 30 days after the depositary notifies you of the amendment:</w:t>
      </w:r>
    </w:p>
    <w:p>
      <w:pPr>
        <w:spacing w:after="0" w:line="20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adds or increases fees or charges, except for:</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taxes and other government charges;</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registration fees;</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cable, telex or facsimile transmission costs; or</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delivery costs or other such expenses; or</w:t>
      </w:r>
    </w:p>
    <w:p>
      <w:pPr>
        <w:spacing w:after="0" w:line="22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prejudices any substantial right of ADR holders.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34" w:right="1039" w:bottom="1440" w:gutter="0" w:footer="0" w:header="0"/>
          <w:type w:val="continuous"/>
        </w:sectPr>
      </w:pPr>
    </w:p>
    <w:bookmarkStart w:id="199" w:name="page200"/>
    <w:bookmarkEnd w:id="199"/>
    <w:p>
      <w:pPr>
        <w:ind w:right="340" w:firstLine="648"/>
        <w:spacing w:after="0" w:line="328" w:lineRule="auto"/>
        <w:rPr>
          <w:sz w:val="20"/>
          <w:szCs w:val="20"/>
          <w:color w:val="auto"/>
        </w:rPr>
      </w:pPr>
      <w:r>
        <w:rPr>
          <w:rFonts w:ascii="Arial" w:cs="Arial" w:eastAsia="Arial" w:hAnsi="Arial"/>
          <w:sz w:val="19"/>
          <w:szCs w:val="19"/>
          <w:color w:val="auto"/>
        </w:rPr>
        <w:t>At the time an amendment becomes effective, you are considered, by continuing to hold your ADRs, to agree to the amendment and to be bound by the ADRs and the deposit agreement, as amended.</w:t>
      </w:r>
    </w:p>
    <w:p>
      <w:pPr>
        <w:spacing w:after="0" w:line="10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depositary will terminate the deposit agreement if we ask it to do so. In such case, the depositary must notify you at least 30 days before termination. The depositary may also terminate the deposit agreement if the depositary has told us that it would like to resign and we have not appointed a new depositary bank within 90 days.</w:t>
      </w:r>
    </w:p>
    <w:p>
      <w:pPr>
        <w:spacing w:after="0" w:line="18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After termination, the depositary and its agents will be required to do only the following under the deposit agreement:</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advise you that the deposit agreement is terminated; and</w:t>
      </w:r>
    </w:p>
    <w:p>
      <w:pPr>
        <w:spacing w:after="0" w:line="220" w:lineRule="exact"/>
        <w:rPr>
          <w:sz w:val="20"/>
          <w:szCs w:val="20"/>
          <w:color w:val="auto"/>
        </w:rPr>
      </w:pPr>
    </w:p>
    <w:p>
      <w:pPr>
        <w:ind w:left="1300" w:right="200" w:firstLine="135"/>
        <w:spacing w:after="0" w:line="250" w:lineRule="auto"/>
        <w:rPr>
          <w:sz w:val="20"/>
          <w:szCs w:val="20"/>
          <w:color w:val="auto"/>
        </w:rPr>
      </w:pPr>
      <w:r>
        <w:rPr>
          <w:rFonts w:ascii="Arial" w:cs="Arial" w:eastAsia="Arial" w:hAnsi="Arial"/>
          <w:sz w:val="22"/>
          <w:szCs w:val="22"/>
          <w:color w:val="auto"/>
        </w:rPr>
        <w:t>collect distributions on the deposited securities and deliver the deliverable portion of shares and other deposited securities upon cancellation of ADRs.</w:t>
      </w:r>
    </w:p>
    <w:p>
      <w:pPr>
        <w:spacing w:after="0" w:line="175"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One year after termination, the depositary may sell any remaining deposited securities by public or private sale. After that, the depositary will hold the proceeds of the sale, as well as any other cash it is holding under the deposit agreement for the pro rata benefit of the ADR holders that have not surrendered their ADRs or are unable to surrender their ADRs because they represent less than a unit of shares. It will not invest the money and will have no liability for interest. The depositary’s only obligations will be an indemnification obligation and an obligation to account for the proceeds of the sale and other cash. After termination, our only obligations will be an indemnification obligation and our obligation to pay specified amounts to the depositary.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Limitations on Obligations and Liability to ADR Holders</w:t>
      </w:r>
    </w:p>
    <w:p>
      <w:pPr>
        <w:spacing w:after="0" w:line="206"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The deposit agreement expressly limits our obligations and the obligations of the depositary, and it limits our liability and the liability of the depositary. We and the depositary:</w:t>
      </w:r>
    </w:p>
    <w:p>
      <w:pPr>
        <w:spacing w:after="0" w:line="188" w:lineRule="exact"/>
        <w:rPr>
          <w:sz w:val="20"/>
          <w:szCs w:val="20"/>
          <w:color w:val="auto"/>
        </w:rPr>
      </w:pPr>
    </w:p>
    <w:p>
      <w:pPr>
        <w:ind w:left="1300" w:right="300" w:firstLine="81"/>
        <w:spacing w:after="0" w:line="250" w:lineRule="auto"/>
        <w:rPr>
          <w:sz w:val="20"/>
          <w:szCs w:val="20"/>
          <w:color w:val="auto"/>
        </w:rPr>
      </w:pPr>
      <w:r>
        <w:rPr>
          <w:rFonts w:ascii="Arial" w:cs="Arial" w:eastAsia="Arial" w:hAnsi="Arial"/>
          <w:sz w:val="22"/>
          <w:szCs w:val="22"/>
          <w:color w:val="auto"/>
        </w:rPr>
        <w:t>are only obligated to take the actions specifically provided for in the deposit agreement without negligence or bad faith;</w:t>
      </w:r>
    </w:p>
    <w:p>
      <w:pPr>
        <w:spacing w:after="0" w:line="188" w:lineRule="exact"/>
        <w:rPr>
          <w:sz w:val="20"/>
          <w:szCs w:val="20"/>
          <w:color w:val="auto"/>
        </w:rPr>
      </w:pPr>
    </w:p>
    <w:p>
      <w:pPr>
        <w:ind w:left="1300" w:right="180" w:firstLine="81"/>
        <w:spacing w:after="0" w:line="250" w:lineRule="auto"/>
        <w:rPr>
          <w:sz w:val="20"/>
          <w:szCs w:val="20"/>
          <w:color w:val="auto"/>
        </w:rPr>
      </w:pPr>
      <w:r>
        <w:rPr>
          <w:rFonts w:ascii="Arial" w:cs="Arial" w:eastAsia="Arial" w:hAnsi="Arial"/>
          <w:sz w:val="22"/>
          <w:szCs w:val="22"/>
          <w:color w:val="auto"/>
        </w:rPr>
        <w:t>are not liable if either is prevented or delayed by law or circumstances beyond their control from performing their obligations under the deposit agreement;</w:t>
      </w:r>
    </w:p>
    <w:p>
      <w:pPr>
        <w:spacing w:after="0" w:line="188"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are not liable if either exercises discretion permitted under the deposit agreement;</w:t>
      </w:r>
    </w:p>
    <w:p>
      <w:pPr>
        <w:spacing w:after="0" w:line="220" w:lineRule="exact"/>
        <w:rPr>
          <w:sz w:val="20"/>
          <w:szCs w:val="20"/>
          <w:color w:val="auto"/>
        </w:rPr>
      </w:pPr>
    </w:p>
    <w:p>
      <w:pPr>
        <w:ind w:left="1300" w:right="40" w:firstLine="81"/>
        <w:spacing w:after="0" w:line="250" w:lineRule="auto"/>
        <w:rPr>
          <w:sz w:val="20"/>
          <w:szCs w:val="20"/>
          <w:color w:val="auto"/>
        </w:rPr>
      </w:pPr>
      <w:r>
        <w:rPr>
          <w:rFonts w:ascii="Arial" w:cs="Arial" w:eastAsia="Arial" w:hAnsi="Arial"/>
          <w:sz w:val="22"/>
          <w:szCs w:val="22"/>
          <w:color w:val="auto"/>
        </w:rPr>
        <w:t>have no obligation to become involved in a lawsuit or other proceeding related to the ADRs or the deposit agreement on your behalf of any other party; and</w:t>
      </w:r>
    </w:p>
    <w:p>
      <w:pPr>
        <w:spacing w:after="0" w:line="188" w:lineRule="exact"/>
        <w:rPr>
          <w:sz w:val="20"/>
          <w:szCs w:val="20"/>
          <w:color w:val="auto"/>
        </w:rPr>
      </w:pPr>
    </w:p>
    <w:p>
      <w:pPr>
        <w:ind w:left="1300" w:right="80" w:firstLine="81"/>
        <w:spacing w:after="0" w:line="250" w:lineRule="auto"/>
        <w:rPr>
          <w:sz w:val="20"/>
          <w:szCs w:val="20"/>
          <w:color w:val="auto"/>
        </w:rPr>
      </w:pPr>
      <w:r>
        <w:rPr>
          <w:rFonts w:ascii="Arial" w:cs="Arial" w:eastAsia="Arial" w:hAnsi="Arial"/>
          <w:sz w:val="22"/>
          <w:szCs w:val="22"/>
          <w:color w:val="auto"/>
        </w:rPr>
        <w:t>may rely upon any documents they believe in good faith to be genuine and to have been signed or presented by the proper party.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200" w:name="page201"/>
    <w:bookmarkEnd w:id="200"/>
    <w:p>
      <w:pPr>
        <w:ind w:right="960" w:firstLine="648"/>
        <w:spacing w:after="0" w:line="250" w:lineRule="auto"/>
        <w:rPr>
          <w:sz w:val="20"/>
          <w:szCs w:val="20"/>
          <w:color w:val="auto"/>
        </w:rPr>
      </w:pPr>
      <w:r>
        <w:rPr>
          <w:rFonts w:ascii="Arial" w:cs="Arial" w:eastAsia="Arial" w:hAnsi="Arial"/>
          <w:sz w:val="22"/>
          <w:szCs w:val="22"/>
          <w:color w:val="auto"/>
        </w:rPr>
        <w:t>In the deposit agreement, we and the depositary agree to indemnify each other under designated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Requirements for Depositary Actions</w:t>
      </w:r>
    </w:p>
    <w:p>
      <w:pPr>
        <w:spacing w:after="0" w:line="206"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Before the depositary will issue or register the transfer of an ADR, make a distribution on an ADR, or process a withdrawal of shares, the depositary may require:</w:t>
      </w:r>
    </w:p>
    <w:p>
      <w:pPr>
        <w:spacing w:after="0" w:line="188" w:lineRule="exact"/>
        <w:rPr>
          <w:sz w:val="20"/>
          <w:szCs w:val="20"/>
          <w:color w:val="auto"/>
        </w:rPr>
      </w:pPr>
    </w:p>
    <w:p>
      <w:pPr>
        <w:ind w:left="1300" w:right="40" w:firstLine="81"/>
        <w:spacing w:after="0" w:line="328" w:lineRule="auto"/>
        <w:rPr>
          <w:sz w:val="20"/>
          <w:szCs w:val="20"/>
          <w:color w:val="auto"/>
        </w:rPr>
      </w:pPr>
      <w:r>
        <w:rPr>
          <w:rFonts w:ascii="Arial" w:cs="Arial" w:eastAsia="Arial" w:hAnsi="Arial"/>
          <w:sz w:val="19"/>
          <w:szCs w:val="19"/>
          <w:color w:val="auto"/>
        </w:rPr>
        <w:t>payment of stock transfer or other taxes or other governmental charges and transfer or registration fees charged by third parties for the transfer of any shares or other deposited securities;</w:t>
      </w:r>
    </w:p>
    <w:p>
      <w:pPr>
        <w:spacing w:after="0" w:line="118" w:lineRule="exact"/>
        <w:rPr>
          <w:sz w:val="20"/>
          <w:szCs w:val="20"/>
          <w:color w:val="auto"/>
        </w:rPr>
      </w:pPr>
    </w:p>
    <w:p>
      <w:pPr>
        <w:ind w:left="1300" w:right="860" w:firstLine="81"/>
        <w:spacing w:after="0" w:line="250" w:lineRule="auto"/>
        <w:rPr>
          <w:sz w:val="20"/>
          <w:szCs w:val="20"/>
          <w:color w:val="auto"/>
        </w:rPr>
      </w:pPr>
      <w:r>
        <w:rPr>
          <w:rFonts w:ascii="Arial" w:cs="Arial" w:eastAsia="Arial" w:hAnsi="Arial"/>
          <w:sz w:val="22"/>
          <w:szCs w:val="22"/>
          <w:color w:val="auto"/>
        </w:rPr>
        <w:t>production of satisfactory proof of the identity and genuineness of any signature or other information it deems necessary; and</w:t>
      </w:r>
    </w:p>
    <w:p>
      <w:pPr>
        <w:spacing w:after="0" w:line="188" w:lineRule="exact"/>
        <w:rPr>
          <w:sz w:val="20"/>
          <w:szCs w:val="20"/>
          <w:color w:val="auto"/>
        </w:rPr>
      </w:pPr>
    </w:p>
    <w:p>
      <w:pPr>
        <w:ind w:left="1300" w:right="240" w:firstLine="81"/>
        <w:spacing w:after="0" w:line="250" w:lineRule="auto"/>
        <w:rPr>
          <w:sz w:val="20"/>
          <w:szCs w:val="20"/>
          <w:color w:val="auto"/>
        </w:rPr>
      </w:pPr>
      <w:r>
        <w:rPr>
          <w:rFonts w:ascii="Arial" w:cs="Arial" w:eastAsia="Arial" w:hAnsi="Arial"/>
          <w:sz w:val="22"/>
          <w:szCs w:val="22"/>
          <w:color w:val="auto"/>
        </w:rPr>
        <w:t>compliance with regulations that it may establish, from time to time, consistent with the deposit agreement, including presentation of transfer documents.</w:t>
      </w:r>
    </w:p>
    <w:p>
      <w:pPr>
        <w:spacing w:after="0" w:line="175" w:lineRule="exact"/>
        <w:rPr>
          <w:sz w:val="20"/>
          <w:szCs w:val="20"/>
          <w:color w:val="auto"/>
        </w:rPr>
      </w:pPr>
    </w:p>
    <w:p>
      <w:pPr>
        <w:ind w:right="220" w:firstLine="648"/>
        <w:spacing w:after="0" w:line="328" w:lineRule="auto"/>
        <w:rPr>
          <w:sz w:val="20"/>
          <w:szCs w:val="20"/>
          <w:color w:val="auto"/>
        </w:rPr>
      </w:pPr>
      <w:r>
        <w:rPr>
          <w:rFonts w:ascii="Arial" w:cs="Arial" w:eastAsia="Arial" w:hAnsi="Arial"/>
          <w:sz w:val="19"/>
          <w:szCs w:val="19"/>
          <w:color w:val="auto"/>
        </w:rPr>
        <w:t>The depositary may refuse to deliver, transfer or register transfers of ADRs generally when our books or the books of the depositary are closed, or at any time if the depositary or we think it advisable to do so.</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You have the right to cancel your ADRs and withdraw the underlying shares at any time except:</w:t>
      </w:r>
    </w:p>
    <w:p>
      <w:pPr>
        <w:spacing w:after="0" w:line="231" w:lineRule="exact"/>
        <w:rPr>
          <w:sz w:val="20"/>
          <w:szCs w:val="20"/>
          <w:color w:val="auto"/>
        </w:rPr>
      </w:pPr>
    </w:p>
    <w:p>
      <w:pPr>
        <w:ind w:left="1300" w:right="240" w:firstLine="81"/>
        <w:spacing w:after="0"/>
        <w:rPr>
          <w:sz w:val="20"/>
          <w:szCs w:val="20"/>
          <w:color w:val="auto"/>
        </w:rPr>
      </w:pPr>
      <w:r>
        <w:rPr>
          <w:rFonts w:ascii="Arial" w:cs="Arial" w:eastAsia="Arial" w:hAnsi="Arial"/>
          <w:sz w:val="22"/>
          <w:szCs w:val="22"/>
          <w:color w:val="auto"/>
        </w:rPr>
        <w:t>when temporary delays arise because: (1) the depositary or we have closed its or our transfer books; (2) the transfer of shares is blocked to permit voting at a shareholders’ meeting; or (3) we are paying a dividend on the shares;</w:t>
      </w:r>
    </w:p>
    <w:p>
      <w:pPr>
        <w:spacing w:after="0" w:line="200" w:lineRule="exact"/>
        <w:rPr>
          <w:sz w:val="20"/>
          <w:szCs w:val="20"/>
          <w:color w:val="auto"/>
        </w:rPr>
      </w:pPr>
    </w:p>
    <w:p>
      <w:pPr>
        <w:ind w:left="1300" w:right="380" w:firstLine="81"/>
        <w:spacing w:after="0" w:line="250" w:lineRule="auto"/>
        <w:rPr>
          <w:sz w:val="20"/>
          <w:szCs w:val="20"/>
          <w:color w:val="auto"/>
        </w:rPr>
      </w:pPr>
      <w:r>
        <w:rPr>
          <w:rFonts w:ascii="Arial" w:cs="Arial" w:eastAsia="Arial" w:hAnsi="Arial"/>
          <w:sz w:val="22"/>
          <w:szCs w:val="22"/>
          <w:color w:val="auto"/>
        </w:rPr>
        <w:t>when you or other ADR holders seeking to withdraw shares owe money to pay fees, taxes and similar charges; or</w:t>
      </w:r>
    </w:p>
    <w:p>
      <w:pPr>
        <w:spacing w:after="0" w:line="188" w:lineRule="exact"/>
        <w:rPr>
          <w:sz w:val="20"/>
          <w:szCs w:val="20"/>
          <w:color w:val="auto"/>
        </w:rPr>
      </w:pPr>
    </w:p>
    <w:p>
      <w:pPr>
        <w:ind w:left="1300" w:right="320" w:firstLine="81"/>
        <w:spacing w:after="0" w:line="328" w:lineRule="auto"/>
        <w:rPr>
          <w:sz w:val="20"/>
          <w:szCs w:val="20"/>
          <w:color w:val="auto"/>
        </w:rPr>
      </w:pPr>
      <w:r>
        <w:rPr>
          <w:rFonts w:ascii="Arial" w:cs="Arial" w:eastAsia="Arial" w:hAnsi="Arial"/>
          <w:sz w:val="19"/>
          <w:szCs w:val="19"/>
          <w:color w:val="auto"/>
        </w:rPr>
        <w:t>when it is necessary to prohibit withdrawals in order to comply with any laws or governmental regulations that apply to ADRs or to the withdrawal of shares or other deposited securities.</w:t>
      </w:r>
    </w:p>
    <w:p>
      <w:pPr>
        <w:spacing w:after="0" w:line="105" w:lineRule="exact"/>
        <w:rPr>
          <w:sz w:val="20"/>
          <w:szCs w:val="20"/>
          <w:color w:val="auto"/>
        </w:rPr>
      </w:pPr>
    </w:p>
    <w:p>
      <w:pPr>
        <w:ind w:right="1220" w:firstLine="648"/>
        <w:spacing w:after="0" w:line="435" w:lineRule="auto"/>
        <w:rPr>
          <w:sz w:val="20"/>
          <w:szCs w:val="20"/>
          <w:color w:val="auto"/>
        </w:rPr>
      </w:pPr>
      <w:r>
        <w:rPr>
          <w:rFonts w:ascii="Arial" w:cs="Arial" w:eastAsia="Arial" w:hAnsi="Arial"/>
          <w:sz w:val="22"/>
          <w:szCs w:val="22"/>
          <w:color w:val="auto"/>
        </w:rPr>
        <w:t xml:space="preserve">This right of withdrawal may not be limited by any other provision of the deposit agreement. </w:t>
      </w:r>
      <w:r>
        <w:rPr>
          <w:rFonts w:ascii="Arial" w:cs="Arial" w:eastAsia="Arial" w:hAnsi="Arial"/>
          <w:sz w:val="22"/>
          <w:szCs w:val="22"/>
          <w:b w:val="1"/>
          <w:bCs w:val="1"/>
          <w:i w:val="1"/>
          <w:iCs w:val="1"/>
          <w:color w:val="auto"/>
        </w:rPr>
        <w:t>Pre-Release of ADRs</w:t>
      </w:r>
    </w:p>
    <w:p>
      <w:pPr>
        <w:spacing w:after="0" w:line="1"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In compliance with the provisions of the deposit agreement, the depositary may issue ADRs before deposit of the underlying shares. This is called a pre-release of the ADR. The depositary may also deliver shares upon cancellation of pre-released ADRs, even if the ADRs are cancelled before the pre-release transaction has been closed out. A pre-release is closed out as soon as the underlying shares are delivered to the depositary. The depositary may receive ADRs instead of shares to close out a pre-release. The depositary may pre-release ADRs only under the following conditions: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34" w:right="1019" w:bottom="1440" w:gutter="0" w:footer="0" w:header="0"/>
        </w:sectPr>
      </w:pPr>
    </w:p>
    <w:bookmarkStart w:id="201" w:name="page202"/>
    <w:bookmarkEnd w:id="201"/>
    <w:p>
      <w:pPr>
        <w:ind w:left="1300" w:right="340" w:firstLine="27"/>
        <w:spacing w:after="0"/>
        <w:rPr>
          <w:sz w:val="20"/>
          <w:szCs w:val="20"/>
          <w:color w:val="auto"/>
        </w:rPr>
      </w:pPr>
      <w:r>
        <w:rPr>
          <w:rFonts w:ascii="Arial" w:cs="Arial" w:eastAsia="Arial" w:hAnsi="Arial"/>
          <w:sz w:val="22"/>
          <w:szCs w:val="22"/>
          <w:color w:val="auto"/>
        </w:rPr>
        <w:t>before or at the time of the pre-release, the person to whom the pre-release is being made must represent to the depositary in writing that it or its customer owns the shares or ADRs to be deposited;</w:t>
      </w:r>
    </w:p>
    <w:p>
      <w:pPr>
        <w:spacing w:after="0" w:line="200" w:lineRule="exact"/>
        <w:rPr>
          <w:sz w:val="20"/>
          <w:szCs w:val="20"/>
          <w:color w:val="auto"/>
        </w:rPr>
      </w:pPr>
    </w:p>
    <w:p>
      <w:pPr>
        <w:ind w:left="1300" w:right="720" w:firstLine="27"/>
        <w:spacing w:after="0" w:line="250" w:lineRule="auto"/>
        <w:rPr>
          <w:sz w:val="20"/>
          <w:szCs w:val="20"/>
          <w:color w:val="auto"/>
        </w:rPr>
      </w:pPr>
      <w:r>
        <w:rPr>
          <w:rFonts w:ascii="Arial" w:cs="Arial" w:eastAsia="Arial" w:hAnsi="Arial"/>
          <w:sz w:val="22"/>
          <w:szCs w:val="22"/>
          <w:color w:val="auto"/>
        </w:rPr>
        <w:t>the pre-release must be fully collateralized with cash or other collateral that the depositary considers appropriate; and</w:t>
      </w:r>
    </w:p>
    <w:p>
      <w:pPr>
        <w:spacing w:after="0" w:line="188" w:lineRule="exact"/>
        <w:rPr>
          <w:sz w:val="20"/>
          <w:szCs w:val="20"/>
          <w:color w:val="auto"/>
        </w:rPr>
      </w:pPr>
    </w:p>
    <w:p>
      <w:pPr>
        <w:ind w:left="1300" w:right="560" w:firstLine="27"/>
        <w:spacing w:after="0" w:line="250" w:lineRule="auto"/>
        <w:rPr>
          <w:sz w:val="20"/>
          <w:szCs w:val="20"/>
          <w:color w:val="auto"/>
        </w:rPr>
      </w:pPr>
      <w:r>
        <w:rPr>
          <w:rFonts w:ascii="Arial" w:cs="Arial" w:eastAsia="Arial" w:hAnsi="Arial"/>
          <w:sz w:val="22"/>
          <w:szCs w:val="22"/>
          <w:color w:val="auto"/>
        </w:rPr>
        <w:t>the depositary must be able to close out the pre-release on not more than five business days’ notice.</w:t>
      </w:r>
    </w:p>
    <w:p>
      <w:pPr>
        <w:spacing w:after="0" w:line="17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In addition, the depositary will limit the number of ADRs that may be outstanding at any time as a result of pre-release to 30% of total shares deposited, although the depositary may disregard the limit from time to time, if it thinks it is appropriate to do so.</w:t>
      </w: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348" w:right="107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4.52</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MASTER TRANSACTION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YOUDAO,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0"/>
                <w:szCs w:val="20"/>
                <w:color w:val="auto"/>
              </w:rPr>
            </w:pPr>
          </w:p>
        </w:tc>
      </w:tr>
      <w:tr>
        <w:trPr>
          <w:trHeight w:val="431"/>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1</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8"/>
              </w:rPr>
              <w:t>DEFINITIONS</w:t>
            </w:r>
          </w:p>
        </w:tc>
        <w:tc>
          <w:tcPr>
            <w:tcW w:w="130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Section 1.1</w:t>
            </w:r>
          </w:p>
        </w:tc>
        <w:tc>
          <w:tcPr>
            <w:tcW w:w="7600" w:type="dxa"/>
            <w:vAlign w:val="bottom"/>
          </w:tcPr>
          <w:p>
            <w:pPr>
              <w:ind w:left="120"/>
              <w:spacing w:after="0"/>
              <w:rPr>
                <w:sz w:val="20"/>
                <w:szCs w:val="20"/>
                <w:color w:val="auto"/>
              </w:rPr>
            </w:pPr>
            <w:r>
              <w:rPr>
                <w:rFonts w:ascii="Arial" w:cs="Arial" w:eastAsia="Arial" w:hAnsi="Arial"/>
                <w:sz w:val="18"/>
                <w:szCs w:val="18"/>
                <w:color w:val="auto"/>
              </w:rPr>
              <w:t>Defined Terms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2</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ind w:left="980"/>
              <w:spacing w:after="0"/>
              <w:rPr>
                <w:sz w:val="20"/>
                <w:szCs w:val="20"/>
                <w:color w:val="auto"/>
              </w:rPr>
            </w:pPr>
            <w:r>
              <w:rPr>
                <w:rFonts w:ascii="Arial" w:cs="Arial" w:eastAsia="Arial" w:hAnsi="Arial"/>
                <w:sz w:val="18"/>
                <w:szCs w:val="18"/>
                <w:color w:val="auto"/>
              </w:rPr>
              <w:t>DOCUMENTS AND ITEMS TO BE DELIVERED PRIOR TO F-1 FILING</w:t>
            </w:r>
          </w:p>
        </w:tc>
        <w:tc>
          <w:tcPr>
            <w:tcW w:w="130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2.1</w:t>
            </w:r>
          </w:p>
        </w:tc>
        <w:tc>
          <w:tcPr>
            <w:tcW w:w="7600" w:type="dxa"/>
            <w:vAlign w:val="bottom"/>
          </w:tcPr>
          <w:p>
            <w:pPr>
              <w:ind w:left="120"/>
              <w:spacing w:after="0"/>
              <w:rPr>
                <w:sz w:val="20"/>
                <w:szCs w:val="20"/>
                <w:color w:val="auto"/>
              </w:rPr>
            </w:pPr>
            <w:r>
              <w:rPr>
                <w:rFonts w:ascii="Arial" w:cs="Arial" w:eastAsia="Arial" w:hAnsi="Arial"/>
                <w:sz w:val="18"/>
                <w:szCs w:val="18"/>
                <w:color w:val="auto"/>
              </w:rPr>
              <w:t>Documents to be delivered by NetEase</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2.2</w:t>
            </w:r>
          </w:p>
        </w:tc>
        <w:tc>
          <w:tcPr>
            <w:tcW w:w="7600" w:type="dxa"/>
            <w:vAlign w:val="bottom"/>
          </w:tcPr>
          <w:p>
            <w:pPr>
              <w:ind w:left="120"/>
              <w:spacing w:after="0"/>
              <w:rPr>
                <w:sz w:val="20"/>
                <w:szCs w:val="20"/>
                <w:color w:val="auto"/>
              </w:rPr>
            </w:pPr>
            <w:r>
              <w:rPr>
                <w:rFonts w:ascii="Arial" w:cs="Arial" w:eastAsia="Arial" w:hAnsi="Arial"/>
                <w:sz w:val="18"/>
                <w:szCs w:val="18"/>
                <w:color w:val="auto"/>
              </w:rPr>
              <w:t>Documents to be delivered by Youdao</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3</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THE IPO AND ACTIONS PENDING THE IPO</w:t>
            </w:r>
          </w:p>
        </w:tc>
        <w:tc>
          <w:tcPr>
            <w:tcW w:w="130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3.1</w:t>
            </w:r>
          </w:p>
        </w:tc>
        <w:tc>
          <w:tcPr>
            <w:tcW w:w="7600" w:type="dxa"/>
            <w:vAlign w:val="bottom"/>
          </w:tcPr>
          <w:p>
            <w:pPr>
              <w:ind w:left="120"/>
              <w:spacing w:after="0"/>
              <w:rPr>
                <w:sz w:val="20"/>
                <w:szCs w:val="20"/>
                <w:color w:val="auto"/>
              </w:rPr>
            </w:pPr>
            <w:r>
              <w:rPr>
                <w:rFonts w:ascii="Arial" w:cs="Arial" w:eastAsia="Arial" w:hAnsi="Arial"/>
                <w:sz w:val="18"/>
                <w:szCs w:val="18"/>
                <w:color w:val="auto"/>
              </w:rPr>
              <w:t>Transactions prior to the IPO</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3.2</w:t>
            </w:r>
          </w:p>
        </w:tc>
        <w:tc>
          <w:tcPr>
            <w:tcW w:w="7600" w:type="dxa"/>
            <w:vAlign w:val="bottom"/>
          </w:tcPr>
          <w:p>
            <w:pPr>
              <w:ind w:left="120"/>
              <w:spacing w:after="0"/>
              <w:rPr>
                <w:sz w:val="20"/>
                <w:szCs w:val="20"/>
                <w:color w:val="auto"/>
              </w:rPr>
            </w:pPr>
            <w:r>
              <w:rPr>
                <w:rFonts w:ascii="Arial" w:cs="Arial" w:eastAsia="Arial" w:hAnsi="Arial"/>
                <w:sz w:val="18"/>
                <w:szCs w:val="18"/>
                <w:color w:val="auto"/>
              </w:rPr>
              <w:t>Cooperation</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8"/>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4</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COVENANTS AND OTHER MATTERS</w:t>
            </w:r>
          </w:p>
        </w:tc>
        <w:tc>
          <w:tcPr>
            <w:tcW w:w="130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4.1</w:t>
            </w:r>
          </w:p>
        </w:tc>
        <w:tc>
          <w:tcPr>
            <w:tcW w:w="7600" w:type="dxa"/>
            <w:vAlign w:val="bottom"/>
          </w:tcPr>
          <w:p>
            <w:pPr>
              <w:ind w:left="120"/>
              <w:spacing w:after="0"/>
              <w:rPr>
                <w:sz w:val="20"/>
                <w:szCs w:val="20"/>
                <w:color w:val="auto"/>
              </w:rPr>
            </w:pPr>
            <w:r>
              <w:rPr>
                <w:rFonts w:ascii="Arial" w:cs="Arial" w:eastAsia="Arial" w:hAnsi="Arial"/>
                <w:sz w:val="18"/>
                <w:szCs w:val="18"/>
                <w:color w:val="auto"/>
              </w:rPr>
              <w:t>Other Agreements and Instruments</w:t>
            </w: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4.2</w:t>
            </w:r>
          </w:p>
        </w:tc>
        <w:tc>
          <w:tcPr>
            <w:tcW w:w="7600" w:type="dxa"/>
            <w:vAlign w:val="bottom"/>
          </w:tcPr>
          <w:p>
            <w:pPr>
              <w:ind w:left="120"/>
              <w:spacing w:after="0"/>
              <w:rPr>
                <w:sz w:val="20"/>
                <w:szCs w:val="20"/>
                <w:color w:val="auto"/>
              </w:rPr>
            </w:pPr>
            <w:r>
              <w:rPr>
                <w:rFonts w:ascii="Arial" w:cs="Arial" w:eastAsia="Arial" w:hAnsi="Arial"/>
                <w:sz w:val="18"/>
                <w:szCs w:val="18"/>
                <w:color w:val="auto"/>
              </w:rPr>
              <w:t>Further Instruments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4.3</w:t>
            </w:r>
          </w:p>
        </w:tc>
        <w:tc>
          <w:tcPr>
            <w:tcW w:w="7600" w:type="dxa"/>
            <w:vAlign w:val="bottom"/>
          </w:tcPr>
          <w:p>
            <w:pPr>
              <w:ind w:left="120"/>
              <w:spacing w:after="0"/>
              <w:rPr>
                <w:sz w:val="20"/>
                <w:szCs w:val="20"/>
                <w:color w:val="auto"/>
              </w:rPr>
            </w:pPr>
            <w:r>
              <w:rPr>
                <w:rFonts w:ascii="Arial" w:cs="Arial" w:eastAsia="Arial" w:hAnsi="Arial"/>
                <w:sz w:val="18"/>
                <w:szCs w:val="18"/>
                <w:color w:val="auto"/>
              </w:rPr>
              <w:t>Agreement on Exchange of Information</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4.4</w:t>
            </w:r>
          </w:p>
        </w:tc>
        <w:tc>
          <w:tcPr>
            <w:tcW w:w="7600" w:type="dxa"/>
            <w:vAlign w:val="bottom"/>
          </w:tcPr>
          <w:p>
            <w:pPr>
              <w:ind w:left="120"/>
              <w:spacing w:after="0"/>
              <w:rPr>
                <w:sz w:val="20"/>
                <w:szCs w:val="20"/>
                <w:color w:val="auto"/>
              </w:rPr>
            </w:pPr>
            <w:r>
              <w:rPr>
                <w:rFonts w:ascii="Arial" w:cs="Arial" w:eastAsia="Arial" w:hAnsi="Arial"/>
                <w:sz w:val="18"/>
                <w:szCs w:val="18"/>
                <w:color w:val="auto"/>
              </w:rPr>
              <w:t>Auditors and Audits; Financial Statements; Accounting Matters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4.5</w:t>
            </w:r>
          </w:p>
        </w:tc>
        <w:tc>
          <w:tcPr>
            <w:tcW w:w="7600" w:type="dxa"/>
            <w:vAlign w:val="bottom"/>
          </w:tcPr>
          <w:p>
            <w:pPr>
              <w:ind w:left="120"/>
              <w:spacing w:after="0"/>
              <w:rPr>
                <w:sz w:val="20"/>
                <w:szCs w:val="20"/>
                <w:color w:val="auto"/>
              </w:rPr>
            </w:pPr>
            <w:r>
              <w:rPr>
                <w:rFonts w:ascii="Arial" w:cs="Arial" w:eastAsia="Arial" w:hAnsi="Arial"/>
                <w:sz w:val="18"/>
                <w:szCs w:val="18"/>
                <w:color w:val="auto"/>
              </w:rPr>
              <w:t>Confidentiality</w:t>
            </w:r>
          </w:p>
        </w:tc>
        <w:tc>
          <w:tcPr>
            <w:tcW w:w="1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4.6</w:t>
            </w:r>
          </w:p>
        </w:tc>
        <w:tc>
          <w:tcPr>
            <w:tcW w:w="7600" w:type="dxa"/>
            <w:vAlign w:val="bottom"/>
          </w:tcPr>
          <w:p>
            <w:pPr>
              <w:ind w:left="120"/>
              <w:spacing w:after="0"/>
              <w:rPr>
                <w:sz w:val="20"/>
                <w:szCs w:val="20"/>
                <w:color w:val="auto"/>
              </w:rPr>
            </w:pPr>
            <w:r>
              <w:rPr>
                <w:rFonts w:ascii="Arial" w:cs="Arial" w:eastAsia="Arial" w:hAnsi="Arial"/>
                <w:sz w:val="18"/>
                <w:szCs w:val="18"/>
                <w:color w:val="auto"/>
              </w:rPr>
              <w:t>Privileged Matters</w:t>
            </w: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4.7</w:t>
            </w:r>
          </w:p>
        </w:tc>
        <w:tc>
          <w:tcPr>
            <w:tcW w:w="7600" w:type="dxa"/>
            <w:vAlign w:val="bottom"/>
          </w:tcPr>
          <w:p>
            <w:pPr>
              <w:ind w:left="120"/>
              <w:spacing w:after="0"/>
              <w:rPr>
                <w:sz w:val="20"/>
                <w:szCs w:val="20"/>
                <w:color w:val="auto"/>
              </w:rPr>
            </w:pPr>
            <w:r>
              <w:rPr>
                <w:rFonts w:ascii="Arial" w:cs="Arial" w:eastAsia="Arial" w:hAnsi="Arial"/>
                <w:sz w:val="18"/>
                <w:szCs w:val="18"/>
                <w:color w:val="auto"/>
              </w:rPr>
              <w:t>Future Litigation and Other Proceedings</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4.8</w:t>
            </w:r>
          </w:p>
        </w:tc>
        <w:tc>
          <w:tcPr>
            <w:tcW w:w="7600" w:type="dxa"/>
            <w:vAlign w:val="bottom"/>
          </w:tcPr>
          <w:p>
            <w:pPr>
              <w:ind w:left="120"/>
              <w:spacing w:after="0"/>
              <w:rPr>
                <w:sz w:val="20"/>
                <w:szCs w:val="20"/>
                <w:color w:val="auto"/>
              </w:rPr>
            </w:pPr>
            <w:r>
              <w:rPr>
                <w:rFonts w:ascii="Arial" w:cs="Arial" w:eastAsia="Arial" w:hAnsi="Arial"/>
                <w:sz w:val="18"/>
                <w:szCs w:val="18"/>
                <w:color w:val="auto"/>
              </w:rPr>
              <w:t>Mail and other Communications</w:t>
            </w: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4.9</w:t>
            </w:r>
          </w:p>
        </w:tc>
        <w:tc>
          <w:tcPr>
            <w:tcW w:w="7600" w:type="dxa"/>
            <w:vAlign w:val="bottom"/>
          </w:tcPr>
          <w:p>
            <w:pPr>
              <w:ind w:left="120"/>
              <w:spacing w:after="0"/>
              <w:rPr>
                <w:sz w:val="20"/>
                <w:szCs w:val="20"/>
                <w:color w:val="auto"/>
              </w:rPr>
            </w:pPr>
            <w:r>
              <w:rPr>
                <w:rFonts w:ascii="Arial" w:cs="Arial" w:eastAsia="Arial" w:hAnsi="Arial"/>
                <w:sz w:val="18"/>
                <w:szCs w:val="18"/>
                <w:color w:val="auto"/>
              </w:rPr>
              <w:t>Other Inter-Company Services Agreements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4.10</w:t>
            </w:r>
          </w:p>
        </w:tc>
        <w:tc>
          <w:tcPr>
            <w:tcW w:w="7600" w:type="dxa"/>
            <w:vAlign w:val="bottom"/>
          </w:tcPr>
          <w:p>
            <w:pPr>
              <w:ind w:left="120"/>
              <w:spacing w:after="0"/>
              <w:rPr>
                <w:sz w:val="20"/>
                <w:szCs w:val="20"/>
                <w:color w:val="auto"/>
              </w:rPr>
            </w:pPr>
            <w:r>
              <w:rPr>
                <w:rFonts w:ascii="Arial" w:cs="Arial" w:eastAsia="Arial" w:hAnsi="Arial"/>
                <w:sz w:val="18"/>
                <w:szCs w:val="18"/>
                <w:color w:val="auto"/>
              </w:rPr>
              <w:t>Payment of Expenses</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5</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8"/>
              </w:rPr>
              <w:t>MUTUAL RELEASES; INDEMNIFICATION</w:t>
            </w:r>
          </w:p>
        </w:tc>
        <w:tc>
          <w:tcPr>
            <w:tcW w:w="1300" w:type="dxa"/>
            <w:vAlign w:val="bottom"/>
          </w:tcPr>
          <w:p>
            <w:pPr>
              <w:spacing w:after="0"/>
              <w:rPr>
                <w:sz w:val="20"/>
                <w:szCs w:val="20"/>
                <w:color w:val="auto"/>
              </w:rPr>
            </w:pP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Section 5.1</w:t>
            </w:r>
          </w:p>
        </w:tc>
        <w:tc>
          <w:tcPr>
            <w:tcW w:w="7600" w:type="dxa"/>
            <w:vAlign w:val="bottom"/>
          </w:tcPr>
          <w:p>
            <w:pPr>
              <w:ind w:left="120"/>
              <w:spacing w:after="0"/>
              <w:rPr>
                <w:sz w:val="20"/>
                <w:szCs w:val="20"/>
                <w:color w:val="auto"/>
              </w:rPr>
            </w:pPr>
            <w:r>
              <w:rPr>
                <w:rFonts w:ascii="Arial" w:cs="Arial" w:eastAsia="Arial" w:hAnsi="Arial"/>
                <w:sz w:val="18"/>
                <w:szCs w:val="18"/>
                <w:color w:val="auto"/>
              </w:rPr>
              <w:t>Release of Claims</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5.2</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Indemnification by Youdao</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5.3</w:t>
            </w:r>
          </w:p>
        </w:tc>
        <w:tc>
          <w:tcPr>
            <w:tcW w:w="7600" w:type="dxa"/>
            <w:vAlign w:val="bottom"/>
          </w:tcPr>
          <w:p>
            <w:pPr>
              <w:ind w:left="120"/>
              <w:spacing w:after="0"/>
              <w:rPr>
                <w:sz w:val="20"/>
                <w:szCs w:val="20"/>
                <w:color w:val="auto"/>
              </w:rPr>
            </w:pPr>
            <w:r>
              <w:rPr>
                <w:rFonts w:ascii="Arial" w:cs="Arial" w:eastAsia="Arial" w:hAnsi="Arial"/>
                <w:sz w:val="18"/>
                <w:szCs w:val="18"/>
                <w:color w:val="auto"/>
              </w:rPr>
              <w:t>Indemnification by NetEase</w:t>
            </w: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5.4</w:t>
            </w:r>
          </w:p>
        </w:tc>
        <w:tc>
          <w:tcPr>
            <w:tcW w:w="7600" w:type="dxa"/>
            <w:vAlign w:val="bottom"/>
          </w:tcPr>
          <w:p>
            <w:pPr>
              <w:ind w:left="120"/>
              <w:spacing w:after="0"/>
              <w:rPr>
                <w:sz w:val="20"/>
                <w:szCs w:val="20"/>
                <w:color w:val="auto"/>
              </w:rPr>
            </w:pPr>
            <w:r>
              <w:rPr>
                <w:rFonts w:ascii="Arial" w:cs="Arial" w:eastAsia="Arial" w:hAnsi="Arial"/>
                <w:sz w:val="18"/>
                <w:szCs w:val="18"/>
                <w:color w:val="auto"/>
              </w:rPr>
              <w:t>Procedures for Defense, Settlement and Indemnification of the Third Party Claims</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5.5</w:t>
            </w:r>
          </w:p>
        </w:tc>
        <w:tc>
          <w:tcPr>
            <w:tcW w:w="7600" w:type="dxa"/>
            <w:vAlign w:val="bottom"/>
          </w:tcPr>
          <w:p>
            <w:pPr>
              <w:ind w:left="120"/>
              <w:spacing w:after="0"/>
              <w:rPr>
                <w:sz w:val="20"/>
                <w:szCs w:val="20"/>
                <w:color w:val="auto"/>
              </w:rPr>
            </w:pPr>
            <w:r>
              <w:rPr>
                <w:rFonts w:ascii="Arial" w:cs="Arial" w:eastAsia="Arial" w:hAnsi="Arial"/>
                <w:sz w:val="18"/>
                <w:szCs w:val="18"/>
                <w:color w:val="auto"/>
              </w:rPr>
              <w:t>Additional Matters</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5.6</w:t>
            </w:r>
          </w:p>
        </w:tc>
        <w:tc>
          <w:tcPr>
            <w:tcW w:w="7600" w:type="dxa"/>
            <w:vAlign w:val="bottom"/>
          </w:tcPr>
          <w:p>
            <w:pPr>
              <w:ind w:left="120"/>
              <w:spacing w:after="0"/>
              <w:rPr>
                <w:sz w:val="20"/>
                <w:szCs w:val="20"/>
                <w:color w:val="auto"/>
              </w:rPr>
            </w:pPr>
            <w:r>
              <w:rPr>
                <w:rFonts w:ascii="Arial" w:cs="Arial" w:eastAsia="Arial" w:hAnsi="Arial"/>
                <w:sz w:val="18"/>
                <w:szCs w:val="18"/>
                <w:color w:val="auto"/>
              </w:rPr>
              <w:t>Survival of Indemnities</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040" w:type="dxa"/>
            <w:vAlign w:val="bottom"/>
          </w:tcPr>
          <w:p>
            <w:pPr>
              <w:spacing w:after="0"/>
              <w:rPr>
                <w:sz w:val="24"/>
                <w:szCs w:val="24"/>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6"/>
              </w:rPr>
              <w:t>ARTICLE 6</w:t>
            </w:r>
          </w:p>
        </w:tc>
        <w:tc>
          <w:tcPr>
            <w:tcW w:w="13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7600" w:type="dxa"/>
            <w:vAlign w:val="bottom"/>
          </w:tcPr>
          <w:p>
            <w:pPr>
              <w:jc w:val="center"/>
              <w:ind w:left="150"/>
              <w:spacing w:after="0"/>
              <w:rPr>
                <w:sz w:val="20"/>
                <w:szCs w:val="20"/>
                <w:color w:val="auto"/>
              </w:rPr>
            </w:pPr>
            <w:r>
              <w:rPr>
                <w:rFonts w:ascii="Arial" w:cs="Arial" w:eastAsia="Arial" w:hAnsi="Arial"/>
                <w:sz w:val="18"/>
                <w:szCs w:val="18"/>
                <w:color w:val="auto"/>
                <w:w w:val="95"/>
              </w:rPr>
              <w:t>DISPUTE RESOLUTION</w:t>
            </w:r>
          </w:p>
        </w:tc>
        <w:tc>
          <w:tcPr>
            <w:tcW w:w="130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Section 6.1</w:t>
            </w:r>
          </w:p>
        </w:tc>
        <w:tc>
          <w:tcPr>
            <w:tcW w:w="7600" w:type="dxa"/>
            <w:vAlign w:val="bottom"/>
          </w:tcPr>
          <w:p>
            <w:pPr>
              <w:ind w:left="120"/>
              <w:spacing w:after="0"/>
              <w:rPr>
                <w:sz w:val="20"/>
                <w:szCs w:val="20"/>
                <w:color w:val="auto"/>
              </w:rPr>
            </w:pPr>
            <w:r>
              <w:rPr>
                <w:rFonts w:ascii="Arial" w:cs="Arial" w:eastAsia="Arial" w:hAnsi="Arial"/>
                <w:sz w:val="18"/>
                <w:szCs w:val="18"/>
                <w:color w:val="auto"/>
              </w:rPr>
              <w:t>Dispute Resolution</w:t>
            </w: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680" w:type="dxa"/>
            <w:vAlign w:val="bottom"/>
          </w:tcPr>
          <w:p>
            <w:pPr>
              <w:ind w:left="3480"/>
              <w:spacing w:after="0"/>
              <w:rPr>
                <w:sz w:val="20"/>
                <w:szCs w:val="20"/>
                <w:color w:val="auto"/>
              </w:rPr>
            </w:pPr>
            <w:r>
              <w:rPr>
                <w:rFonts w:ascii="Arial" w:cs="Arial" w:eastAsia="Arial" w:hAnsi="Arial"/>
                <w:sz w:val="18"/>
                <w:szCs w:val="18"/>
                <w:color w:val="auto"/>
              </w:rPr>
              <w:t>ARTICLE 7</w:t>
            </w:r>
          </w:p>
        </w:tc>
        <w:tc>
          <w:tcPr>
            <w:tcW w:w="22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6680" w:type="dxa"/>
            <w:vAlign w:val="bottom"/>
          </w:tcPr>
          <w:p>
            <w:pPr>
              <w:ind w:left="3180"/>
              <w:spacing w:after="0"/>
              <w:rPr>
                <w:sz w:val="20"/>
                <w:szCs w:val="20"/>
                <w:color w:val="auto"/>
              </w:rPr>
            </w:pPr>
            <w:r>
              <w:rPr>
                <w:rFonts w:ascii="Arial" w:cs="Arial" w:eastAsia="Arial" w:hAnsi="Arial"/>
                <w:sz w:val="18"/>
                <w:szCs w:val="18"/>
                <w:color w:val="auto"/>
              </w:rPr>
              <w:t>MISCELLANEOUS</w:t>
            </w:r>
          </w:p>
        </w:tc>
        <w:tc>
          <w:tcPr>
            <w:tcW w:w="22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w:t>
            </w:r>
          </w:p>
        </w:tc>
        <w:tc>
          <w:tcPr>
            <w:tcW w:w="6680" w:type="dxa"/>
            <w:vAlign w:val="bottom"/>
          </w:tcPr>
          <w:p>
            <w:pPr>
              <w:ind w:left="140"/>
              <w:spacing w:after="0"/>
              <w:rPr>
                <w:sz w:val="20"/>
                <w:szCs w:val="20"/>
                <w:color w:val="auto"/>
              </w:rPr>
            </w:pPr>
            <w:r>
              <w:rPr>
                <w:rFonts w:ascii="Arial" w:cs="Arial" w:eastAsia="Arial" w:hAnsi="Arial"/>
                <w:sz w:val="18"/>
                <w:szCs w:val="18"/>
                <w:color w:val="auto"/>
              </w:rPr>
              <w:t>Consent</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7.2</w:t>
            </w:r>
          </w:p>
        </w:tc>
        <w:tc>
          <w:tcPr>
            <w:tcW w:w="6680" w:type="dxa"/>
            <w:vAlign w:val="bottom"/>
          </w:tcPr>
          <w:p>
            <w:pPr>
              <w:ind w:left="140"/>
              <w:spacing w:after="0"/>
              <w:rPr>
                <w:sz w:val="20"/>
                <w:szCs w:val="20"/>
                <w:color w:val="auto"/>
              </w:rPr>
            </w:pPr>
            <w:r>
              <w:rPr>
                <w:rFonts w:ascii="Arial" w:cs="Arial" w:eastAsia="Arial" w:hAnsi="Arial"/>
                <w:sz w:val="18"/>
                <w:szCs w:val="18"/>
                <w:color w:val="auto"/>
              </w:rPr>
              <w:t>Limitation of Liability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7.3</w:t>
            </w:r>
          </w:p>
        </w:tc>
        <w:tc>
          <w:tcPr>
            <w:tcW w:w="6680" w:type="dxa"/>
            <w:vAlign w:val="bottom"/>
          </w:tcPr>
          <w:p>
            <w:pPr>
              <w:ind w:left="140"/>
              <w:spacing w:after="0"/>
              <w:rPr>
                <w:sz w:val="20"/>
                <w:szCs w:val="20"/>
                <w:color w:val="auto"/>
              </w:rPr>
            </w:pPr>
            <w:r>
              <w:rPr>
                <w:rFonts w:ascii="Arial" w:cs="Arial" w:eastAsia="Arial" w:hAnsi="Arial"/>
                <w:sz w:val="18"/>
                <w:szCs w:val="18"/>
                <w:color w:val="auto"/>
              </w:rPr>
              <w:t>Termination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7.4</w:t>
            </w:r>
          </w:p>
        </w:tc>
        <w:tc>
          <w:tcPr>
            <w:tcW w:w="6680" w:type="dxa"/>
            <w:vAlign w:val="bottom"/>
          </w:tcPr>
          <w:p>
            <w:pPr>
              <w:ind w:left="140"/>
              <w:spacing w:after="0"/>
              <w:rPr>
                <w:sz w:val="20"/>
                <w:szCs w:val="20"/>
                <w:color w:val="auto"/>
              </w:rPr>
            </w:pPr>
            <w:r>
              <w:rPr>
                <w:rFonts w:ascii="Arial" w:cs="Arial" w:eastAsia="Arial" w:hAnsi="Arial"/>
                <w:sz w:val="18"/>
                <w:szCs w:val="18"/>
                <w:color w:val="auto"/>
              </w:rPr>
              <w:t>Amendment</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7.5</w:t>
            </w:r>
          </w:p>
        </w:tc>
        <w:tc>
          <w:tcPr>
            <w:tcW w:w="6680" w:type="dxa"/>
            <w:vAlign w:val="bottom"/>
          </w:tcPr>
          <w:p>
            <w:pPr>
              <w:ind w:left="140"/>
              <w:spacing w:after="0"/>
              <w:rPr>
                <w:sz w:val="20"/>
                <w:szCs w:val="20"/>
                <w:color w:val="auto"/>
              </w:rPr>
            </w:pPr>
            <w:r>
              <w:rPr>
                <w:rFonts w:ascii="Arial" w:cs="Arial" w:eastAsia="Arial" w:hAnsi="Arial"/>
                <w:sz w:val="18"/>
                <w:szCs w:val="18"/>
                <w:color w:val="auto"/>
              </w:rPr>
              <w:t>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7.6</w:t>
            </w:r>
          </w:p>
        </w:tc>
        <w:tc>
          <w:tcPr>
            <w:tcW w:w="6680" w:type="dxa"/>
            <w:vAlign w:val="bottom"/>
          </w:tcPr>
          <w:p>
            <w:pPr>
              <w:ind w:left="140"/>
              <w:spacing w:after="0"/>
              <w:rPr>
                <w:sz w:val="20"/>
                <w:szCs w:val="20"/>
                <w:color w:val="auto"/>
              </w:rPr>
            </w:pPr>
            <w:r>
              <w:rPr>
                <w:rFonts w:ascii="Arial" w:cs="Arial" w:eastAsia="Arial" w:hAnsi="Arial"/>
                <w:sz w:val="18"/>
                <w:szCs w:val="18"/>
                <w:color w:val="auto"/>
              </w:rPr>
              <w:t>Governing Law</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7.7</w:t>
            </w:r>
          </w:p>
        </w:tc>
        <w:tc>
          <w:tcPr>
            <w:tcW w:w="6680" w:type="dxa"/>
            <w:vAlign w:val="bottom"/>
          </w:tcPr>
          <w:p>
            <w:pPr>
              <w:ind w:left="140"/>
              <w:spacing w:after="0"/>
              <w:rPr>
                <w:sz w:val="20"/>
                <w:szCs w:val="20"/>
                <w:color w:val="auto"/>
              </w:rPr>
            </w:pPr>
            <w:r>
              <w:rPr>
                <w:rFonts w:ascii="Arial" w:cs="Arial" w:eastAsia="Arial" w:hAnsi="Arial"/>
                <w:sz w:val="18"/>
                <w:szCs w:val="18"/>
                <w:color w:val="auto"/>
              </w:rPr>
              <w:t>Authority</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7.8</w:t>
            </w:r>
          </w:p>
        </w:tc>
        <w:tc>
          <w:tcPr>
            <w:tcW w:w="6680" w:type="dxa"/>
            <w:vAlign w:val="bottom"/>
          </w:tcPr>
          <w:p>
            <w:pPr>
              <w:ind w:left="140"/>
              <w:spacing w:after="0"/>
              <w:rPr>
                <w:sz w:val="20"/>
                <w:szCs w:val="20"/>
                <w:color w:val="auto"/>
              </w:rPr>
            </w:pPr>
            <w:r>
              <w:rPr>
                <w:rFonts w:ascii="Arial" w:cs="Arial" w:eastAsia="Arial" w:hAnsi="Arial"/>
                <w:sz w:val="18"/>
                <w:szCs w:val="18"/>
                <w:color w:val="auto"/>
              </w:rPr>
              <w:t>Specific Performance</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7.9</w:t>
            </w:r>
          </w:p>
        </w:tc>
        <w:tc>
          <w:tcPr>
            <w:tcW w:w="668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7.10</w:t>
            </w:r>
          </w:p>
        </w:tc>
        <w:tc>
          <w:tcPr>
            <w:tcW w:w="66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7.11</w:t>
            </w:r>
          </w:p>
        </w:tc>
        <w:tc>
          <w:tcPr>
            <w:tcW w:w="6680" w:type="dxa"/>
            <w:vAlign w:val="bottom"/>
          </w:tcPr>
          <w:p>
            <w:pPr>
              <w:ind w:left="140"/>
              <w:spacing w:after="0"/>
              <w:rPr>
                <w:sz w:val="20"/>
                <w:szCs w:val="20"/>
                <w:color w:val="auto"/>
              </w:rPr>
            </w:pPr>
            <w:r>
              <w:rPr>
                <w:rFonts w:ascii="Arial" w:cs="Arial" w:eastAsia="Arial" w:hAnsi="Arial"/>
                <w:sz w:val="18"/>
                <w:szCs w:val="18"/>
                <w:color w:val="auto"/>
              </w:rPr>
              <w:t>Failure or Indulgence not Waiver; Remedies Cumulative</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7.12</w:t>
            </w:r>
          </w:p>
        </w:tc>
        <w:tc>
          <w:tcPr>
            <w:tcW w:w="6680" w:type="dxa"/>
            <w:vAlign w:val="bottom"/>
          </w:tcPr>
          <w:p>
            <w:pPr>
              <w:ind w:left="140"/>
              <w:spacing w:after="0"/>
              <w:rPr>
                <w:sz w:val="20"/>
                <w:szCs w:val="20"/>
                <w:color w:val="auto"/>
              </w:rPr>
            </w:pPr>
            <w:r>
              <w:rPr>
                <w:rFonts w:ascii="Arial" w:cs="Arial" w:eastAsia="Arial" w:hAnsi="Arial"/>
                <w:sz w:val="18"/>
                <w:szCs w:val="18"/>
                <w:color w:val="auto"/>
              </w:rPr>
              <w:t>Binding Effect; Assignment</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7.13</w:t>
            </w:r>
          </w:p>
        </w:tc>
        <w:tc>
          <w:tcPr>
            <w:tcW w:w="6680" w:type="dxa"/>
            <w:vAlign w:val="bottom"/>
          </w:tcPr>
          <w:p>
            <w:pPr>
              <w:ind w:left="140"/>
              <w:spacing w:after="0"/>
              <w:rPr>
                <w:sz w:val="20"/>
                <w:szCs w:val="20"/>
                <w:color w:val="auto"/>
              </w:rPr>
            </w:pPr>
            <w:r>
              <w:rPr>
                <w:rFonts w:ascii="Arial" w:cs="Arial" w:eastAsia="Arial" w:hAnsi="Arial"/>
                <w:sz w:val="18"/>
                <w:szCs w:val="18"/>
                <w:color w:val="auto"/>
              </w:rPr>
              <w:t>No Third Party Beneficiaries</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7.14</w:t>
            </w:r>
          </w:p>
        </w:tc>
        <w:tc>
          <w:tcPr>
            <w:tcW w:w="6680" w:type="dxa"/>
            <w:vAlign w:val="bottom"/>
          </w:tcPr>
          <w:p>
            <w:pPr>
              <w:ind w:left="140"/>
              <w:spacing w:after="0"/>
              <w:rPr>
                <w:sz w:val="20"/>
                <w:szCs w:val="20"/>
                <w:color w:val="auto"/>
              </w:rPr>
            </w:pPr>
            <w:r>
              <w:rPr>
                <w:rFonts w:ascii="Arial" w:cs="Arial" w:eastAsia="Arial" w:hAnsi="Arial"/>
                <w:sz w:val="18"/>
                <w:szCs w:val="18"/>
                <w:color w:val="auto"/>
              </w:rPr>
              <w:t>Inconsistency</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7.15</w:t>
            </w:r>
          </w:p>
        </w:tc>
        <w:tc>
          <w:tcPr>
            <w:tcW w:w="6680" w:type="dxa"/>
            <w:vAlign w:val="bottom"/>
          </w:tcPr>
          <w:p>
            <w:pPr>
              <w:ind w:left="140"/>
              <w:spacing w:after="0"/>
              <w:rPr>
                <w:sz w:val="20"/>
                <w:szCs w:val="20"/>
                <w:color w:val="auto"/>
              </w:rPr>
            </w:pPr>
            <w:r>
              <w:rPr>
                <w:rFonts w:ascii="Arial" w:cs="Arial" w:eastAsia="Arial" w:hAnsi="Arial"/>
                <w:sz w:val="18"/>
                <w:szCs w:val="18"/>
                <w:color w:val="auto"/>
              </w:rPr>
              <w:t>Heading</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7.16</w:t>
            </w:r>
          </w:p>
        </w:tc>
        <w:tc>
          <w:tcPr>
            <w:tcW w:w="6680" w:type="dxa"/>
            <w:vAlign w:val="bottom"/>
          </w:tcPr>
          <w:p>
            <w:pPr>
              <w:ind w:left="140"/>
              <w:spacing w:after="0"/>
              <w:rPr>
                <w:sz w:val="20"/>
                <w:szCs w:val="20"/>
                <w:color w:val="auto"/>
              </w:rPr>
            </w:pPr>
            <w:r>
              <w:rPr>
                <w:rFonts w:ascii="Arial" w:cs="Arial" w:eastAsia="Arial" w:hAnsi="Arial"/>
                <w:sz w:val="18"/>
                <w:szCs w:val="18"/>
                <w:color w:val="auto"/>
              </w:rPr>
              <w:t>Interpretation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7.17</w:t>
            </w:r>
          </w:p>
        </w:tc>
        <w:tc>
          <w:tcPr>
            <w:tcW w:w="668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05" w:name="page206"/>
    <w:bookmarkEnd w:id="205"/>
    <w:p>
      <w:pPr>
        <w:jc w:val="center"/>
        <w:ind w:right="-59"/>
        <w:spacing w:after="0"/>
        <w:rPr>
          <w:sz w:val="20"/>
          <w:szCs w:val="20"/>
          <w:color w:val="auto"/>
        </w:rPr>
      </w:pPr>
      <w:r>
        <w:rPr>
          <w:rFonts w:ascii="Arial" w:cs="Arial" w:eastAsia="Arial" w:hAnsi="Arial"/>
          <w:sz w:val="18"/>
          <w:szCs w:val="18"/>
          <w:b w:val="1"/>
          <w:bCs w:val="1"/>
          <w:color w:val="auto"/>
        </w:rPr>
        <w:t>MASTER TRANSACTION AGREEMENT</w:t>
      </w:r>
    </w:p>
    <w:p>
      <w:pPr>
        <w:spacing w:after="0" w:line="225" w:lineRule="exact"/>
        <w:rPr>
          <w:sz w:val="20"/>
          <w:szCs w:val="20"/>
          <w:color w:val="auto"/>
        </w:rPr>
      </w:pPr>
    </w:p>
    <w:p>
      <w:pPr>
        <w:jc w:val="both"/>
        <w:ind w:right="20" w:firstLine="985"/>
        <w:spacing w:after="0" w:line="303" w:lineRule="auto"/>
        <w:rPr>
          <w:sz w:val="20"/>
          <w:szCs w:val="20"/>
          <w:color w:val="auto"/>
        </w:rPr>
      </w:pPr>
      <w:r>
        <w:rPr>
          <w:rFonts w:ascii="Arial" w:cs="Arial" w:eastAsia="Arial" w:hAnsi="Arial"/>
          <w:sz w:val="16"/>
          <w:szCs w:val="16"/>
          <w:color w:val="auto"/>
        </w:rPr>
        <w:t>This Master Transaction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September 27, 2019, by and between NetEase, Inc., a company incorporated under the laws of the Cayman Islands (“</w:t>
      </w:r>
      <w:r>
        <w:rPr>
          <w:rFonts w:ascii="Arial" w:cs="Arial" w:eastAsia="Arial" w:hAnsi="Arial"/>
          <w:sz w:val="16"/>
          <w:szCs w:val="16"/>
          <w:b w:val="1"/>
          <w:bCs w:val="1"/>
          <w:color w:val="auto"/>
        </w:rPr>
        <w:t>NetEase</w:t>
      </w:r>
      <w:r>
        <w:rPr>
          <w:rFonts w:ascii="Arial" w:cs="Arial" w:eastAsia="Arial" w:hAnsi="Arial"/>
          <w:sz w:val="16"/>
          <w:szCs w:val="16"/>
          <w:color w:val="auto"/>
        </w:rPr>
        <w:t>”), on behalf of itself and other members of the NetEase Group (as defined below), and Youdao, Inc., a company incorporated under the laws of the Cayman Islands (“</w:t>
      </w:r>
      <w:r>
        <w:rPr>
          <w:rFonts w:ascii="Arial" w:cs="Arial" w:eastAsia="Arial" w:hAnsi="Arial"/>
          <w:sz w:val="16"/>
          <w:szCs w:val="16"/>
          <w:b w:val="1"/>
          <w:bCs w:val="1"/>
          <w:color w:val="auto"/>
        </w:rPr>
        <w:t>Youdao</w:t>
      </w:r>
      <w:r>
        <w:rPr>
          <w:rFonts w:ascii="Arial" w:cs="Arial" w:eastAsia="Arial" w:hAnsi="Arial"/>
          <w:sz w:val="16"/>
          <w:szCs w:val="16"/>
          <w:color w:val="auto"/>
        </w:rPr>
        <w:t>”), on behalf of itself and other members of the Youdao Group (as defined below), (each of NetEase and Youdao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as of the date hereof, Youdao is Controlled by NetEase;</w:t>
      </w:r>
    </w:p>
    <w:p>
      <w:pPr>
        <w:spacing w:after="0" w:line="221" w:lineRule="exact"/>
        <w:rPr>
          <w:sz w:val="20"/>
          <w:szCs w:val="20"/>
          <w:color w:val="auto"/>
        </w:rPr>
      </w:pPr>
    </w:p>
    <w:p>
      <w:pPr>
        <w:ind w:right="80" w:firstLine="985"/>
        <w:spacing w:after="0" w:line="347" w:lineRule="auto"/>
        <w:rPr>
          <w:sz w:val="20"/>
          <w:szCs w:val="20"/>
          <w:color w:val="auto"/>
        </w:rPr>
      </w:pPr>
      <w:r>
        <w:rPr>
          <w:rFonts w:ascii="Arial" w:cs="Arial" w:eastAsia="Arial" w:hAnsi="Arial"/>
          <w:sz w:val="16"/>
          <w:szCs w:val="16"/>
          <w:color w:val="auto"/>
        </w:rPr>
        <w:t>WHEREAS, the Parties currently contemplate that Youdao will make an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pursuant to a Registration Statement on Form F-1 (as so filed, and as amended thereafter from time to time, the “</w:t>
      </w:r>
      <w:r>
        <w:rPr>
          <w:rFonts w:ascii="Arial" w:cs="Arial" w:eastAsia="Arial" w:hAnsi="Arial"/>
          <w:sz w:val="16"/>
          <w:szCs w:val="16"/>
          <w:b w:val="1"/>
          <w:bCs w:val="1"/>
          <w:color w:val="auto"/>
        </w:rPr>
        <w:t>IPO Registration Statement</w:t>
      </w:r>
      <w:r>
        <w:rPr>
          <w:rFonts w:ascii="Arial" w:cs="Arial" w:eastAsia="Arial" w:hAnsi="Arial"/>
          <w:sz w:val="16"/>
          <w:szCs w:val="16"/>
          <w:color w:val="auto"/>
        </w:rPr>
        <w:t>”); and</w:t>
      </w:r>
    </w:p>
    <w:p>
      <w:pPr>
        <w:spacing w:after="0" w:line="12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the Parties intend in this Agreement to set forth and memorialize the principal arrangements between NetEase and Youdao regarding the relationship of the Parties from and after the consummation of the IPO.</w:t>
      </w:r>
    </w:p>
    <w:p>
      <w:pPr>
        <w:spacing w:after="0" w:line="170" w:lineRule="exact"/>
        <w:rPr>
          <w:sz w:val="20"/>
          <w:szCs w:val="20"/>
          <w:color w:val="auto"/>
        </w:rPr>
      </w:pPr>
    </w:p>
    <w:p>
      <w:pPr>
        <w:ind w:right="700" w:firstLine="991"/>
        <w:spacing w:after="0" w:line="277" w:lineRule="auto"/>
        <w:rPr>
          <w:sz w:val="20"/>
          <w:szCs w:val="20"/>
          <w:color w:val="auto"/>
        </w:rPr>
      </w:pPr>
      <w:r>
        <w:rPr>
          <w:rFonts w:ascii="Arial" w:cs="Arial" w:eastAsia="Arial" w:hAnsi="Arial"/>
          <w:sz w:val="18"/>
          <w:szCs w:val="18"/>
          <w:color w:val="auto"/>
        </w:rPr>
        <w:t>NOW, THEREFORE, in consideration of the foregoing recitals, the mutual agreements, covenants and provisions contained in this Agreement, the Parties, intending to be legally bound, agree as follows: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1440"/>
        <w:spacing w:after="0"/>
        <w:tabs>
          <w:tab w:leader="none" w:pos="24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The following capitalized terms have the meanings given to them in this Section 1.1:</w:t>
      </w:r>
    </w:p>
    <w:p>
      <w:pPr>
        <w:spacing w:after="0" w:line="221"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Action</w:t>
      </w:r>
      <w:r>
        <w:rPr>
          <w:rFonts w:ascii="Arial" w:cs="Arial" w:eastAsia="Arial" w:hAnsi="Arial"/>
          <w:sz w:val="18"/>
          <w:szCs w:val="18"/>
          <w:color w:val="auto"/>
        </w:rPr>
        <w:t>” means any demand, action, suit, countersuit, claim, counterclaim, arbitration, inquiry, proceeding or investigation by or before any Governmental Authority or any arbitration or mediation tribunal.</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has the meaning set forth in Section 3.1(b) of this Agreement.</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any Person means a Person that Controls, is Controlled by, or is under common Control with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under this Agreement, “Affiliate” of any member of the NetEase Group excludes members of the Youdao Group,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any member of the Youdao Group excludes members of the NetEase Group.</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Business Information</w:t>
      </w:r>
      <w:r>
        <w:rPr>
          <w:rFonts w:ascii="Arial" w:cs="Arial" w:eastAsia="Arial" w:hAnsi="Arial"/>
          <w:sz w:val="18"/>
          <w:szCs w:val="18"/>
          <w:color w:val="auto"/>
        </w:rPr>
        <w:t>” has the meaning set forth in Section 4.5(b)(iii)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4.5(b)(i) of this Agreement.</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06" w:name="page207"/>
    <w:bookmarkEnd w:id="206"/>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Technical Information</w:t>
      </w:r>
      <w:r>
        <w:rPr>
          <w:rFonts w:ascii="Arial" w:cs="Arial" w:eastAsia="Arial" w:hAnsi="Arial"/>
          <w:sz w:val="18"/>
          <w:szCs w:val="18"/>
          <w:color w:val="auto"/>
        </w:rPr>
        <w:t>” has the meaning set forth in Section 4.5(b)(ii) of this Agreement.</w:t>
      </w:r>
    </w:p>
    <w:p>
      <w:pPr>
        <w:spacing w:after="0" w:line="225" w:lineRule="exact"/>
        <w:rPr>
          <w:sz w:val="20"/>
          <w:szCs w:val="20"/>
          <w:color w:val="auto"/>
        </w:rPr>
      </w:pPr>
    </w:p>
    <w:p>
      <w:pPr>
        <w:ind w:firstLine="9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contract, agreement, lease, license, sales order, purchase order, instrument or other commitment that is binding on any Person or any part of its property under applicable law.</w:t>
      </w:r>
    </w:p>
    <w:p>
      <w:pPr>
        <w:spacing w:after="0" w:line="162" w:lineRule="exact"/>
        <w:rPr>
          <w:sz w:val="20"/>
          <w:szCs w:val="20"/>
          <w:color w:val="auto"/>
        </w:rPr>
      </w:pPr>
    </w:p>
    <w:p>
      <w:pPr>
        <w:ind w:right="120" w:firstLine="985"/>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as used with respect to any Person, the possession, directly or indirectly, of the power to direct or cause the direction of the management and policies of such Person, whether through ownership of voting securities or other interests, by contract or otherwise; the terms “Controlled by” and “under common Control with” shall have correlative meanings.</w:t>
      </w:r>
    </w:p>
    <w:p>
      <w:pPr>
        <w:spacing w:after="0" w:line="158" w:lineRule="exact"/>
        <w:rPr>
          <w:sz w:val="20"/>
          <w:szCs w:val="20"/>
          <w:color w:val="auto"/>
        </w:rPr>
      </w:pPr>
    </w:p>
    <w:p>
      <w:pPr>
        <w:ind w:right="200" w:firstLine="98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Ending Date</w:t>
      </w:r>
      <w:r>
        <w:rPr>
          <w:rFonts w:ascii="Arial" w:cs="Arial" w:eastAsia="Arial" w:hAnsi="Arial"/>
          <w:sz w:val="18"/>
          <w:szCs w:val="18"/>
          <w:color w:val="auto"/>
        </w:rPr>
        <w:t>” means the earlier of (i) the first date upon which members of the NetEase Group no longer collectively own at least twenty percent (20%) of the voting power of the then outstanding voting securities of Youdao and (ii) the first date upon which NetEase, collectively with the other members of the NetEase Group, ceases to be the largest beneficial owner of the then outstanding voting securities of Youdao.</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Cooperation Framework Agreement</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6.1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has the meaning set forth in Section 6.1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Draft IPO Registration Statement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right="180" w:firstLine="9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provincial, municipal or local government, administrative or regulatory body or department, court, tribunal, arbitrator or any body that exercises the function of a regulator.</w:t>
      </w:r>
    </w:p>
    <w:p>
      <w:pPr>
        <w:spacing w:after="0" w:line="162" w:lineRule="exact"/>
        <w:rPr>
          <w:sz w:val="20"/>
          <w:szCs w:val="20"/>
          <w:color w:val="auto"/>
        </w:rPr>
      </w:pPr>
    </w:p>
    <w:p>
      <w:pPr>
        <w:ind w:right="180" w:firstLine="9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means any party which may be obligated to provide indemnification to an Indemnitee pursuant to Section 5.2 or Section 5.3 hereof or any other section of this Agreement or any Inter-Company Agreement.</w:t>
      </w:r>
    </w:p>
    <w:p>
      <w:pPr>
        <w:spacing w:after="0" w:line="162" w:lineRule="exact"/>
        <w:rPr>
          <w:sz w:val="20"/>
          <w:szCs w:val="20"/>
          <w:color w:val="auto"/>
        </w:rPr>
      </w:pPr>
    </w:p>
    <w:p>
      <w:pPr>
        <w:ind w:right="260" w:firstLine="9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means any party which may be entitled to release of claims and/or indemnification from an Indemnifying Party pursuant to Article 5 hereof or any other section of this Agreement or any Inter-Company Agreement.</w:t>
      </w:r>
    </w:p>
    <w:p>
      <w:pPr>
        <w:spacing w:after="0" w:line="162" w:lineRule="exact"/>
        <w:rPr>
          <w:sz w:val="20"/>
          <w:szCs w:val="20"/>
          <w:color w:val="auto"/>
        </w:rPr>
      </w:pPr>
    </w:p>
    <w:p>
      <w:pPr>
        <w:ind w:right="60" w:firstLine="98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databases, computer data, disks, diskettes, tapes, computer programs or other software, marketing plans, customer names, communications by or to attorneys (excluding any client-privileged communications), memos and other materials prepared by attorneys or under their direction (including attorney work product), and any other confidential, proprietary, technical, financial, employee or business information or data.</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7" w:name="page208"/>
    <w:bookmarkEnd w:id="207"/>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License Agreement</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Agreements</w:t>
      </w:r>
      <w:r>
        <w:rPr>
          <w:rFonts w:ascii="Arial" w:cs="Arial" w:eastAsia="Arial" w:hAnsi="Arial"/>
          <w:sz w:val="18"/>
          <w:szCs w:val="18"/>
          <w:color w:val="auto"/>
        </w:rPr>
        <w:t>” means the Transitional Services Agreement, the Non-Competition Agreement, the Cooperation Framework Agreement and the Intellectual Property License Agreement.</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Registration Statement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both"/>
        <w:ind w:firstLine="99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U.S. GAAP to be reflected in financial statements or disclosed in the notes thereto.</w:t>
      </w:r>
    </w:p>
    <w:p>
      <w:pPr>
        <w:spacing w:after="0" w:line="183" w:lineRule="exact"/>
        <w:rPr>
          <w:sz w:val="20"/>
          <w:szCs w:val="20"/>
          <w:color w:val="auto"/>
        </w:rPr>
      </w:pPr>
    </w:p>
    <w:p>
      <w:pPr>
        <w:ind w:right="220" w:firstLine="99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and “</w:t>
      </w:r>
      <w:r>
        <w:rPr>
          <w:rFonts w:ascii="Arial" w:cs="Arial" w:eastAsia="Arial" w:hAnsi="Arial"/>
          <w:sz w:val="18"/>
          <w:szCs w:val="18"/>
          <w:b w:val="1"/>
          <w:bCs w:val="1"/>
          <w:color w:val="auto"/>
        </w:rPr>
        <w:t>Losses</w:t>
      </w:r>
      <w:r>
        <w:rPr>
          <w:rFonts w:ascii="Arial" w:cs="Arial" w:eastAsia="Arial" w:hAnsi="Arial"/>
          <w:sz w:val="18"/>
          <w:szCs w:val="18"/>
          <w:color w:val="auto"/>
        </w:rPr>
        <w:t>” mean any and all damages, losses, deficiencies, Liabilities, obligations, penalties, judgments, settlements, claims, payments, fines, interest, costs and expenses (including, without limitation, the costs and expenses of any and all Actions and demands, assessments, judgments, settlements and compromises relating thereto and the reasonable costs and expenses of attorneys’, accountants’, consultants’ and other professionals’ fees and expenses incurred in the investigation or defense thereof or the enforcement of rights hereunder), but excluding punitive damages (other than punitive damages awarded to any third party against an indemnified party).</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NetEase’s Auditors</w:t>
      </w:r>
      <w:r>
        <w:rPr>
          <w:rFonts w:ascii="Arial" w:cs="Arial" w:eastAsia="Arial" w:hAnsi="Arial"/>
          <w:sz w:val="18"/>
          <w:szCs w:val="18"/>
          <w:color w:val="auto"/>
        </w:rPr>
        <w:t>” has the meaning set forth in Section 4.4(a)(i) of this Agreement.</w:t>
      </w:r>
    </w:p>
    <w:p>
      <w:pPr>
        <w:spacing w:after="0" w:line="225"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Business</w:t>
      </w:r>
      <w:r>
        <w:rPr>
          <w:rFonts w:ascii="Arial" w:cs="Arial" w:eastAsia="Arial" w:hAnsi="Arial"/>
          <w:sz w:val="18"/>
          <w:szCs w:val="18"/>
          <w:color w:val="auto"/>
        </w:rPr>
        <w:t>” means any business that is conducted by the NetEase Group as of the date hereof and any business that is derived from the foregoing businesses; for the avoidance of doubt, “NetEase Business” shall not include the Online Learning Business.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Group</w:t>
      </w:r>
      <w:r>
        <w:rPr>
          <w:rFonts w:ascii="Arial" w:cs="Arial" w:eastAsia="Arial" w:hAnsi="Arial"/>
          <w:sz w:val="18"/>
          <w:szCs w:val="18"/>
          <w:color w:val="auto"/>
        </w:rPr>
        <w:t>” means NetEase and its subsidiaries and VIEs, other than the Youdao Group.</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8" w:name="page209"/>
    <w:bookmarkEnd w:id="208"/>
    <w:p>
      <w:pPr>
        <w:ind w:right="3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Indemnitees</w:t>
      </w:r>
      <w:r>
        <w:rPr>
          <w:rFonts w:ascii="Arial" w:cs="Arial" w:eastAsia="Arial" w:hAnsi="Arial"/>
          <w:sz w:val="18"/>
          <w:szCs w:val="18"/>
          <w:color w:val="auto"/>
        </w:rPr>
        <w:t>” means NetEase and its subsidiaries and VIEs (excluding the Youdao Group) and each of their respective directors, officers and employees.</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Liabilities</w:t>
      </w:r>
      <w:r>
        <w:rPr>
          <w:rFonts w:ascii="Arial" w:cs="Arial" w:eastAsia="Arial" w:hAnsi="Arial"/>
          <w:sz w:val="18"/>
          <w:szCs w:val="18"/>
          <w:color w:val="auto"/>
        </w:rPr>
        <w:t>” means (without duplication) the following Liabilities:</w:t>
      </w:r>
    </w:p>
    <w:p>
      <w:pPr>
        <w:spacing w:after="0" w:line="229" w:lineRule="exact"/>
        <w:rPr>
          <w:sz w:val="20"/>
          <w:szCs w:val="20"/>
          <w:color w:val="auto"/>
        </w:rPr>
      </w:pPr>
    </w:p>
    <w:p>
      <w:pPr>
        <w:ind w:left="440" w:right="380" w:firstLine="1441"/>
        <w:spacing w:after="0" w:line="277" w:lineRule="auto"/>
        <w:tabs>
          <w:tab w:leader="none" w:pos="222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Liabilities, arising on or after June 30, 2019, that relate to, arise or result from the operation of the NetEase Business, other than Youdao Liabilities; and</w:t>
      </w:r>
    </w:p>
    <w:p>
      <w:pPr>
        <w:spacing w:after="0" w:line="170" w:lineRule="exact"/>
        <w:rPr>
          <w:rFonts w:ascii="Arial" w:cs="Arial" w:eastAsia="Arial" w:hAnsi="Arial"/>
          <w:sz w:val="18"/>
          <w:szCs w:val="18"/>
          <w:color w:val="auto"/>
        </w:rPr>
      </w:pPr>
    </w:p>
    <w:p>
      <w:pPr>
        <w:ind w:left="2240" w:hanging="359"/>
        <w:spacing w:after="0"/>
        <w:tabs>
          <w:tab w:leader="none" w:pos="22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Liabilities of NetEase and its subsidiaries and VIEs under this Agreement or any of the Inter-Company</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Non-Competition Agreement</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Online Learning Business</w:t>
      </w:r>
      <w:r>
        <w:rPr>
          <w:rFonts w:ascii="Arial" w:cs="Arial" w:eastAsia="Arial" w:hAnsi="Arial"/>
          <w:sz w:val="17"/>
          <w:szCs w:val="17"/>
          <w:color w:val="auto"/>
        </w:rPr>
        <w:t>” means the provision of online learning products (including online knowledge tools and smart devices) and online learning services (including online courses and interactive learning apps) by the Youdao Group as of the date hereof, as more completely described in the IPO Registration Statement; for the avoidance of doubt, “Online Learning Business” shall not include development and operation of online games, emails, e-commerce business, FinTech services, music applications, online reading, news and information, information security, SaaS, NetEase open online courses, the K-12 curriculum course offered by the NetEase Group as of the date hereof, films, and television programs.</w:t>
      </w:r>
    </w:p>
    <w:p>
      <w:pPr>
        <w:spacing w:after="0" w:line="173"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a Governmental Authority or any department, agency or political subdivision thereof.</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Privileged Information</w:t>
      </w:r>
      <w:r>
        <w:rPr>
          <w:rFonts w:ascii="Arial" w:cs="Arial" w:eastAsia="Arial" w:hAnsi="Arial"/>
          <w:sz w:val="18"/>
          <w:szCs w:val="18"/>
          <w:color w:val="auto"/>
        </w:rPr>
        <w:t>” has the meaning set forth in Section 4.6(a)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Privileges</w:t>
      </w:r>
      <w:r>
        <w:rPr>
          <w:rFonts w:ascii="Arial" w:cs="Arial" w:eastAsia="Arial" w:hAnsi="Arial"/>
          <w:sz w:val="18"/>
          <w:szCs w:val="18"/>
          <w:color w:val="auto"/>
        </w:rPr>
        <w:t>” has the meaning set forth in Section 4.6(a) of this Agreement.</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Filing Date</w:t>
      </w:r>
      <w:r>
        <w:rPr>
          <w:rFonts w:ascii="Arial" w:cs="Arial" w:eastAsia="Arial" w:hAnsi="Arial"/>
          <w:sz w:val="18"/>
          <w:szCs w:val="18"/>
          <w:color w:val="auto"/>
        </w:rPr>
        <w:t>” means the date when the Draft IPO Registration Statement will be filed publicly with the SEC via its EDGAR system.</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Rule 10A-3(b)(2)</w:t>
      </w:r>
      <w:r>
        <w:rPr>
          <w:rFonts w:ascii="Arial" w:cs="Arial" w:eastAsia="Arial" w:hAnsi="Arial"/>
          <w:sz w:val="16"/>
          <w:szCs w:val="16"/>
          <w:color w:val="auto"/>
        </w:rPr>
        <w:t>” means Rule 10A-3(b)(2) (or any successor rule to similar effect) promulgated under the Exchange Act.</w:t>
      </w:r>
    </w:p>
    <w:p>
      <w:pPr>
        <w:spacing w:after="0" w:line="24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given Person, any Person of which the given Person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Controls.</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Claim</w:t>
      </w:r>
      <w:r>
        <w:rPr>
          <w:rFonts w:ascii="Arial" w:cs="Arial" w:eastAsia="Arial" w:hAnsi="Arial"/>
          <w:sz w:val="18"/>
          <w:szCs w:val="18"/>
          <w:color w:val="auto"/>
        </w:rPr>
        <w:t>” has the meaning set forth in Section 5.4(a)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Transitional Services Agreement</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U.S. GAAP</w:t>
      </w:r>
      <w:r>
        <w:rPr>
          <w:rFonts w:ascii="Arial" w:cs="Arial" w:eastAsia="Arial" w:hAnsi="Arial"/>
          <w:sz w:val="17"/>
          <w:szCs w:val="17"/>
          <w:color w:val="auto"/>
        </w:rPr>
        <w:t>” means generally accepted accounting principles in the United States as in effect from time to time.</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has the meaning set forth in Section 3.1(a)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has the meaning set forth in Section 3.1(a) of this Agreement.</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9" w:name="page210"/>
    <w:bookmarkEnd w:id="209"/>
    <w:p>
      <w:pPr>
        <w:ind w:right="4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w:t>
      </w:r>
      <w:r>
        <w:rPr>
          <w:rFonts w:ascii="Arial" w:cs="Arial" w:eastAsia="Arial" w:hAnsi="Arial"/>
          <w:sz w:val="18"/>
          <w:szCs w:val="18"/>
          <w:color w:val="auto"/>
        </w:rPr>
        <w:t>” of any Person means any entity that is Controlled by such Person and is deemed to be a variable interest entity consolidated with such Person for purposes of U.S. GAAP.</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Youdao’s Auditors</w:t>
      </w:r>
      <w:r>
        <w:rPr>
          <w:rFonts w:ascii="Arial" w:cs="Arial" w:eastAsia="Arial" w:hAnsi="Arial"/>
          <w:sz w:val="18"/>
          <w:szCs w:val="18"/>
          <w:color w:val="auto"/>
        </w:rPr>
        <w:t>” has the meaning set forth in Section 4.4(a)(i)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Balance Sheet</w:t>
      </w:r>
      <w:r>
        <w:rPr>
          <w:rFonts w:ascii="Arial" w:cs="Arial" w:eastAsia="Arial" w:hAnsi="Arial"/>
          <w:sz w:val="18"/>
          <w:szCs w:val="18"/>
          <w:color w:val="auto"/>
        </w:rPr>
        <w:t>” means Youdao’s reviewed consolidated balance sheet as of June 30, 2019.</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Group</w:t>
      </w:r>
      <w:r>
        <w:rPr>
          <w:rFonts w:ascii="Arial" w:cs="Arial" w:eastAsia="Arial" w:hAnsi="Arial"/>
          <w:sz w:val="18"/>
          <w:szCs w:val="18"/>
          <w:color w:val="auto"/>
        </w:rPr>
        <w:t>” means Youdao and its subsidiaries and VIEs.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Youdao Indemnitees</w:t>
      </w:r>
      <w:r>
        <w:rPr>
          <w:rFonts w:ascii="Arial" w:cs="Arial" w:eastAsia="Arial" w:hAnsi="Arial"/>
          <w:sz w:val="16"/>
          <w:szCs w:val="16"/>
          <w:color w:val="auto"/>
        </w:rPr>
        <w:t>” means Youdao and its subsidiaries and VIEs and each of their respective directors, officers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Liabilities</w:t>
      </w:r>
      <w:r>
        <w:rPr>
          <w:rFonts w:ascii="Arial" w:cs="Arial" w:eastAsia="Arial" w:hAnsi="Arial"/>
          <w:sz w:val="18"/>
          <w:szCs w:val="18"/>
          <w:color w:val="auto"/>
        </w:rPr>
        <w:t>” means (without duplication) the following Liabilities:</w:t>
      </w:r>
    </w:p>
    <w:p>
      <w:pPr>
        <w:spacing w:after="0" w:line="229" w:lineRule="exact"/>
        <w:rPr>
          <w:sz w:val="20"/>
          <w:szCs w:val="20"/>
          <w:color w:val="auto"/>
        </w:rPr>
      </w:pPr>
    </w:p>
    <w:p>
      <w:pPr>
        <w:ind w:left="440" w:firstLine="1441"/>
        <w:spacing w:after="0" w:line="286" w:lineRule="auto"/>
        <w:tabs>
          <w:tab w:leader="none" w:pos="226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all Liabilities of NetEase or its subsidiaries and VIEs that arise after the date of the Youdao Balance Sheet that would be reflected in a Youdao balance sheet as of the date of such Liabilities, if such balance sheet was prepared using the same principles and accounting policies under which the Youdao Balance Sheet was prepared;</w:t>
      </w:r>
    </w:p>
    <w:p>
      <w:pPr>
        <w:spacing w:after="0" w:line="165" w:lineRule="exact"/>
        <w:rPr>
          <w:rFonts w:ascii="Arial" w:cs="Arial" w:eastAsia="Arial" w:hAnsi="Arial"/>
          <w:sz w:val="17"/>
          <w:szCs w:val="17"/>
          <w:color w:val="auto"/>
        </w:rPr>
      </w:pPr>
    </w:p>
    <w:p>
      <w:pPr>
        <w:jc w:val="both"/>
        <w:ind w:left="440" w:right="40" w:firstLine="1441"/>
        <w:spacing w:after="0" w:line="263" w:lineRule="auto"/>
        <w:tabs>
          <w:tab w:leader="none" w:pos="227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Liabilities, whether arising before, on or after June 30, 2019, that relate to, arise or result from: (1) the operation of the Online Learning Business or (2) the operation of any business conducted by Youdao and its subsidiaries and VIEs at any time after June 30, 2019; and</w:t>
      </w:r>
    </w:p>
    <w:p>
      <w:pPr>
        <w:spacing w:after="0" w:line="183" w:lineRule="exact"/>
        <w:rPr>
          <w:rFonts w:ascii="Arial" w:cs="Arial" w:eastAsia="Arial" w:hAnsi="Arial"/>
          <w:sz w:val="18"/>
          <w:szCs w:val="18"/>
          <w:color w:val="auto"/>
        </w:rPr>
      </w:pPr>
    </w:p>
    <w:p>
      <w:pPr>
        <w:ind w:left="2280" w:hanging="399"/>
        <w:spacing w:after="0"/>
        <w:tabs>
          <w:tab w:leader="none" w:pos="22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Liabilities of Youdao and its subsidiaries and VIEs under this Agreement or any of the Inter-Company</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Agreements.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DOCUMENTS AND ITEMS TO BE DELIVERED PRIOR TO F-1 FILING</w:t>
      </w:r>
    </w:p>
    <w:p>
      <w:pPr>
        <w:spacing w:after="0" w:line="211" w:lineRule="exact"/>
        <w:rPr>
          <w:sz w:val="20"/>
          <w:szCs w:val="20"/>
          <w:color w:val="auto"/>
        </w:rPr>
      </w:pPr>
    </w:p>
    <w:p>
      <w:pPr>
        <w:ind w:right="100" w:firstLine="1432"/>
        <w:spacing w:after="0" w:line="28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Documents to be delivered by NetEase</w:t>
      </w:r>
      <w:r>
        <w:rPr>
          <w:rFonts w:ascii="Arial" w:cs="Arial" w:eastAsia="Arial" w:hAnsi="Arial"/>
          <w:sz w:val="16"/>
          <w:szCs w:val="16"/>
          <w:color w:val="auto"/>
        </w:rPr>
        <w:t>. NetEase has delivered and/or its subsidiaries and VIEs have delivered, as appropriate, or NetEase will deliver, or will cause its subsidiaries and VIEs to deliver, as appropriate, prior to the Public Filing Date, to Youdao and/or its subsidiaries and VIEs, as appropriate: (a) a duly executed Transitional Services Agreement, substantially in the form attached to the Draft IPO Registration Statement as an exhibit, with such changes, if any, to such form as may be agreed to by the Parties in writing prior to such execution (the “</w:t>
      </w:r>
      <w:r>
        <w:rPr>
          <w:rFonts w:ascii="Arial" w:cs="Arial" w:eastAsia="Arial" w:hAnsi="Arial"/>
          <w:sz w:val="16"/>
          <w:szCs w:val="16"/>
          <w:b w:val="1"/>
          <w:bCs w:val="1"/>
          <w:color w:val="auto"/>
        </w:rPr>
        <w:t>Transitional Services Agreement</w:t>
      </w:r>
      <w:r>
        <w:rPr>
          <w:rFonts w:ascii="Arial" w:cs="Arial" w:eastAsia="Arial" w:hAnsi="Arial"/>
          <w:sz w:val="16"/>
          <w:szCs w:val="16"/>
          <w:color w:val="auto"/>
        </w:rPr>
        <w:t>”); (b) a duly executed Non-Competition Agreement, substantially in the form attached to the Draft IPO Registration Statement as an exhibit, with such changes, if any, to such form as may be agreed to by the Parties in writing prior to such execution (the “</w:t>
      </w:r>
      <w:r>
        <w:rPr>
          <w:rFonts w:ascii="Arial" w:cs="Arial" w:eastAsia="Arial" w:hAnsi="Arial"/>
          <w:sz w:val="16"/>
          <w:szCs w:val="16"/>
          <w:b w:val="1"/>
          <w:bCs w:val="1"/>
          <w:color w:val="auto"/>
        </w:rPr>
        <w:t>Non-Competition Agreement</w:t>
      </w:r>
      <w:r>
        <w:rPr>
          <w:rFonts w:ascii="Arial" w:cs="Arial" w:eastAsia="Arial" w:hAnsi="Arial"/>
          <w:sz w:val="16"/>
          <w:szCs w:val="16"/>
          <w:color w:val="auto"/>
        </w:rPr>
        <w:t>”); (c) a duly executed Cooperation Framework Agreement, substantially in the form attached to the Draft IPO Registration Statement as an exhibit, with such changes, if any, to such form as may be agreed to by the Parties in writing prior to such execution (the “</w:t>
      </w:r>
      <w:r>
        <w:rPr>
          <w:rFonts w:ascii="Arial" w:cs="Arial" w:eastAsia="Arial" w:hAnsi="Arial"/>
          <w:sz w:val="16"/>
          <w:szCs w:val="16"/>
          <w:b w:val="1"/>
          <w:bCs w:val="1"/>
          <w:color w:val="auto"/>
        </w:rPr>
        <w:t>Cooperation</w:t>
      </w:r>
      <w:r>
        <w:rPr>
          <w:rFonts w:ascii="Arial" w:cs="Arial" w:eastAsia="Arial" w:hAnsi="Arial"/>
          <w:sz w:val="16"/>
          <w:szCs w:val="16"/>
          <w:color w:val="auto"/>
        </w:rPr>
        <w:t xml:space="preserve"> </w:t>
      </w:r>
      <w:r>
        <w:rPr>
          <w:rFonts w:ascii="Arial" w:cs="Arial" w:eastAsia="Arial" w:hAnsi="Arial"/>
          <w:sz w:val="16"/>
          <w:szCs w:val="16"/>
          <w:b w:val="1"/>
          <w:bCs w:val="1"/>
          <w:color w:val="auto"/>
        </w:rPr>
        <w:t>Framework Agreement</w:t>
      </w:r>
      <w:r>
        <w:rPr>
          <w:rFonts w:ascii="Arial" w:cs="Arial" w:eastAsia="Arial" w:hAnsi="Arial"/>
          <w:sz w:val="16"/>
          <w:szCs w:val="16"/>
          <w:color w:val="auto"/>
        </w:rPr>
        <w:t>”); (d) a duly executed Intellectual Property License Agreement, substantially in the form attached to the Draft</w:t>
      </w:r>
      <w:r>
        <w:rPr>
          <w:rFonts w:ascii="Arial" w:cs="Arial" w:eastAsia="Arial" w:hAnsi="Arial"/>
          <w:sz w:val="16"/>
          <w:szCs w:val="16"/>
          <w:b w:val="1"/>
          <w:bCs w:val="1"/>
          <w:color w:val="auto"/>
        </w:rPr>
        <w:t xml:space="preserve"> </w:t>
      </w:r>
      <w:r>
        <w:rPr>
          <w:rFonts w:ascii="Arial" w:cs="Arial" w:eastAsia="Arial" w:hAnsi="Arial"/>
          <w:sz w:val="16"/>
          <w:szCs w:val="16"/>
          <w:color w:val="auto"/>
        </w:rPr>
        <w:t>IPO Registration Statement as an exhibit, with such changes, if any, to such form as may be agreed to by the Parties in writing prior to such execution (the “</w:t>
      </w:r>
      <w:r>
        <w:rPr>
          <w:rFonts w:ascii="Arial" w:cs="Arial" w:eastAsia="Arial" w:hAnsi="Arial"/>
          <w:sz w:val="16"/>
          <w:szCs w:val="16"/>
          <w:b w:val="1"/>
          <w:bCs w:val="1"/>
          <w:color w:val="auto"/>
        </w:rPr>
        <w:t>Intellectual Property License Agreement</w:t>
      </w:r>
      <w:r>
        <w:rPr>
          <w:rFonts w:ascii="Arial" w:cs="Arial" w:eastAsia="Arial" w:hAnsi="Arial"/>
          <w:sz w:val="16"/>
          <w:szCs w:val="16"/>
          <w:color w:val="auto"/>
        </w:rPr>
        <w:t>”); and (e) such other agreements, documents or instruments as the Parties may agree are necessary or desirable in order to achieve the purposes hereof. For purposes of this Agreement, the Youdao Group will not be considered subsidiaries and VIEs of NetEase.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10" w:name="page211"/>
    <w:bookmarkEnd w:id="210"/>
    <w:p>
      <w:pPr>
        <w:ind w:right="80" w:firstLine="1432"/>
        <w:spacing w:after="0" w:line="296"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Documents to be delivered by Youdao</w:t>
      </w:r>
      <w:r>
        <w:rPr>
          <w:rFonts w:ascii="Arial" w:cs="Arial" w:eastAsia="Arial" w:hAnsi="Arial"/>
          <w:sz w:val="16"/>
          <w:szCs w:val="16"/>
          <w:color w:val="auto"/>
        </w:rPr>
        <w:t>. Youdao has delivered and/or its subsidiaries and VIEs have delivered, as appropriate, or Youdao will deliver, or will cause its subsidiaries and VIEs to deliver, as appropriate, prior to the Public Filing Date, to NetEase and/or its subsidiaries, as appropriate: (a) in each case where Youdao or any of its subsidiaries or VIEs is a party to any agreement or instrument referred to in Section 2.1, a duly executed counterpart of such agreement or instrument; and (b) such other agreements, documents or instruments as the Parties may agree are necessary or desirable in order to achieve the purposes hereof.</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THE IPO AND ACTIONS PENDING THE IPO</w:t>
      </w:r>
    </w:p>
    <w:p>
      <w:pPr>
        <w:spacing w:after="0" w:line="211" w:lineRule="exact"/>
        <w:rPr>
          <w:sz w:val="20"/>
          <w:szCs w:val="20"/>
          <w:color w:val="auto"/>
        </w:rPr>
      </w:pPr>
    </w:p>
    <w:p>
      <w:pPr>
        <w:ind w:right="280" w:firstLine="1432"/>
        <w:spacing w:after="0" w:line="30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Transactions prior to the IPO</w:t>
      </w:r>
      <w:r>
        <w:rPr>
          <w:rFonts w:ascii="Arial" w:cs="Arial" w:eastAsia="Arial" w:hAnsi="Arial"/>
          <w:sz w:val="17"/>
          <w:szCs w:val="17"/>
          <w:color w:val="auto"/>
        </w:rPr>
        <w:t>. Subject to the occurrence of the events described in this Article 3, the Parties intend to consummate the IPO and to take, or cause to be taken, the actions specified in this Section 3.1.</w:t>
      </w:r>
    </w:p>
    <w:p>
      <w:pPr>
        <w:spacing w:after="0" w:line="146" w:lineRule="exact"/>
        <w:rPr>
          <w:sz w:val="20"/>
          <w:szCs w:val="20"/>
          <w:color w:val="auto"/>
        </w:rPr>
      </w:pPr>
    </w:p>
    <w:p>
      <w:pPr>
        <w:ind w:firstLine="1440"/>
        <w:spacing w:after="0" w:line="253" w:lineRule="auto"/>
        <w:tabs>
          <w:tab w:leader="none" w:pos="181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Registration Statement</w:t>
      </w:r>
      <w:r>
        <w:rPr>
          <w:rFonts w:ascii="Arial" w:cs="Arial" w:eastAsia="Arial" w:hAnsi="Arial"/>
          <w:sz w:val="18"/>
          <w:szCs w:val="18"/>
          <w:color w:val="auto"/>
        </w:rPr>
        <w:t>. Youdao has submitted on a confidential basis for review by the SEC the Draft IPO Registration Statement, and has submitted or intends to submit such amendments or supplements thereto as may be requested by the SEC staff in connection with such review and agreed to by Youdao, and subsequently to file with the SEC the IPO Registration Statement and make such amendments and supplements thereto as may be necessary or desirable in order to cause the same to comply with the Securities Act and other applicable law, to become and remain effective under the Securities Act, or as may be requested by the representatives of the underwriters for the IPO (the “</w:t>
      </w:r>
      <w:r>
        <w:rPr>
          <w:rFonts w:ascii="Arial" w:cs="Arial" w:eastAsia="Arial" w:hAnsi="Arial"/>
          <w:sz w:val="18"/>
          <w:szCs w:val="18"/>
          <w:b w:val="1"/>
          <w:bCs w:val="1"/>
          <w:color w:val="auto"/>
        </w:rPr>
        <w:t>Underwriters</w:t>
      </w:r>
      <w:r>
        <w:rPr>
          <w:rFonts w:ascii="Arial" w:cs="Arial" w:eastAsia="Arial" w:hAnsi="Arial"/>
          <w:sz w:val="18"/>
          <w:szCs w:val="18"/>
          <w:color w:val="auto"/>
        </w:rPr>
        <w:t>”), including, without limitation, filing such amendments or supplements to the IPO Registration Statement as may be required by the underwriting agreement to be entered into among Youdao and the Underwriters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following the effectiveness of the IPO Registration Statement under the Securities Act.</w:t>
      </w:r>
    </w:p>
    <w:p>
      <w:pPr>
        <w:spacing w:after="0" w:line="196" w:lineRule="exact"/>
        <w:rPr>
          <w:rFonts w:ascii="Arial" w:cs="Arial" w:eastAsia="Arial" w:hAnsi="Arial"/>
          <w:sz w:val="18"/>
          <w:szCs w:val="18"/>
          <w:color w:val="auto"/>
        </w:rPr>
      </w:pPr>
    </w:p>
    <w:p>
      <w:pPr>
        <w:ind w:right="20" w:firstLine="1440"/>
        <w:spacing w:after="0" w:line="263" w:lineRule="auto"/>
        <w:tabs>
          <w:tab w:leader="none" w:pos="1822"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Nasdaq Global Market or New York Stock Exchange Listing</w:t>
      </w:r>
      <w:r>
        <w:rPr>
          <w:rFonts w:ascii="Arial" w:cs="Arial" w:eastAsia="Arial" w:hAnsi="Arial"/>
          <w:sz w:val="18"/>
          <w:szCs w:val="18"/>
          <w:color w:val="auto"/>
        </w:rPr>
        <w:t>. Youdao plans to prepare, file and have approved an application for listing on the Nasdaq Global Market or the New York Stock Exchange of the American depositary shares, representing the ordinary shares of Youdao to be offered in the IPO (the “</w:t>
      </w:r>
      <w:r>
        <w:rPr>
          <w:rFonts w:ascii="Arial" w:cs="Arial" w:eastAsia="Arial" w:hAnsi="Arial"/>
          <w:sz w:val="18"/>
          <w:szCs w:val="18"/>
          <w:b w:val="1"/>
          <w:bCs w:val="1"/>
          <w:color w:val="auto"/>
        </w:rPr>
        <w:t>ADSs</w:t>
      </w:r>
      <w:r>
        <w:rPr>
          <w:rFonts w:ascii="Arial" w:cs="Arial" w:eastAsia="Arial" w:hAnsi="Arial"/>
          <w:sz w:val="18"/>
          <w:szCs w:val="18"/>
          <w:color w:val="auto"/>
        </w:rPr>
        <w:t>”).</w:t>
      </w:r>
    </w:p>
    <w:p>
      <w:pPr>
        <w:spacing w:after="0" w:line="184"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Cooperation</w:t>
      </w:r>
      <w:r>
        <w:rPr>
          <w:rFonts w:ascii="Arial" w:cs="Arial" w:eastAsia="Arial" w:hAnsi="Arial"/>
          <w:sz w:val="18"/>
          <w:szCs w:val="18"/>
          <w:color w:val="auto"/>
        </w:rPr>
        <w:t>. NetEase and Youdao shall each consult with, and cooperate in all respects with, the other in connection with the marketing, including any roadshow presentations, and pricing of the ADSs and shall take any and all actions as may be reasonably necessary or desirable to consummate the IPO as contemplated by the IPO Registration Statement and the Underwriting Agreement.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COVENANTS AND OTHER MATTERS</w:t>
      </w:r>
    </w:p>
    <w:p>
      <w:pPr>
        <w:spacing w:after="0" w:line="211" w:lineRule="exact"/>
        <w:rPr>
          <w:sz w:val="20"/>
          <w:szCs w:val="20"/>
          <w:color w:val="auto"/>
        </w:rPr>
      </w:pPr>
    </w:p>
    <w:p>
      <w:pPr>
        <w:jc w:val="both"/>
        <w:ind w:firstLine="1432"/>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Other Agreements and Instruments</w:t>
      </w:r>
      <w:r>
        <w:rPr>
          <w:rFonts w:ascii="Arial" w:cs="Arial" w:eastAsia="Arial" w:hAnsi="Arial"/>
          <w:sz w:val="18"/>
          <w:szCs w:val="18"/>
          <w:color w:val="auto"/>
        </w:rPr>
        <w:t>. Each of the Parties agrees to execute or cause to be executed by the appropriate parties and deliver, as appropriate, such other agreements, instruments and other documents as may be necessary or desirable in order to effect the purposes of this Agreement and the Inter-Company Agreements.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11" w:name="page212"/>
    <w:bookmarkEnd w:id="211"/>
    <w:p>
      <w:pPr>
        <w:ind w:left="1420"/>
        <w:spacing w:after="0"/>
        <w:tabs>
          <w:tab w:leader="none" w:pos="24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Further Instruments.</w:t>
      </w:r>
    </w:p>
    <w:p>
      <w:pPr>
        <w:spacing w:after="0" w:line="225" w:lineRule="exact"/>
        <w:rPr>
          <w:sz w:val="20"/>
          <w:szCs w:val="20"/>
          <w:color w:val="auto"/>
        </w:rPr>
      </w:pPr>
    </w:p>
    <w:p>
      <w:pPr>
        <w:ind w:left="-20" w:firstLine="1440"/>
        <w:spacing w:after="0" w:line="273" w:lineRule="auto"/>
        <w:tabs>
          <w:tab w:leader="none" w:pos="1792"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NetEase will execute and deliver, and will cause its appropriate subsidiaries and VIEs to execute and deliver, to Youdao and/or its subsidiaries and VIEs, as the case may be, all instruments, assumptions, novations, undertakings, substitutions or other documents and take such other action as may be reasonably necessary or desirable in order to have NetEase and/or its subsidiaries and VIEs, as the case may be, fully and unconditionally assume the NetEase Liabilities as applicable to each of them; provided, however, that in the absence of such execution and delivery by NetEase and/or such appropriate subsidiaries and VIEs, such execution and delivery shall be deemed for all purposes to have occurred.</w:t>
      </w:r>
    </w:p>
    <w:p>
      <w:pPr>
        <w:spacing w:after="0" w:line="177" w:lineRule="exact"/>
        <w:rPr>
          <w:rFonts w:ascii="Arial" w:cs="Arial" w:eastAsia="Arial" w:hAnsi="Arial"/>
          <w:sz w:val="17"/>
          <w:szCs w:val="17"/>
          <w:color w:val="auto"/>
        </w:rPr>
      </w:pPr>
    </w:p>
    <w:p>
      <w:pPr>
        <w:ind w:left="-20" w:right="60" w:firstLine="1440"/>
        <w:spacing w:after="0" w:line="255" w:lineRule="auto"/>
        <w:tabs>
          <w:tab w:leader="none" w:pos="179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Youdao will, and will cause its appropriate subsidiaries and VIEs to, execute and deliver to NetEase and/or its subsidiaries and VIEs all instruments, assumptions, novations, undertakings, substitutions or other documents and take such other action as may be reasonably necessary or desirable in order to have Youdao and/or its subsidiaries and VIEs, as the case may be, fully and unconditionally assume the Youdao Liabilities as applicable to each of them; provided, however, that in the absence of such execution and delivery by Youdao and/or such appropriate subsidiaries and VIEs, such execution and delivery shall be deemed for all purposes to have occurred.</w:t>
      </w:r>
    </w:p>
    <w:p>
      <w:pPr>
        <w:spacing w:after="0" w:line="192" w:lineRule="exact"/>
        <w:rPr>
          <w:rFonts w:ascii="Arial" w:cs="Arial" w:eastAsia="Arial" w:hAnsi="Arial"/>
          <w:sz w:val="18"/>
          <w:szCs w:val="18"/>
          <w:color w:val="auto"/>
        </w:rPr>
      </w:pPr>
    </w:p>
    <w:p>
      <w:pPr>
        <w:ind w:left="-20" w:right="200" w:firstLine="1440"/>
        <w:spacing w:after="0" w:line="255" w:lineRule="auto"/>
        <w:tabs>
          <w:tab w:leader="none" w:pos="179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Except as hereinabove provided, neither NetEase, Youdao, nor their respective subsidiaries and VIEs shall be obligated, in connection with the foregoing matters set forth in this Section, to expend money other than reasonable out-of-pocket expenses, attorneys’ fees and recording or similar fees, unless reimbursed by the other relevant Party. Furthermore, each Party, at the request of the other Party hereto, shall execute and deliver such other instruments and do and perform such other acts and things, including transfer of employees, as may be necessary or desirable for effecting completely the consummation of the transactions contemplated hereby.</w:t>
      </w:r>
    </w:p>
    <w:p>
      <w:pPr>
        <w:spacing w:after="0" w:line="192"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Agreement on Exchange of Information</w:t>
      </w:r>
      <w:r>
        <w:rPr>
          <w:rFonts w:ascii="Arial" w:cs="Arial" w:eastAsia="Arial" w:hAnsi="Arial"/>
          <w:sz w:val="16"/>
          <w:szCs w:val="16"/>
          <w:color w:val="auto"/>
        </w:rPr>
        <w:t>.</w:t>
      </w:r>
    </w:p>
    <w:p>
      <w:pPr>
        <w:spacing w:after="0" w:line="225" w:lineRule="exact"/>
        <w:rPr>
          <w:sz w:val="20"/>
          <w:szCs w:val="20"/>
          <w:color w:val="auto"/>
        </w:rPr>
      </w:pPr>
    </w:p>
    <w:p>
      <w:pPr>
        <w:ind w:left="-20" w:right="20" w:firstLine="1440"/>
        <w:spacing w:after="0" w:line="268" w:lineRule="auto"/>
        <w:tabs>
          <w:tab w:leader="none" w:pos="1791"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Each of the Parties agrees to provide, or cause to be provided, to the other Party, at any time, promptly after written request therefor, all reports and other Information regularly provided by one Party to the other Party prior to the Public Filing Date and any Information in the possession or under the control of such Party to the extent reasonably requested by the requesting Party (i) to comply with reporting, disclosure, filing or other requirements imposed on the requesting Party (including under applicable securities laws) by a Governmental Authority having jurisdiction over the requesting Party, (ii) for use in any other judicial, regulatory, administrative or other proceeding or in order to satisfy audit, accounting, claims, regulatory, litigation or other similar requirements, (iii) to comply with its obligations under this Agreement or any Inter-Company Agreement or (iv) at any time after the Public Filing Date to the extent such Information and cooperation are necessary to comply with such reporting, filing and disclosure obligations, for the preparation of financial statements or completing an audit, and as reasonably necessary to conduct the ongoing businesses of NetEase or Youdao, as the case may be. Each of the Parties agrees to make their respective personnel available to discuss the Information exchanged pursuant to this Section 4.3. In the event that any Party determines that any such provision of Information or other actions contemplated by this Section 4.3 could be commercially detrimental, violate any law or agreement, or waive any attorney-client privilege, the Parties shall take all reasonable measures to permit the compliance with such obligations in a manner that avoids any such harm or consequence.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212" w:name="page213"/>
    <w:bookmarkEnd w:id="212"/>
    <w:p>
      <w:pPr>
        <w:ind w:left="-20" w:right="80" w:firstLine="1440"/>
        <w:spacing w:after="0" w:line="273" w:lineRule="auto"/>
        <w:tabs>
          <w:tab w:leader="none" w:pos="1802"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 Financial Information</w:t>
      </w:r>
      <w:r>
        <w:rPr>
          <w:rFonts w:ascii="Arial" w:cs="Arial" w:eastAsia="Arial" w:hAnsi="Arial"/>
          <w:sz w:val="17"/>
          <w:szCs w:val="17"/>
          <w:color w:val="auto"/>
        </w:rPr>
        <w:t>. After the Public Filing Date, (i) each Party shall maintain in effect at its own cost and expense adequate systems and controls for its business to the extent necessary to enable the other Party to satisfy its reporting, tax return, accounting, audit and other obligations, and (ii) each Party shall provide, or cause to be provided, to the other Party and such other Party’s subsidiaries and VIEs in such form as such requesting Party shall request, at no charge to the requesting Party, all financial and other data and Information as the requesting Party determines necessary or advisable in order to prepare its financial statements and reports or filings with any Governmental Authority.</w:t>
      </w:r>
    </w:p>
    <w:p>
      <w:pPr>
        <w:spacing w:after="0" w:line="177" w:lineRule="exact"/>
        <w:rPr>
          <w:rFonts w:ascii="Arial" w:cs="Arial" w:eastAsia="Arial" w:hAnsi="Arial"/>
          <w:sz w:val="17"/>
          <w:szCs w:val="17"/>
          <w:color w:val="auto"/>
        </w:rPr>
      </w:pPr>
    </w:p>
    <w:p>
      <w:pPr>
        <w:ind w:left="-20" w:right="40" w:firstLine="1440"/>
        <w:spacing w:after="0" w:line="311" w:lineRule="auto"/>
        <w:tabs>
          <w:tab w:leader="none" w:pos="1791"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Ownership of Information</w:t>
      </w:r>
      <w:r>
        <w:rPr>
          <w:rFonts w:ascii="Arial" w:cs="Arial" w:eastAsia="Arial" w:hAnsi="Arial"/>
          <w:sz w:val="16"/>
          <w:szCs w:val="16"/>
          <w:color w:val="auto"/>
        </w:rPr>
        <w:t>. Any Information owned by a Party that is provided to a requesting Party pursuant to this Section 4.3 shall remain the sole and exclusive property of the providing Party. Unless specifically set forth herein, nothing contained in this Agreement shall be construed as granting or conferring any right, license or otherwise in any such Information.</w:t>
      </w:r>
    </w:p>
    <w:p>
      <w:pPr>
        <w:spacing w:after="0" w:line="148" w:lineRule="exact"/>
        <w:rPr>
          <w:rFonts w:ascii="Arial" w:cs="Arial" w:eastAsia="Arial" w:hAnsi="Arial"/>
          <w:sz w:val="16"/>
          <w:szCs w:val="16"/>
          <w:color w:val="auto"/>
        </w:rPr>
      </w:pPr>
    </w:p>
    <w:p>
      <w:pPr>
        <w:ind w:left="-20" w:firstLine="1440"/>
        <w:spacing w:after="0" w:line="269" w:lineRule="auto"/>
        <w:tabs>
          <w:tab w:leader="none" w:pos="1802"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Record Retention</w:t>
      </w:r>
      <w:r>
        <w:rPr>
          <w:rFonts w:ascii="Arial" w:cs="Arial" w:eastAsia="Arial" w:hAnsi="Arial"/>
          <w:sz w:val="17"/>
          <w:szCs w:val="17"/>
          <w:color w:val="auto"/>
        </w:rPr>
        <w:t>. To facilitate the possible exchange of Information pursuant to this Section 4.3 and other provisions of this Agreement, each Party agrees to use its reasonable best efforts for a period of ten (10) years to retain all Information in its respective possession or control substantially in accordance with its respective record retention policies and/or practices as in effect on the Public Filing Date, and for such longer period as may be required by any Governmental Authority, any litigation matter, any applicable law or any Inter-Company Agreement. However, at any time after such ten (10)-year period each Party may amend its respective record retention policies at such Party’s discretion; provided, however, that the amending Party must give thirty (30) calendar days prior written notice of such change in the policy to the other Party. No Party will destroy, or permit any of its subsidiaries or VIEs to destroy, any Information that exists on the Public Filing Date (other than Information that is permitted to be destroyed under the current respective record retention policies of each Party) and that falls under the categories listed in Section 4.3(a), without first notifying the other Party of the proposed destruction and giving the other Party the opportunity to take possession or make copies of such Information prior to such destruction.</w:t>
      </w:r>
    </w:p>
    <w:p>
      <w:pPr>
        <w:spacing w:after="0" w:line="181" w:lineRule="exact"/>
        <w:rPr>
          <w:rFonts w:ascii="Arial" w:cs="Arial" w:eastAsia="Arial" w:hAnsi="Arial"/>
          <w:sz w:val="17"/>
          <w:szCs w:val="17"/>
          <w:color w:val="auto"/>
        </w:rPr>
      </w:pPr>
    </w:p>
    <w:p>
      <w:pPr>
        <w:ind w:left="-20" w:firstLine="1440"/>
        <w:spacing w:after="0" w:line="275" w:lineRule="auto"/>
        <w:tabs>
          <w:tab w:leader="none" w:pos="1791"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Each Party will use its reasonable best efforts to ensure that Information provided to the other Party hereunder is accurate and complete; provided, however, that no Party shall have any liability to the other Party if any Information exchanged or provided pursuant to this Section 4.3 is found to be inaccurate, in the absence of gross negligence, bad faith, or willful misconduct by the Party providing the Information. No Party shall have any liability to the other Party if any Information is destroyed or lost after the relevant Party has complied with the provisions of Section 4.3(d).</w:t>
      </w:r>
    </w:p>
    <w:p>
      <w:pPr>
        <w:spacing w:after="0" w:line="176" w:lineRule="exact"/>
        <w:rPr>
          <w:rFonts w:ascii="Arial" w:cs="Arial" w:eastAsia="Arial" w:hAnsi="Arial"/>
          <w:sz w:val="17"/>
          <w:szCs w:val="17"/>
          <w:color w:val="auto"/>
        </w:rPr>
      </w:pPr>
    </w:p>
    <w:p>
      <w:pPr>
        <w:jc w:val="both"/>
        <w:ind w:left="-20" w:right="600" w:firstLine="1440"/>
        <w:spacing w:after="0" w:line="263" w:lineRule="auto"/>
        <w:tabs>
          <w:tab w:leader="none" w:pos="177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Other Agreements Providing for Exchange of Information</w:t>
      </w:r>
      <w:r>
        <w:rPr>
          <w:rFonts w:ascii="Arial" w:cs="Arial" w:eastAsia="Arial" w:hAnsi="Arial"/>
          <w:sz w:val="18"/>
          <w:szCs w:val="18"/>
          <w:color w:val="auto"/>
        </w:rPr>
        <w:t>. The rights and obligations granted under this Section 4.3 are subject to any specific limitations, qualifications or additional provisions on the sharing, exchange or confidential treatment of Information set forth in this Agreement and any Inter-Company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213" w:name="page214"/>
    <w:bookmarkEnd w:id="213"/>
    <w:p>
      <w:pPr>
        <w:ind w:left="-20" w:firstLine="1440"/>
        <w:spacing w:after="0" w:line="270" w:lineRule="auto"/>
        <w:tabs>
          <w:tab w:leader="none" w:pos="1802"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Production of Witnesses; Records; Cooperation</w:t>
      </w:r>
      <w:r>
        <w:rPr>
          <w:rFonts w:ascii="Arial" w:cs="Arial" w:eastAsia="Arial" w:hAnsi="Arial"/>
          <w:sz w:val="17"/>
          <w:szCs w:val="17"/>
          <w:color w:val="auto"/>
        </w:rPr>
        <w:t>. For a period of five (5) years after the Control Ending Date, and except in the case of a legal or other proceeding by one Party against the other Party, each Party shall use its reasonable best efforts to make available to the other Party, upon written request, the former, current and future directors, officers, employees, other personnel and agents of such Party as witnesses and any books, records or other documents within its control or which it otherwise has the ability to make available, to the extent that any such individual (giving consideration to business demands of such directors, officers, employees, other personnel and agents) or books, records or other documents may reasonably be required in connection with any legal, administrative or other proceeding in which the requesting Party may from time to time be involved, regardless of whether such legal, administrative or other proceeding is a matter with respect to which indemnification may be sought hereunder. The requesting Party shall bear all costs and expenses in connection therewith.</w:t>
      </w:r>
    </w:p>
    <w:p>
      <w:pPr>
        <w:spacing w:after="0" w:line="181"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Auditors and Audits; Financial Statements; Accounting Matters</w:t>
      </w:r>
      <w:r>
        <w:rPr>
          <w:rFonts w:ascii="Arial" w:cs="Arial" w:eastAsia="Arial" w:hAnsi="Arial"/>
          <w:sz w:val="16"/>
          <w:szCs w:val="16"/>
          <w:color w:val="auto"/>
        </w:rPr>
        <w:t>. Each Party agrees that:</w:t>
      </w:r>
    </w:p>
    <w:p>
      <w:pPr>
        <w:spacing w:after="0" w:line="225" w:lineRule="exact"/>
        <w:rPr>
          <w:sz w:val="20"/>
          <w:szCs w:val="20"/>
          <w:color w:val="auto"/>
        </w:rPr>
      </w:pPr>
    </w:p>
    <w:p>
      <w:pPr>
        <w:ind w:left="1800" w:hanging="380"/>
        <w:spacing w:after="0"/>
        <w:tabs>
          <w:tab w:leader="none" w:pos="18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Selection of Auditors.</w:t>
      </w:r>
    </w:p>
    <w:p>
      <w:pPr>
        <w:spacing w:after="0" w:line="225" w:lineRule="exact"/>
        <w:rPr>
          <w:rFonts w:ascii="Arial" w:cs="Arial" w:eastAsia="Arial" w:hAnsi="Arial"/>
          <w:sz w:val="18"/>
          <w:szCs w:val="18"/>
          <w:color w:val="auto"/>
        </w:rPr>
      </w:pPr>
    </w:p>
    <w:p>
      <w:pPr>
        <w:ind w:left="420" w:right="20" w:firstLine="1441"/>
        <w:spacing w:after="0" w:line="287" w:lineRule="auto"/>
        <w:tabs>
          <w:tab w:leader="none" w:pos="2202" w:val="left"/>
        </w:tabs>
        <w:numPr>
          <w:ilvl w:val="1"/>
          <w:numId w:val="128"/>
        </w:numPr>
        <w:rPr>
          <w:rFonts w:ascii="Arial" w:cs="Arial" w:eastAsia="Arial" w:hAnsi="Arial"/>
          <w:sz w:val="16"/>
          <w:szCs w:val="16"/>
          <w:color w:val="auto"/>
        </w:rPr>
      </w:pPr>
      <w:r>
        <w:rPr>
          <w:rFonts w:ascii="Arial" w:cs="Arial" w:eastAsia="Arial" w:hAnsi="Arial"/>
          <w:sz w:val="16"/>
          <w:szCs w:val="16"/>
          <w:color w:val="auto"/>
        </w:rPr>
        <w:t>Until the first NetEase fiscal year end occurring after the Control Ending Date, Youdao shall use its reasonable efforts to engage the independent registered public accounting firm used by NetEase (“</w:t>
      </w:r>
      <w:r>
        <w:rPr>
          <w:rFonts w:ascii="Arial" w:cs="Arial" w:eastAsia="Arial" w:hAnsi="Arial"/>
          <w:sz w:val="16"/>
          <w:szCs w:val="16"/>
          <w:b w:val="1"/>
          <w:bCs w:val="1"/>
          <w:color w:val="auto"/>
        </w:rPr>
        <w:t>NetEase’s Auditors</w:t>
      </w:r>
      <w:r>
        <w:rPr>
          <w:rFonts w:ascii="Arial" w:cs="Arial" w:eastAsia="Arial" w:hAnsi="Arial"/>
          <w:sz w:val="16"/>
          <w:szCs w:val="16"/>
          <w:color w:val="auto"/>
        </w:rPr>
        <w:t>” and, for the avoidance of doubt, should NetEase at any time change the independent registered public accounting firm serving as its auditors, “</w:t>
      </w:r>
      <w:r>
        <w:rPr>
          <w:rFonts w:ascii="Arial" w:cs="Arial" w:eastAsia="Arial" w:hAnsi="Arial"/>
          <w:sz w:val="16"/>
          <w:szCs w:val="16"/>
          <w:b w:val="1"/>
          <w:bCs w:val="1"/>
          <w:color w:val="auto"/>
        </w:rPr>
        <w:t>NetEase’s Auditors</w:t>
      </w:r>
      <w:r>
        <w:rPr>
          <w:rFonts w:ascii="Arial" w:cs="Arial" w:eastAsia="Arial" w:hAnsi="Arial"/>
          <w:sz w:val="16"/>
          <w:szCs w:val="16"/>
          <w:color w:val="auto"/>
        </w:rPr>
        <w:t>” shall thereafter mean the new firm serving as NetEase’s auditors) to serve as its auditors (“</w:t>
      </w:r>
      <w:r>
        <w:rPr>
          <w:rFonts w:ascii="Arial" w:cs="Arial" w:eastAsia="Arial" w:hAnsi="Arial"/>
          <w:sz w:val="16"/>
          <w:szCs w:val="16"/>
          <w:b w:val="1"/>
          <w:bCs w:val="1"/>
          <w:color w:val="auto"/>
        </w:rPr>
        <w:t>Youdao’s Auditors</w:t>
      </w:r>
      <w:r>
        <w:rPr>
          <w:rFonts w:ascii="Arial" w:cs="Arial" w:eastAsia="Arial" w:hAnsi="Arial"/>
          <w:sz w:val="16"/>
          <w:szCs w:val="16"/>
          <w:color w:val="auto"/>
        </w:rPr>
        <w:t>”) for purposes of providing an opinion on its consolidated financial statements; provided, however, that Youdao’s Auditors may be different from NetEase’s Auditors if necessary to comply with applicable laws and stock exchange rules regarding auditor independence and qualifications and audit committee responsibilities (provided, however, that Youdao shall not take any actions, and shall use its reasonable best efforts to cause its directors, officers and employees not to take any actions, that could reasonably be expected to require Youdao to engage auditors other than NetEase’s Auditors). After the Public Filing Date, the foregoing shall not be construed so as to unlawfully limit any responsibility of the audit committee of Youdao’s board of directors, pursuant to SEC Rule 10A-3(b)(2) and rules of the Nasdaq Global Market or the New York Stock Exchange, as applicable, to appoint, compensate, retain and oversee the work of the registered public accounting firm Youdao engages.</w:t>
      </w:r>
    </w:p>
    <w:p>
      <w:pPr>
        <w:spacing w:after="0" w:line="167" w:lineRule="exact"/>
        <w:rPr>
          <w:rFonts w:ascii="Arial" w:cs="Arial" w:eastAsia="Arial" w:hAnsi="Arial"/>
          <w:sz w:val="16"/>
          <w:szCs w:val="16"/>
          <w:color w:val="auto"/>
        </w:rPr>
      </w:pPr>
    </w:p>
    <w:p>
      <w:pPr>
        <w:ind w:left="420" w:right="120" w:firstLine="1441"/>
        <w:spacing w:after="0" w:line="263" w:lineRule="auto"/>
        <w:tabs>
          <w:tab w:leader="none" w:pos="225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Until the first NetEase fiscal year end occurring after the Control Ending Date, Youdao shall provide to NetEase as much prior notice as reasonably practical of any change in Youdao’s Auditors for purposes of providing an opinion on its consolidated financial statements.</w:t>
      </w:r>
    </w:p>
    <w:p>
      <w:pPr>
        <w:spacing w:after="0" w:line="183" w:lineRule="exact"/>
        <w:rPr>
          <w:rFonts w:ascii="Arial" w:cs="Arial" w:eastAsia="Arial" w:hAnsi="Arial"/>
          <w:sz w:val="18"/>
          <w:szCs w:val="18"/>
          <w:color w:val="auto"/>
        </w:rPr>
      </w:pPr>
    </w:p>
    <w:p>
      <w:pPr>
        <w:ind w:left="-20" w:right="60" w:firstLine="1440"/>
        <w:spacing w:after="0" w:line="269" w:lineRule="auto"/>
        <w:tabs>
          <w:tab w:leader="none" w:pos="1802" w:val="left"/>
        </w:tabs>
        <w:numPr>
          <w:ilvl w:val="0"/>
          <w:numId w:val="128"/>
        </w:numPr>
        <w:rPr>
          <w:rFonts w:ascii="Arial" w:cs="Arial" w:eastAsia="Arial" w:hAnsi="Arial"/>
          <w:sz w:val="17"/>
          <w:szCs w:val="17"/>
          <w:color w:val="auto"/>
        </w:rPr>
      </w:pPr>
      <w:r>
        <w:rPr>
          <w:rFonts w:ascii="Arial" w:cs="Arial" w:eastAsia="Arial" w:hAnsi="Arial"/>
          <w:sz w:val="17"/>
          <w:szCs w:val="17"/>
          <w:u w:val="single" w:color="auto"/>
          <w:color w:val="auto"/>
        </w:rPr>
        <w:t>Date of Auditors’ Opinion and Quarterly Reviews</w:t>
      </w:r>
      <w:r>
        <w:rPr>
          <w:rFonts w:ascii="Arial" w:cs="Arial" w:eastAsia="Arial" w:hAnsi="Arial"/>
          <w:sz w:val="17"/>
          <w:szCs w:val="17"/>
          <w:color w:val="auto"/>
        </w:rPr>
        <w:t>. Until the first NetEase fiscal year end occurring after the Control Ending Date, and thereafter to the extent necessary for the purpose of preparing financial statements or completing a financial statement audit, Youdao shall use its reasonable best efforts to enable Youdao’s Auditors to complete their audit such that they will date their opinion on Youdao’s audited annual financial statements no later than the date that NetEase’s Auditors date their opinion on NetEase’s audited annual financial statements, and to enable NetEase to meet its timetable for the printing, filing and public dissemination of NetEase’s annual financial statements. Until the first NetEase fiscal year end occurring after the Control Ending Date, and thereafter to the extent necessary for the purpose of preparing financial statements or completing a financial statement audit, Youdao shall use its reasonable best efforts to enable Youdao’s Auditors to complete their annual audit and quarterly review procedures such that they will provide clearance on such Party’s annual and quarterly financial statements no later than the date that NetEase’s Auditors provide clearance on NetEase’s annual and quarterly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14" w:name="page215"/>
    <w:bookmarkEnd w:id="214"/>
    <w:p>
      <w:pPr>
        <w:ind w:left="-9" w:firstLine="1440"/>
        <w:spacing w:after="0" w:line="283" w:lineRule="auto"/>
        <w:tabs>
          <w:tab w:leader="none" w:pos="1803"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Annual and Quarterly Financial Statements</w:t>
      </w:r>
      <w:r>
        <w:rPr>
          <w:rFonts w:ascii="Arial" w:cs="Arial" w:eastAsia="Arial" w:hAnsi="Arial"/>
          <w:sz w:val="16"/>
          <w:szCs w:val="16"/>
          <w:color w:val="auto"/>
        </w:rPr>
        <w:t>. Until the Control Ending Date, Youdao shall not change its fiscal year and, until the first NetEase fiscal year end occurring after the Control Ending Date, and thereafter to the extent necessary for the purpose of preparing financial statements or completing a financial statement audit, shall provide to NetEase on a timely basis all Information that NetEase reasonably requires to meet its schedule for the preparation, printing, filing, and public dissemination of NetEase’s annual and quarterly financial statements. Without limiting the generality of the foregoing, Youdao will provide all required financial Information with respect to the Youdao Group to Youdao’s Auditors in a sufficient and reasonable time and in sufficient detail to permit Youdao’s Auditors to take all steps and perform all procedures necessary to provide sufficient assistance to NetEase’s Auditors with respect to financial Information to be included or contained in NetEase’s annual and quarterly financial statements. Without limiting the generality of the foregoing, Youdao shall provide to NetEase its audited annual consolidated financial statements within ninety</w:t>
      </w:r>
    </w:p>
    <w:p>
      <w:pPr>
        <w:spacing w:after="0" w:line="5" w:lineRule="exact"/>
        <w:rPr>
          <w:rFonts w:ascii="Arial" w:cs="Arial" w:eastAsia="Arial" w:hAnsi="Arial"/>
          <w:sz w:val="16"/>
          <w:szCs w:val="16"/>
          <w:color w:val="auto"/>
        </w:rPr>
      </w:pPr>
    </w:p>
    <w:p>
      <w:pPr>
        <w:ind w:left="351" w:hanging="351"/>
        <w:spacing w:after="0"/>
        <w:tabs>
          <w:tab w:leader="none" w:pos="35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calendar days after the close of each fiscal year, and its unaudited quarterly consolidated financial statements within thirty</w:t>
      </w:r>
    </w:p>
    <w:p>
      <w:pPr>
        <w:spacing w:after="0" w:line="21" w:lineRule="exact"/>
        <w:rPr>
          <w:sz w:val="20"/>
          <w:szCs w:val="20"/>
          <w:color w:val="auto"/>
        </w:rPr>
      </w:pPr>
    </w:p>
    <w:p>
      <w:pPr>
        <w:ind w:left="-9" w:right="20" w:firstLine="9"/>
        <w:spacing w:after="0" w:line="270" w:lineRule="auto"/>
        <w:tabs>
          <w:tab w:leader="none" w:pos="3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calendar days after the end of each fiscal quarter. Similarly, NetEase shall provide to Youdao on a timely basis all financial Information that Youdao reasonably requires to meet its schedule for the preparation, printing, filing, and public dissemination of Youdao’s annual and quarterly financial statements. Without limiting the generality of the foregoing, NetEase will provide all required financial Information with respect to the NetEase Group to NetEase’s Auditors in a sufficient and reasonable time and in sufficient detail to permit NetEase’s Auditors to take all steps and perform all procedures necessary to provide sufficient assistance to Youdao’s Auditors with respect to Information to be included or contained in Youdao’s annual and quarterly financial statements.</w:t>
      </w:r>
    </w:p>
    <w:p>
      <w:pPr>
        <w:spacing w:after="0" w:line="178" w:lineRule="exact"/>
        <w:rPr>
          <w:rFonts w:ascii="Arial" w:cs="Arial" w:eastAsia="Arial" w:hAnsi="Arial"/>
          <w:sz w:val="17"/>
          <w:szCs w:val="17"/>
          <w:color w:val="auto"/>
        </w:rPr>
      </w:pPr>
    </w:p>
    <w:p>
      <w:pPr>
        <w:ind w:left="1831" w:hanging="400"/>
        <w:spacing w:after="0"/>
        <w:tabs>
          <w:tab w:leader="none" w:pos="1831" w:val="left"/>
        </w:tabs>
        <w:numPr>
          <w:ilvl w:val="1"/>
          <w:numId w:val="131"/>
        </w:numPr>
        <w:rPr>
          <w:rFonts w:ascii="Arial" w:cs="Arial" w:eastAsia="Arial" w:hAnsi="Arial"/>
          <w:sz w:val="18"/>
          <w:szCs w:val="18"/>
          <w:color w:val="auto"/>
        </w:rPr>
      </w:pPr>
      <w:r>
        <w:rPr>
          <w:rFonts w:ascii="Arial" w:cs="Arial" w:eastAsia="Arial" w:hAnsi="Arial"/>
          <w:sz w:val="18"/>
          <w:szCs w:val="18"/>
          <w:u w:val="single" w:color="auto"/>
          <w:color w:val="auto"/>
        </w:rPr>
        <w:t>Certifications and Attestations.</w:t>
      </w:r>
    </w:p>
    <w:p>
      <w:pPr>
        <w:spacing w:after="0" w:line="225" w:lineRule="exact"/>
        <w:rPr>
          <w:rFonts w:ascii="Arial" w:cs="Arial" w:eastAsia="Arial" w:hAnsi="Arial"/>
          <w:sz w:val="18"/>
          <w:szCs w:val="18"/>
          <w:color w:val="auto"/>
        </w:rPr>
      </w:pPr>
    </w:p>
    <w:p>
      <w:pPr>
        <w:ind w:left="431" w:firstLine="1441"/>
        <w:spacing w:after="0" w:line="290" w:lineRule="auto"/>
        <w:tabs>
          <w:tab w:leader="none" w:pos="2213" w:val="left"/>
        </w:tabs>
        <w:numPr>
          <w:ilvl w:val="2"/>
          <w:numId w:val="131"/>
        </w:numPr>
        <w:rPr>
          <w:rFonts w:ascii="Arial" w:cs="Arial" w:eastAsia="Arial" w:hAnsi="Arial"/>
          <w:sz w:val="16"/>
          <w:szCs w:val="16"/>
          <w:color w:val="auto"/>
        </w:rPr>
      </w:pPr>
      <w:r>
        <w:rPr>
          <w:rFonts w:ascii="Arial" w:cs="Arial" w:eastAsia="Arial" w:hAnsi="Arial"/>
          <w:sz w:val="16"/>
          <w:szCs w:val="16"/>
          <w:color w:val="auto"/>
        </w:rPr>
        <w:t>Until the first NetEase fiscal year end occurring after the Control Ending Date, and thereafter to the extent necessary for the timely filing by NetEase of annual and quarterly reports under the Exchange Act or in connection with any investigations of prior periods, Youdao shall cause its principal executive officer and principal financial officer to provide to NetEase on a timely basis and as reasonably requested by NetEase (A) any certificates requested as support for the certifications and attestations required by Sections 302, 906 and 404 of the Sarbanes-Oxley Act of 2002 to be filed with such annual and quarterly reports, (B) any certificates or other written Information which such principal executive officer or principal financial officer received as support for the certificates provided to NetEase and (C) a reasonable opportunity to discuss with such principal financial officer and other appropriate officers and employees of Youdao any issues reasonably related to the foregoing.</w:t>
      </w:r>
    </w:p>
    <w:p>
      <w:pPr>
        <w:spacing w:after="0" w:line="381" w:lineRule="exact"/>
        <w:rPr>
          <w:sz w:val="20"/>
          <w:szCs w:val="20"/>
          <w:color w:val="auto"/>
        </w:rPr>
      </w:pPr>
    </w:p>
    <w:p>
      <w:pPr>
        <w:jc w:val="center"/>
        <w:ind w:right="-3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1"/>
          </w:cols>
          <w:pgMar w:left="989" w:top="125" w:right="1039" w:bottom="1440" w:gutter="0" w:footer="0" w:header="0"/>
        </w:sectPr>
      </w:pPr>
    </w:p>
    <w:bookmarkStart w:id="215" w:name="page216"/>
    <w:bookmarkEnd w:id="215"/>
    <w:p>
      <w:pPr>
        <w:ind w:left="420" w:right="60" w:firstLine="1441"/>
        <w:spacing w:after="0" w:line="272" w:lineRule="auto"/>
        <w:tabs>
          <w:tab w:leader="none" w:pos="2248"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To the extent necessary for the timely filing by Youdao of annual and quarterly reports under the Exchange Act or in connection with any investigations of prior periods, NetEase shall cause its appropriate officers and employees to provide to Youdao on a timely basis and as reasonably requested by such Party (A) any certificates requested as support for the certifications and attestations required by Sections 302, 906 and 404 of the Sarbanes-Oxley Act of 2002 to be filed with such annual and quarterly reports, (B) any certificates or other Information which such appropriate officers and employees received as support for the certificates provided to Youdao and (C) a reasonable opportunity to discuss with such appropriate officers and employees any issues reasonably related to the foregoing.</w:t>
      </w:r>
    </w:p>
    <w:p>
      <w:pPr>
        <w:spacing w:after="0" w:line="177" w:lineRule="exact"/>
        <w:rPr>
          <w:rFonts w:ascii="Arial" w:cs="Arial" w:eastAsia="Arial" w:hAnsi="Arial"/>
          <w:sz w:val="17"/>
          <w:szCs w:val="17"/>
          <w:color w:val="auto"/>
        </w:rPr>
      </w:pPr>
    </w:p>
    <w:p>
      <w:pPr>
        <w:ind w:left="-20" w:right="40" w:firstLine="1440"/>
        <w:spacing w:after="0" w:line="254" w:lineRule="auto"/>
        <w:tabs>
          <w:tab w:leader="none" w:pos="179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Compliance With Laws, Policies and Regulations</w:t>
      </w:r>
      <w:r>
        <w:rPr>
          <w:rFonts w:ascii="Arial" w:cs="Arial" w:eastAsia="Arial" w:hAnsi="Arial"/>
          <w:sz w:val="18"/>
          <w:szCs w:val="18"/>
          <w:color w:val="auto"/>
        </w:rPr>
        <w:t>. Until the Control Ending Date, Youdao shall comply with all financial accounting and reporting rules, policies and directives of NetEase, to the extent such rules, policies and directives have been previously communicated to Youdao, and fulfill all timing and reporting requirements, applicable to subsidiaries and VIEs that are consolidated with NetEase for financial statement purposes. Without limiting the foregoing, Youdao shall comply with all financial accounting and reporting rules and policies, and fulfill all timing and reporting requirements, under applicable federal securities laws and the rules of the Nasdaq Global Market or the New York Stock Exchange, as applicable. Youdao shall not be deemed to be in breach of its obligations set forth in this provision to the extent that it is unable to comply with such obligations as a result of the actions or inactions of NetEase.</w:t>
      </w:r>
    </w:p>
    <w:p>
      <w:pPr>
        <w:spacing w:after="0" w:line="191" w:lineRule="exact"/>
        <w:rPr>
          <w:rFonts w:ascii="Arial" w:cs="Arial" w:eastAsia="Arial" w:hAnsi="Arial"/>
          <w:sz w:val="18"/>
          <w:szCs w:val="18"/>
          <w:color w:val="auto"/>
        </w:rPr>
      </w:pPr>
    </w:p>
    <w:p>
      <w:pPr>
        <w:ind w:left="-20" w:firstLine="1440"/>
        <w:spacing w:after="0" w:line="268" w:lineRule="auto"/>
        <w:tabs>
          <w:tab w:leader="none" w:pos="1772"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Identity of Personnel Performing the Annual Audit and Quarterly Reviews</w:t>
      </w:r>
      <w:r>
        <w:rPr>
          <w:rFonts w:ascii="Arial" w:cs="Arial" w:eastAsia="Arial" w:hAnsi="Arial"/>
          <w:sz w:val="17"/>
          <w:szCs w:val="17"/>
          <w:color w:val="auto"/>
        </w:rPr>
        <w:t>. Until the Control Ending Date, and thereafter to the extent such information and cooperation is necessary for the preparation of financial statements or completing a financial statements audit, Youdao shall authorize Youdao’s Auditors to make available to NetEase’s Auditors both the personnel who performed or will perform the annual audits and quarterly reviews of Youdao and work papers related to the annual audits and quarterly reviews of Youdao, in all cases within a reasonable time prior to Youdao’s Auditors’ opinion date, so that NetEase’s Auditors are able to perform the procedures they consider necessary to take responsibility for the work of Youdao’s Auditors as it relates to NetEase’s Auditors’ report on NetEase’s financial statements, all within sufficient time to enable NetEase to meet its timetable for the printing, filing and public dissemination of NetEase’s annual and quarterly financial statements. Similarly, NetEase shall authorize NetEase’s Auditors to make available to Youdao’s Auditors both the personnel who performed or will perform the annual audits and quarterly reviews of NetEase and work papers related to the annual audits and quarterly reviews of NetEase, in all cases within a reasonable time prior to NetEase’s Auditors’ opinion date, so that Youdao’s Auditors are able to perform the procedures they consider necessary to take responsibility for the work of NetEase’s Auditors as it relates to Youdao’s Auditors’ report on Youdao’s financial statements, all within sufficient time to enable Youdao to meet its timetable for the printing, filing and public dissemination of Youdao’s annual and quarterly financial statements.</w:t>
      </w:r>
    </w:p>
    <w:p>
      <w:pPr>
        <w:spacing w:after="0" w:line="184" w:lineRule="exact"/>
        <w:rPr>
          <w:rFonts w:ascii="Arial" w:cs="Arial" w:eastAsia="Arial" w:hAnsi="Arial"/>
          <w:sz w:val="17"/>
          <w:szCs w:val="17"/>
          <w:color w:val="auto"/>
        </w:rPr>
      </w:pPr>
    </w:p>
    <w:p>
      <w:pPr>
        <w:ind w:left="-20" w:right="20" w:firstLine="1440"/>
        <w:spacing w:after="0" w:line="272" w:lineRule="auto"/>
        <w:tabs>
          <w:tab w:leader="none" w:pos="1802"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Access to Books and Records</w:t>
      </w:r>
      <w:r>
        <w:rPr>
          <w:rFonts w:ascii="Arial" w:cs="Arial" w:eastAsia="Arial" w:hAnsi="Arial"/>
          <w:sz w:val="17"/>
          <w:szCs w:val="17"/>
          <w:color w:val="auto"/>
        </w:rPr>
        <w:t>. Until the Control Ending Date, and thereafter to the extent such information and cooperation is necessary for the preparation of financial statements or completing a financial statements audit or dealing with tax matters, Youdao shall provide NetEase’s internal auditors, counsel and other designated representatives of NetEase access during normal business hours to (i) the premises of the Youdao Group and all Information (and duplicating rights) within the knowledge, possession or control of the Youdao Group and (ii) the officers and employees of Youdao and each other member of the Youdao Group, so that NetEase may conduct reasonable audits relating to the financial statements provided by Youdao pursuant hereto as well as to the internal accounting controls and operations of Youdao.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16" w:name="page217"/>
    <w:bookmarkEnd w:id="216"/>
    <w:p>
      <w:pPr>
        <w:ind w:left="-9" w:right="20" w:firstLine="1440"/>
        <w:spacing w:after="0" w:line="288" w:lineRule="auto"/>
        <w:tabs>
          <w:tab w:leader="none" w:pos="1813"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Notice of Change in Accounting Principles</w:t>
      </w:r>
      <w:r>
        <w:rPr>
          <w:rFonts w:ascii="Arial" w:cs="Arial" w:eastAsia="Arial" w:hAnsi="Arial"/>
          <w:sz w:val="16"/>
          <w:szCs w:val="16"/>
          <w:color w:val="auto"/>
        </w:rPr>
        <w:t>. Until the Control Ending Date, and thereafter if a change in accounting principles by a Party would affect the historical financial statements of the other Party, no such Party shall make or adopt any significant changes in its accounting estimates or accounting principles from those in effect on the Public Filing Date without first consulting with the other Party, and if requested by the other Party, such other Party’s independent registered public accounting firm with respect thereto. NetEase shall give Youdao as much prior notice as reasonably practical of any proposed determination of, or any significant changes in, its accounting estimates or accounting principles from those in effect on the Public Filing Date. NetEase will consult with Youdao and, if requested by Youdao, Youdao’s independent registered public accounting firm with respect thereto. Youdao shall give NetEase as much prior notice as reasonably practical of any proposed determination of, or any significant changes in, its accounting estimates or accounting principles from those in effect on the Public Filing Date. Youdao will consult with NetEase and, if requested by NetEase, NetEase’s independent registered public accounting firm with respect thereto.</w:t>
      </w:r>
    </w:p>
    <w:p>
      <w:pPr>
        <w:spacing w:after="0" w:line="168" w:lineRule="exact"/>
        <w:rPr>
          <w:rFonts w:ascii="Arial" w:cs="Arial" w:eastAsia="Arial" w:hAnsi="Arial"/>
          <w:sz w:val="16"/>
          <w:szCs w:val="16"/>
          <w:color w:val="auto"/>
        </w:rPr>
      </w:pPr>
    </w:p>
    <w:p>
      <w:pPr>
        <w:ind w:left="-9" w:right="40" w:firstLine="1440"/>
        <w:spacing w:after="0" w:line="257" w:lineRule="auto"/>
        <w:tabs>
          <w:tab w:leader="none" w:pos="177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Conflict With Third-Party Agreements</w:t>
      </w:r>
      <w:r>
        <w:rPr>
          <w:rFonts w:ascii="Arial" w:cs="Arial" w:eastAsia="Arial" w:hAnsi="Arial"/>
          <w:sz w:val="18"/>
          <w:szCs w:val="18"/>
          <w:color w:val="auto"/>
        </w:rPr>
        <w:t>. Nothing in Section 4.3 or this Section 4.4 shall require a Party to violate any agreement with any third party regarding the confidentiality of confidential and proprietary Information relating to that third party or its business; provided, however, that in the event that a Party is required under Section 4.3 or this Section 4.4 to disclose any such Information, such Party shall use its reasonable best efforts to seek to obtain such third party’s consent to the disclosure of such Information.</w:t>
      </w:r>
    </w:p>
    <w:p>
      <w:pPr>
        <w:spacing w:after="0" w:line="188" w:lineRule="exact"/>
        <w:rPr>
          <w:sz w:val="20"/>
          <w:szCs w:val="20"/>
          <w:color w:val="auto"/>
        </w:rPr>
      </w:pPr>
    </w:p>
    <w:p>
      <w:pPr>
        <w:ind w:left="1431"/>
        <w:spacing w:after="0"/>
        <w:tabs>
          <w:tab w:leader="none" w:pos="2411"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w:t>
      </w:r>
    </w:p>
    <w:p>
      <w:pPr>
        <w:spacing w:after="0" w:line="225" w:lineRule="exact"/>
        <w:rPr>
          <w:sz w:val="20"/>
          <w:szCs w:val="20"/>
          <w:color w:val="auto"/>
        </w:rPr>
      </w:pPr>
    </w:p>
    <w:p>
      <w:pPr>
        <w:ind w:left="-9" w:right="40" w:firstLine="1440"/>
        <w:spacing w:after="0" w:line="283" w:lineRule="auto"/>
        <w:tabs>
          <w:tab w:leader="none" w:pos="1803"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Each of the Parties shall hold and shall cause each of their respective subsidiaries and VIEs to hold, and shall each cause their respective officers, directors, employees, agents, consultants and advisors and those of their respective subsidiaries and VIEs to hold, in strict confidence and not to disclose or release without the prior written consent of the other Party, any and all Confidential Information concerning such other Party and its respective subsidiaries and VIEs; provided, that each of the Parties may disclose, or may permit disclosure of, Confidential Information (i) to their respective subsidiaries and VIEs, auditors, attorneys, financial advisors, bankers and other appropriate consultants and advisors who need to know such information and, in each case, are informed of their obligation to hold such information confidential to the same extent as is applicable to the Parties hereto and in respect of whose failure to comply with such obligations, Youdao or NetEase, as the case may be, will be responsible, (ii) if the Parties or any of their respective subsidiaries or VIEs are compelled to disclose any such Confidential Information by judicial or administrative process or</w:t>
      </w:r>
    </w:p>
    <w:p>
      <w:pPr>
        <w:spacing w:after="0" w:line="5" w:lineRule="exact"/>
        <w:rPr>
          <w:rFonts w:ascii="Arial" w:cs="Arial" w:eastAsia="Arial" w:hAnsi="Arial"/>
          <w:sz w:val="16"/>
          <w:szCs w:val="16"/>
          <w:color w:val="auto"/>
        </w:rPr>
      </w:pPr>
    </w:p>
    <w:p>
      <w:pPr>
        <w:ind w:left="-9" w:firstLine="9"/>
        <w:spacing w:after="0" w:line="268" w:lineRule="auto"/>
        <w:tabs>
          <w:tab w:leader="none" w:pos="30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Parties reasonably determine in good faith that such disclosure is required by other requirements of law. Notwithstanding the foregoing, in the event that any demand or request for disclosure of Confidential Information is made in connection with any judicial or administrative process, or a Party determines in good faith that disclosure is otherwise required by law, such Party shall promptly notify the other Party of the existence of such request, demand, or conclusion, and shall provide such other Party a reasonable opportunity to seek an appropriate protective order or other remedy, which the notifying Party will cooperate in obtaining. In the event that an appropriate protective order or other remedy is not obtained, the Party whose Confidential Information is required to be disclosed shall or shall cause the notifying Party to furnish, or cause to be furnished, only that portion of the Confidential Information that is required to be disclosed and shall use its reasonable best efforts to obtain reasonable assurances that confidential treatment will be accorded to such Information.</w:t>
      </w:r>
    </w:p>
    <w:p>
      <w:pPr>
        <w:spacing w:after="0" w:line="397"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1"/>
          </w:cols>
          <w:pgMar w:left="989" w:top="125" w:right="1019" w:bottom="1440" w:gutter="0" w:footer="0" w:header="0"/>
        </w:sectPr>
      </w:pPr>
    </w:p>
    <w:bookmarkStart w:id="217" w:name="page218"/>
    <w:bookmarkEnd w:id="217"/>
    <w:p>
      <w:pPr>
        <w:ind w:left="1400" w:hanging="400"/>
        <w:spacing w:after="0"/>
        <w:tabs>
          <w:tab w:leader="none" w:pos="14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As used in this Section 4.5:</w:t>
      </w:r>
    </w:p>
    <w:p>
      <w:pPr>
        <w:spacing w:after="0" w:line="221" w:lineRule="exact"/>
        <w:rPr>
          <w:rFonts w:ascii="Arial" w:cs="Arial" w:eastAsia="Arial" w:hAnsi="Arial"/>
          <w:sz w:val="18"/>
          <w:szCs w:val="18"/>
          <w:color w:val="auto"/>
        </w:rPr>
      </w:pPr>
    </w:p>
    <w:p>
      <w:pPr>
        <w:ind w:firstLine="1441"/>
        <w:spacing w:after="0" w:line="285" w:lineRule="auto"/>
        <w:tabs>
          <w:tab w:leader="none" w:pos="182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Confidential Business Information and Confidential Technical Information concerning one Party which, prior to, on or following the Public Filing Date, has been disclosed by such Party or its subsidiaries or VIEs, that (1) is in written, recorded, graphical or other tangible form and is marked “Proprietary,” “Confidential” or “Trade Secret,” or where it is evident from the nature and content of such Information that the disclosing Party considers it to be confidential, (2) is in oral form and identified by the disclosing Party as “Proprietary,” “Confidential” or “Trade Secret” at the time of oral disclosure, including pursuant to the access provisions of Section 4.3 or Section 4.4 hereof or any other provision of this Agreement or where it is evident from the nature and content of such Information that the disclosing Party considers it to be confidential, or (3) in the case of such Information disclosed on or prior to the date hereof, either such Information is identified by the owning Party to the other relevant Party as Confidential Business Information or Confidential Technical Information, orally or in writing on or prior to the Public Filing Date, or it is evident from the nature and content of such Information that the disclosing Party considers it to be confidential, and includes any modifications or derivatives prepared by the receiving Party that contain or are based upon any Confidential Information obtained from the disclosing Party, including any analysis, reports, or summaries of the Confidential Information. Confidential Information may also include Information disclosed to a disclosing Party by third parties. Confidential Information shall not, however, include any information which (A) was publicly known and made generally available in the public domain prior to the time of disclosure by the disclosing Party; (B) becomes publicly known and made generally available after disclosure by the disclosing Party to the receiving Party through no action or inaction of the receiving Party; (C) is obtained by the receiving Party from a third party without a breach of such third party’s obligations of confidentiality; or (D) is on or after the Public Filing Date independently developed by the receiving Party without use of or reference to the disclosing Party’s Confidential Information.</w:t>
      </w:r>
    </w:p>
    <w:p>
      <w:pPr>
        <w:spacing w:after="0" w:line="168" w:lineRule="exact"/>
        <w:rPr>
          <w:rFonts w:ascii="Arial" w:cs="Arial" w:eastAsia="Arial" w:hAnsi="Arial"/>
          <w:sz w:val="16"/>
          <w:szCs w:val="16"/>
          <w:color w:val="auto"/>
        </w:rPr>
      </w:pPr>
    </w:p>
    <w:p>
      <w:pPr>
        <w:ind w:right="120" w:firstLine="1441"/>
        <w:spacing w:after="0" w:line="274" w:lineRule="auto"/>
        <w:tabs>
          <w:tab w:leader="none" w:pos="1832" w:val="left"/>
        </w:tabs>
        <w:numPr>
          <w:ilvl w:val="1"/>
          <w:numId w:val="1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Technical Information</w:t>
      </w:r>
      <w:r>
        <w:rPr>
          <w:rFonts w:ascii="Arial" w:cs="Arial" w:eastAsia="Arial" w:hAnsi="Arial"/>
          <w:sz w:val="17"/>
          <w:szCs w:val="17"/>
          <w:color w:val="auto"/>
        </w:rPr>
        <w:t>” shall mean all proprietary scientific, engineering, mathematical or design information, data and material of the disclosing Party including, without limitation, (a) specifications, ideas, concepts, models, and strategies for products or services, (b) quality assurance policies, procedures and specifications, (c) source code and object code, (d) training materials and information, and (e) all other know-how, methodology, processes, procedures, techniques, trade secrets or proprietary or confidential information related to product or service design, development, manufacture, implementation, use, support and maintenance.</w:t>
      </w:r>
    </w:p>
    <w:p>
      <w:pPr>
        <w:spacing w:after="0" w:line="3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357505</wp:posOffset>
            </wp:positionV>
            <wp:extent cx="629221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20" w:top="125" w:right="1039" w:bottom="1440" w:gutter="0" w:footer="0" w:header="0"/>
        </w:sectPr>
      </w:pPr>
    </w:p>
    <w:bookmarkStart w:id="218" w:name="page219"/>
    <w:bookmarkEnd w:id="218"/>
    <w:p>
      <w:pPr>
        <w:ind w:left="440" w:right="20" w:firstLine="1441"/>
        <w:spacing w:after="0" w:line="303" w:lineRule="auto"/>
        <w:tabs>
          <w:tab w:leader="none" w:pos="2322" w:val="left"/>
        </w:tabs>
        <w:numPr>
          <w:ilvl w:val="2"/>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Business Information</w:t>
      </w:r>
      <w:r>
        <w:rPr>
          <w:rFonts w:ascii="Arial" w:cs="Arial" w:eastAsia="Arial" w:hAnsi="Arial"/>
          <w:sz w:val="16"/>
          <w:szCs w:val="16"/>
          <w:color w:val="auto"/>
        </w:rPr>
        <w:t>” shall mean all confidential or proprietary information, data or material of the disclosing Party other than Confidential Technical Information, including, but not limited to (a) proprietary earnings reports and forecasts, (b) proprietary macro-economic reports and forecasts, (c) proprietary business plans, (d) proprietary general market evaluations and surveys, (e) proprietary financing and credit-related information, and (f) customer information.</w:t>
      </w:r>
    </w:p>
    <w:p>
      <w:pPr>
        <w:spacing w:after="0" w:line="154" w:lineRule="exact"/>
        <w:rPr>
          <w:rFonts w:ascii="Arial" w:cs="Arial" w:eastAsia="Arial" w:hAnsi="Arial"/>
          <w:sz w:val="16"/>
          <w:szCs w:val="16"/>
          <w:color w:val="auto"/>
        </w:rPr>
      </w:pPr>
    </w:p>
    <w:p>
      <w:pPr>
        <w:ind w:right="20" w:firstLine="1440"/>
        <w:spacing w:after="0" w:line="279" w:lineRule="auto"/>
        <w:tabs>
          <w:tab w:leader="none" w:pos="1812" w:val="left"/>
        </w:tabs>
        <w:numPr>
          <w:ilvl w:val="1"/>
          <w:numId w:val="139"/>
        </w:numPr>
        <w:rPr>
          <w:rFonts w:ascii="Arial" w:cs="Arial" w:eastAsia="Arial" w:hAnsi="Arial"/>
          <w:sz w:val="17"/>
          <w:szCs w:val="17"/>
          <w:color w:val="auto"/>
        </w:rPr>
      </w:pPr>
      <w:r>
        <w:rPr>
          <w:rFonts w:ascii="Arial" w:cs="Arial" w:eastAsia="Arial" w:hAnsi="Arial"/>
          <w:sz w:val="17"/>
          <w:szCs w:val="17"/>
          <w:color w:val="auto"/>
        </w:rPr>
        <w:t>Nothing in this Agreement shall restrict (i) the disclosing Party from using, disclosing, or disseminating its own Confidential Information in any way, or (ii) reassignment of the receiving Party’s employees. Moreover, nothing in the Agreement supersedes any restriction imposed by third parties on their Confidential Information, and there is no obligation on the disclosing Party to conform third party agreements to the terms of this Agreement except as expressly set forth therein.</w:t>
      </w:r>
    </w:p>
    <w:p>
      <w:pPr>
        <w:spacing w:after="0" w:line="171" w:lineRule="exact"/>
        <w:rPr>
          <w:rFonts w:ascii="Arial" w:cs="Arial" w:eastAsia="Arial" w:hAnsi="Arial"/>
          <w:sz w:val="17"/>
          <w:szCs w:val="17"/>
          <w:color w:val="auto"/>
        </w:rPr>
      </w:pPr>
    </w:p>
    <w:p>
      <w:pPr>
        <w:ind w:right="320" w:firstLine="1440"/>
        <w:spacing w:after="0" w:line="287" w:lineRule="auto"/>
        <w:tabs>
          <w:tab w:leader="none" w:pos="1822" w:val="left"/>
        </w:tabs>
        <w:numPr>
          <w:ilvl w:val="1"/>
          <w:numId w:val="139"/>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 a Party and its subsidiaries and VIEs shall be deemed to have satisfied their obligations hereunder with respect to Confidential Information if they exercise the same degree of care (but no less than a reasonable degree of care) as they take to preserve confidentiality for their own similar Information and</w:t>
      </w:r>
    </w:p>
    <w:p>
      <w:pPr>
        <w:spacing w:after="0" w:line="2" w:lineRule="exact"/>
        <w:rPr>
          <w:rFonts w:ascii="Arial" w:cs="Arial" w:eastAsia="Arial" w:hAnsi="Arial"/>
          <w:sz w:val="16"/>
          <w:szCs w:val="16"/>
          <w:color w:val="auto"/>
        </w:rPr>
      </w:pPr>
    </w:p>
    <w:p>
      <w:pPr>
        <w:ind w:right="380" w:firstLine="9"/>
        <w:spacing w:after="0" w:line="260" w:lineRule="auto"/>
        <w:tabs>
          <w:tab w:leader="none" w:pos="2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confidentiality obligations provided for in any agreement between a Party or any of its subsidiaries or VIEs and any employee of such Party or any of its subsidiaries or VIEs shall remain in full force and effect.</w:t>
      </w:r>
    </w:p>
    <w:p>
      <w:pPr>
        <w:spacing w:after="0" w:line="185" w:lineRule="exact"/>
        <w:rPr>
          <w:rFonts w:ascii="Arial" w:cs="Arial" w:eastAsia="Arial" w:hAnsi="Arial"/>
          <w:sz w:val="18"/>
          <w:szCs w:val="18"/>
          <w:color w:val="auto"/>
        </w:rPr>
      </w:pPr>
    </w:p>
    <w:p>
      <w:pPr>
        <w:ind w:right="80" w:firstLine="1434"/>
        <w:spacing w:after="0" w:line="286" w:lineRule="auto"/>
        <w:tabs>
          <w:tab w:leader="none" w:pos="180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Confidential Information of a Party and its subsidiaries and VIEs in the possession of and used by the other Party as of the Public Filing Date may continue to be used by such Party in possession of the Confidential Information in and only in the operation of the NetEase Business, in the case of the NetEase Group, or the Online Learning Business, in the case of the Youdao Group, and may be used only so long as the Confidential Information is maintained in confidence and not disclosed in violation of</w:t>
      </w:r>
    </w:p>
    <w:p>
      <w:pPr>
        <w:spacing w:after="0" w:line="1" w:lineRule="exact"/>
        <w:rPr>
          <w:rFonts w:ascii="Arial" w:cs="Arial" w:eastAsia="Arial" w:hAnsi="Arial"/>
          <w:sz w:val="16"/>
          <w:szCs w:val="16"/>
          <w:color w:val="auto"/>
        </w:rPr>
      </w:pPr>
    </w:p>
    <w:p>
      <w:pPr>
        <w:ind w:right="20"/>
        <w:spacing w:after="0" w:line="252" w:lineRule="auto"/>
        <w:rPr>
          <w:rFonts w:ascii="Arial" w:cs="Arial" w:eastAsia="Arial" w:hAnsi="Arial"/>
          <w:sz w:val="16"/>
          <w:szCs w:val="16"/>
          <w:color w:val="auto"/>
        </w:rPr>
      </w:pPr>
      <w:r>
        <w:rPr>
          <w:rFonts w:ascii="Arial" w:cs="Arial" w:eastAsia="Arial" w:hAnsi="Arial"/>
          <w:sz w:val="18"/>
          <w:szCs w:val="18"/>
          <w:color w:val="auto"/>
        </w:rPr>
        <w:t>Section 4.5(b). Such continued right to use Confidential Information may not be transferred, including by merger, consolidation, reorganization, operation of law, or otherwise, to any third party unless such third party (A) purchases all or substantially all of the business or business line and assets in one transaction or in a series of related transactions for which or in which the relevant Confidential Information is used or employed and (B) expressly agrees in writing to be bound by the provisions of this Section 4.5. In the event that such right to use is transferred in accordance with the preceding sentence, the transferring Party shall not disclose the source of the relevant Confidential Information.</w:t>
      </w:r>
    </w:p>
    <w:p>
      <w:pPr>
        <w:spacing w:after="0" w:line="194"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Privileged Matters</w:t>
      </w:r>
      <w:r>
        <w:rPr>
          <w:rFonts w:ascii="Arial" w:cs="Arial" w:eastAsia="Arial" w:hAnsi="Arial"/>
          <w:sz w:val="16"/>
          <w:szCs w:val="16"/>
          <w:color w:val="auto"/>
        </w:rPr>
        <w:t>. The Parties agree that their respective rights and obligations to maintain, preserve, assert or waive any or all privileges belonging to each such Party or its subsidiaries or VIEs including but not limited to the attorney-client and work product privileges (collectively, “</w:t>
      </w:r>
      <w:r>
        <w:rPr>
          <w:rFonts w:ascii="Arial" w:cs="Arial" w:eastAsia="Arial" w:hAnsi="Arial"/>
          <w:sz w:val="16"/>
          <w:szCs w:val="16"/>
          <w:b w:val="1"/>
          <w:bCs w:val="1"/>
          <w:color w:val="auto"/>
        </w:rPr>
        <w:t>Privileges</w:t>
      </w:r>
      <w:r>
        <w:rPr>
          <w:rFonts w:ascii="Arial" w:cs="Arial" w:eastAsia="Arial" w:hAnsi="Arial"/>
          <w:sz w:val="16"/>
          <w:szCs w:val="16"/>
          <w:color w:val="auto"/>
        </w:rPr>
        <w:t>”), shall be governed by the provisions of this Section 4.6. With respect to Privileged Information (as defined below) of NetEase, NetEase shall have sole authority in perpetuity to determine whether to assert or waive any or all Privileges, and Youdao shall take no action (nor permit any of its subsidiaries or VIEs to take action) without the prior written consent of NetEase that could result in any waiver of any Privilege that could be asserted by NetEase or any of its subsidiaries or VIEs under applicable law and this Agreement. With respect to Privileged Information of Youdao, Youdao shall have sole authority in perpetuity to determine whether to assert or waive any or all Privileges, and NetEase shall take no action (nor permit any of its subsidiaries or VIEs to take action) without the prior written consent of Youdao that could result in any waiver of any Privilege that could be asserted by Youdao or any of its subsidiaries or VIEs under applicable law and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9" w:name="page220"/>
    <w:bookmarkEnd w:id="219"/>
    <w:p>
      <w:pPr>
        <w:ind w:left="-20" w:firstLine="1440"/>
        <w:spacing w:after="0" w:line="268" w:lineRule="auto"/>
        <w:tabs>
          <w:tab w:leader="none" w:pos="178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rights and obligations created by this Section 4.6 shall apply to all Information as to which the Parties or their respective subsidiaries or VIEs would be entitled to assert or has asserted a Privilege (“</w:t>
      </w:r>
      <w:r>
        <w:rPr>
          <w:rFonts w:ascii="Arial" w:cs="Arial" w:eastAsia="Arial" w:hAnsi="Arial"/>
          <w:sz w:val="17"/>
          <w:szCs w:val="17"/>
          <w:b w:val="1"/>
          <w:bCs w:val="1"/>
          <w:color w:val="auto"/>
        </w:rPr>
        <w:t>Privileged Information</w:t>
      </w:r>
      <w:r>
        <w:rPr>
          <w:rFonts w:ascii="Arial" w:cs="Arial" w:eastAsia="Arial" w:hAnsi="Arial"/>
          <w:sz w:val="17"/>
          <w:szCs w:val="17"/>
          <w:color w:val="auto"/>
        </w:rPr>
        <w:t>”). For the avoidance of doubt, the Parties agree that Privileged Information of NetEase includes but is not limited to (i) all Information subject to a Privilege regarding the business of the NetEase Group (other than Information regarding the Online Learning Business), whether or not it is in the possession of the Youdao Group; (ii) all communications subject to a Privilege between counsel for NetEase (including in-house counsel) and any individual who, at the time of the communication, was an employee of NetEase, regardless of whether such employee is or becomes an employee of the Youdao Group and (iii) all Information subject to a Privilege generated, received or arising after the Public Filing Date that refers or relates to Privileged Information of NetEase generated, received or arising prior to the Public Filing Date. Privileged Information of Youdao includes but is not limited to (x) all Information subject to a Privilege regarding the Online Learning Business, whether or not it is in the possession of the NetEase Group; (y) all communications subject to a Privilege occurring after the Public Filing Date between counsel for Youdao (including in-house counsel and former in-house counsel who are or were employees of NetEase) and any person who, at the time of the communication, was an employee of Youdao, regardless of whether such employee was, is or becomes an employee of any member of the NetEase Group and (z) all Information subject to a Privilege generated, received or arising after the Public Filing Date that refers or relates to Privileged Information of Youdao generated, received or arising prior to the Public Filing Date.</w:t>
      </w:r>
    </w:p>
    <w:p>
      <w:pPr>
        <w:spacing w:after="0" w:line="181" w:lineRule="exact"/>
        <w:rPr>
          <w:rFonts w:ascii="Arial" w:cs="Arial" w:eastAsia="Arial" w:hAnsi="Arial"/>
          <w:sz w:val="17"/>
          <w:szCs w:val="17"/>
          <w:color w:val="auto"/>
        </w:rPr>
      </w:pPr>
    </w:p>
    <w:p>
      <w:pPr>
        <w:ind w:left="-20" w:right="40" w:firstLine="1440"/>
        <w:spacing w:after="0" w:line="287" w:lineRule="auto"/>
        <w:tabs>
          <w:tab w:leader="none" w:pos="1802"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Upon receipt by a Party or its subsidiaries or VIEs of any subpoena, discovery or other request from any third party that actually or arguably calls for the production or disclosure of Privileged Information of the other Party or its subsidiaries or VIEs, or if a Party or any of its subsidiaries or VIEs obtains knowledge that any of its current or former employees has received any subpoena, discovery or other request from any third party that actually or arguably calls for the production or disclosure of Privileged Information of the other Party or its subsidiaries or VIEs, such Party shall promptly notify that other Party of the existence of the request and shall provide that other Party a reasonable opportunity to review the Information and to assert any rights such other Party may have under this Section 4.6 or otherwise to prevent the production or disclosure of Privileged Information. NetEase or its subsidiaries or VIEs, or Youdao or its subsidiaries and VIEs, as the case may be, will not produce or disclose to any third party any of the other Party’s Privileged Information under this Section 4.6 unless (a) such other Party has provided its express written consent to such production or disclosure or (b) a court of competent jurisdiction has entered an order not subject to interlocutory appeal or review finding that the Information is not entitled to protection from disclosure under any applicable privilege, doctrine or rule.</w:t>
      </w:r>
    </w:p>
    <w:p>
      <w:pPr>
        <w:spacing w:after="0" w:line="171" w:lineRule="exact"/>
        <w:rPr>
          <w:rFonts w:ascii="Arial" w:cs="Arial" w:eastAsia="Arial" w:hAnsi="Arial"/>
          <w:sz w:val="16"/>
          <w:szCs w:val="16"/>
          <w:color w:val="auto"/>
        </w:rPr>
      </w:pPr>
    </w:p>
    <w:p>
      <w:pPr>
        <w:ind w:left="-20" w:firstLine="1440"/>
        <w:spacing w:after="0" w:line="269" w:lineRule="auto"/>
        <w:tabs>
          <w:tab w:leader="none" w:pos="1792"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NetEase’s transfer of books and records pertaining to the Online Learning Business and other Information pertaining to Youdao, if any, NetEase’s agreement to permit Youdao to obtain Information existing prior to the Public Filing Date, Youdao’s transfer of books and records and other Information pertaining to NetEase, if any, and Youdao’s agreement to permit NetEase to obtain Information existing prior to the Public Filing Date are made in reliance on NetEase’s and Youdao’s respective agreements, as set forth in Section 4.5 and this Section 4.6, to maintain the confidentiality of such Information and to take the steps provided herein for the preservation of all Privileges that may belong to or be asserted by NetEase, or Youdao, as the case may be. The access to Information, witnesses and individuals being granted pursuant to Section 4.3 and Section 4.4 and the disclosure to one Party of Privileged Information relating to the other Party’s businesses pursuant to this Agreement shall not be asserted by NetEase or Youdao to constitute, or otherwise be deemed, a waiver of any Privilege that has been or may be asserted under this Section 4.6 or otherwise. Nothing in this Agreement shall operate to reduce, minimize or condition the rights granted to, or the obligations imposed upon, NetEase and Youdao by this Section 4.6.</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20" w:name="page221"/>
    <w:bookmarkEnd w:id="220"/>
    <w:p>
      <w:pPr>
        <w:ind w:firstLine="1432"/>
        <w:spacing w:after="0" w:line="268"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Future Litigation and Other Proceedings</w:t>
      </w:r>
      <w:r>
        <w:rPr>
          <w:rFonts w:ascii="Arial" w:cs="Arial" w:eastAsia="Arial" w:hAnsi="Arial"/>
          <w:sz w:val="17"/>
          <w:szCs w:val="17"/>
          <w:color w:val="auto"/>
        </w:rPr>
        <w:t>. In the event that Youdao (or any of its subsidiaries or VIEs or any of its or their respective officers or directors) or NetEase (or any of its subsidiaries or VIEs or any of its or their respective officers or directors) at any time after the date hereof initiates or becomes subject to any litigation or other proceedings before any Governmental Authority or arbitration panel with respect to which the Parties have no prior agreements (as to indemnification or otherwise), the Party (and its subsidiaries and VIEs and its and their respective officers and directors) that has not initiated and is not subject to such litigation or other proceedings shall comply, at the litigant Party’s expense, with any reasonable requests by the litigant Party for assistance in connection with such litigation or other proceedings (including by way of provision of Information and making available of employees as witnesses). In the event that Youdao (or any of its subsidiaries or VIEs or any of its or their respective officers or directors) and NetEase (or any of its subsidiaries or VIEs or any of its or their respective officers or directors), or any combination thereof, at any time after the date hereof initiate or become subject to any litigation or other proceedings before any Governmental Authority or arbitration panel with respect to which the litigant Parties have no prior agreements (as to indemnification or otherwise), each litigant Party (and its officers and directors) shall, at their own expense, coordinate their strategies and actions with respect to such litigation or other proceedings to the extent such coordination would not be detrimental to their respective interests and shall comply, at the expense of the requesting Party, with any reasonable requests of such Party for assistance in connection therewith (including by way of provision of Information and making available of employees as witnesses).</w:t>
      </w:r>
    </w:p>
    <w:p>
      <w:pPr>
        <w:spacing w:after="0" w:line="182"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Mail and other Communications</w:t>
      </w:r>
      <w:r>
        <w:rPr>
          <w:rFonts w:ascii="Arial" w:cs="Arial" w:eastAsia="Arial" w:hAnsi="Arial"/>
          <w:sz w:val="16"/>
          <w:szCs w:val="16"/>
          <w:color w:val="auto"/>
        </w:rPr>
        <w:t>. Each of NetEase and Youdao may receive mail, facsimiles, packages and other communications properly belonging to the other. Accordingly, each Party authorizes each of the other Party to receive and open all mail, telegrams, packages and other communications received by it and not unambiguously intended for the other Party or any of the other Party’s officers or directors, and to retain the same to the extent that they relate to the business of the receiving Party or, to the extent that they do not relate to the business of the receiving Party, the receiving Party shall promptly deliver such mail, telegrams, packages or other communications, including, without limitation, notices of any liens or encumbrances on any asset transferred to the Youdao Group in connection with the separation from NetEase, if any, (or, in case the same relate to both businesses, copies thereof) to the other Party as provided for in Section 7.5 hereof. The provisions of this Section 4.8 are not intended to, and shall not, be deemed to constitute (a) an authorization by either NetEase or Youdao to permit the other to accept service of process on its behalf and no Party is or shall be deemed to be the agent of the other Party for service of process purposes or (b) a waiver of any Privilege with respect to Privileged Information contained in such mail, telegrams, packages or other communications.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1" w:name="page222"/>
    <w:bookmarkEnd w:id="221"/>
    <w:p>
      <w:pPr>
        <w:ind w:right="60" w:firstLine="1432"/>
        <w:spacing w:after="0" w:line="301" w:lineRule="auto"/>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Other Inter-Company Services Agreements</w:t>
      </w:r>
      <w:r>
        <w:rPr>
          <w:rFonts w:ascii="Arial" w:cs="Arial" w:eastAsia="Arial" w:hAnsi="Arial"/>
          <w:sz w:val="16"/>
          <w:szCs w:val="16"/>
          <w:color w:val="auto"/>
        </w:rPr>
        <w:t>. To the extent not covered under the Inter-Company Agreements, members of the NetEase Group, on the one hand, and members of the Youdao Group, on the other, may enter into other services agreements from time to time covering the provision of various services, if any, including financial, accounting, legal, and other services by the members of the NetEase Group to the members of the Youdao Group or, in certain circumstances, vice versa.</w:t>
      </w:r>
    </w:p>
    <w:p>
      <w:pPr>
        <w:spacing w:after="0" w:line="157" w:lineRule="exact"/>
        <w:rPr>
          <w:sz w:val="20"/>
          <w:szCs w:val="20"/>
          <w:color w:val="auto"/>
        </w:rPr>
      </w:pPr>
    </w:p>
    <w:p>
      <w:pPr>
        <w:ind w:right="200" w:firstLine="1432"/>
        <w:spacing w:after="0" w:line="272"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Payment of Expenses</w:t>
      </w:r>
      <w:r>
        <w:rPr>
          <w:rFonts w:ascii="Arial" w:cs="Arial" w:eastAsia="Arial" w:hAnsi="Arial"/>
          <w:sz w:val="17"/>
          <w:szCs w:val="17"/>
          <w:color w:val="auto"/>
        </w:rPr>
        <w:t>. Except as otherwise provided in this Agreement, the Inter-Company Agreements or any other agreement between the Parties relating to the IPO, (i) all costs and expenses of the Parties in connection with the IPO (including costs associated with drafting this Agreement, the Inter-Company Agreements and the documents relating to the formation of Youdao and its subsidiaries and VIEs) shall be paid by Youdao and (ii) all costs and expenses of the Parties in connection with any matter not relating to the IPO shall be paid by the Party which incurs such cost or expense. Notwithstanding the foregoing, Youdao and NetEase shall each be responsible for their own internal fees, costs and expenses (e.g., salaries of personnel) incurred in connection with the IPO.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MUTUAL RELEASES; INDEMNIFICATION</w:t>
      </w:r>
    </w:p>
    <w:p>
      <w:pPr>
        <w:spacing w:after="0" w:line="211" w:lineRule="exact"/>
        <w:rPr>
          <w:sz w:val="20"/>
          <w:szCs w:val="20"/>
          <w:color w:val="auto"/>
        </w:rPr>
      </w:pPr>
    </w:p>
    <w:p>
      <w:pPr>
        <w:ind w:left="1440"/>
        <w:spacing w:after="0"/>
        <w:tabs>
          <w:tab w:leader="none" w:pos="242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5"/>
          <w:szCs w:val="15"/>
          <w:u w:val="single" w:color="auto"/>
          <w:color w:val="auto"/>
        </w:rPr>
        <w:t>Release of Claims</w:t>
      </w:r>
      <w:r>
        <w:rPr>
          <w:rFonts w:ascii="Arial" w:cs="Arial" w:eastAsia="Arial" w:hAnsi="Arial"/>
          <w:sz w:val="15"/>
          <w:szCs w:val="15"/>
          <w:color w:val="auto"/>
        </w:rPr>
        <w:t>.</w:t>
      </w:r>
    </w:p>
    <w:p>
      <w:pPr>
        <w:spacing w:after="0" w:line="225" w:lineRule="exact"/>
        <w:rPr>
          <w:sz w:val="20"/>
          <w:szCs w:val="20"/>
          <w:color w:val="auto"/>
        </w:rPr>
      </w:pPr>
    </w:p>
    <w:p>
      <w:pPr>
        <w:ind w:firstLine="1434"/>
        <w:spacing w:after="0" w:line="273" w:lineRule="auto"/>
        <w:tabs>
          <w:tab w:leader="none" w:pos="180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Youdao Release</w:t>
      </w:r>
      <w:r>
        <w:rPr>
          <w:rFonts w:ascii="Arial" w:cs="Arial" w:eastAsia="Arial" w:hAnsi="Arial"/>
          <w:sz w:val="17"/>
          <w:szCs w:val="17"/>
          <w:color w:val="auto"/>
        </w:rPr>
        <w:t>. Except as provided in Section 5.1(c), Youdao, for itself and as agent for each of its subsidiaries and VIEs, does hereby assume, and does hereby remise, release and forever discharge the NetEase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Public Filing Date, including in connection with the transactions and all other activities to implement the IPO.</w:t>
      </w:r>
    </w:p>
    <w:p>
      <w:pPr>
        <w:spacing w:after="0" w:line="177" w:lineRule="exact"/>
        <w:rPr>
          <w:rFonts w:ascii="Arial" w:cs="Arial" w:eastAsia="Arial" w:hAnsi="Arial"/>
          <w:sz w:val="17"/>
          <w:szCs w:val="17"/>
          <w:color w:val="auto"/>
        </w:rPr>
      </w:pPr>
    </w:p>
    <w:p>
      <w:pPr>
        <w:ind w:right="60" w:firstLine="1440"/>
        <w:spacing w:after="0" w:line="255" w:lineRule="auto"/>
        <w:tabs>
          <w:tab w:leader="none" w:pos="1822"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NetEase Release</w:t>
      </w:r>
      <w:r>
        <w:rPr>
          <w:rFonts w:ascii="Arial" w:cs="Arial" w:eastAsia="Arial" w:hAnsi="Arial"/>
          <w:sz w:val="18"/>
          <w:szCs w:val="18"/>
          <w:color w:val="auto"/>
        </w:rPr>
        <w:t>. Except as provided in Section 5.1(c), NetEase, for itself and as agent for each of its subsidiaries and VIEs, does hereby remise, release and forever discharge the Youdao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Public Filing Date, including in connection with the transactions and all other activities to implement the IPO.</w:t>
      </w:r>
    </w:p>
    <w:p>
      <w:pPr>
        <w:spacing w:after="0" w:line="192" w:lineRule="exact"/>
        <w:rPr>
          <w:rFonts w:ascii="Arial" w:cs="Arial" w:eastAsia="Arial" w:hAnsi="Arial"/>
          <w:sz w:val="18"/>
          <w:szCs w:val="18"/>
          <w:color w:val="auto"/>
        </w:rPr>
      </w:pPr>
    </w:p>
    <w:p>
      <w:pPr>
        <w:ind w:firstLine="1440"/>
        <w:spacing w:after="0" w:line="259" w:lineRule="auto"/>
        <w:tabs>
          <w:tab w:leader="none" w:pos="181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Nothing contained in Section 5.1(a) or Section 5.1(b) shall limit or otherwise affect any Party’s rights or obligations pursuant to or contemplated by this Agreement or any Inter-Company Agreement, in each case in accordance with its terms, including, without limitation, any obligations relating to indemnification, including indemnification pursuant to Section 5.2 and Section 5.3 of this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2" w:name="page223"/>
    <w:bookmarkEnd w:id="222"/>
    <w:p>
      <w:pPr>
        <w:ind w:firstLine="1426"/>
        <w:spacing w:after="0" w:line="296"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Indemnification by Youdao</w:t>
      </w:r>
      <w:r>
        <w:rPr>
          <w:rFonts w:ascii="Arial" w:cs="Arial" w:eastAsia="Arial" w:hAnsi="Arial"/>
          <w:sz w:val="16"/>
          <w:szCs w:val="16"/>
          <w:color w:val="auto"/>
        </w:rPr>
        <w:t>. Except as otherwise provided in this Agreement, Youdao shall, for itself and as agent for each of its subsidiaries and VIEs, indemnify, defend (or, where applicable, pay the defense costs for) and hold harmless the NetEase Indemnitees from and against, and shall reimburse the NetEase Indemnitees with respect to, any and all Losses that any third party seeks to impose upon the NetEase Indemnitees, or which are imposed upon the NetEase Indemnitees, and that relate to, arise or result from, whether prior to, on or following the Public Filing Date, any of the following items (without duplication):</w:t>
      </w:r>
    </w:p>
    <w:p>
      <w:pPr>
        <w:spacing w:after="0" w:line="161" w:lineRule="exact"/>
        <w:rPr>
          <w:sz w:val="20"/>
          <w:szCs w:val="20"/>
          <w:color w:val="auto"/>
        </w:rPr>
      </w:pPr>
    </w:p>
    <w:p>
      <w:pPr>
        <w:ind w:left="1800" w:hanging="366"/>
        <w:spacing w:after="0"/>
        <w:tabs>
          <w:tab w:leader="none" w:pos="18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Youdao Liabilities;</w:t>
      </w:r>
    </w:p>
    <w:p>
      <w:pPr>
        <w:spacing w:after="0" w:line="225" w:lineRule="exact"/>
        <w:rPr>
          <w:rFonts w:ascii="Arial" w:cs="Arial" w:eastAsia="Arial" w:hAnsi="Arial"/>
          <w:sz w:val="18"/>
          <w:szCs w:val="18"/>
          <w:color w:val="auto"/>
        </w:rPr>
      </w:pPr>
    </w:p>
    <w:p>
      <w:pPr>
        <w:ind w:left="1840" w:hanging="400"/>
        <w:spacing w:after="0"/>
        <w:tabs>
          <w:tab w:leader="none" w:pos="184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breach by Youdao or any of its subsidiaries and VIEs of this Agreement or any of the Inter-Company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Agreements; and</w:t>
      </w:r>
    </w:p>
    <w:p>
      <w:pPr>
        <w:spacing w:after="0" w:line="211" w:lineRule="exact"/>
        <w:rPr>
          <w:sz w:val="20"/>
          <w:szCs w:val="20"/>
          <w:color w:val="auto"/>
        </w:rPr>
      </w:pPr>
    </w:p>
    <w:p>
      <w:pPr>
        <w:ind w:firstLine="1434"/>
        <w:spacing w:after="0" w:line="283" w:lineRule="auto"/>
        <w:tabs>
          <w:tab w:leader="none" w:pos="180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(other than information provided in writing by NetEase or any of its subsidiaries or VIEs to Youdao specifically for inclusion in the IPO Registration Statement, any issuer free writing prospectus or any preliminary, final or supplemental prospectus forming a part of the IPO Registration Statement), (ii) contained in any public filings made by Youdao with the SEC following the Public Filing Date if and to the extent the provision of such information is not subject to indemnification pursuant to Section 5.3(c)(iii) below or (iii) provided in writing by Youdao or its subsidiaries or VIEs to NetEase specifically for inclusion in NetEase’s annual, quarterly or current reports following the Public Filing Date to the extent (A) such information pertains to (x) Youdao or its subsidiaries or VIEs or (y) the Online Learning Business and</w:t>
      </w:r>
    </w:p>
    <w:p>
      <w:pPr>
        <w:spacing w:after="0" w:line="4" w:lineRule="exact"/>
        <w:rPr>
          <w:rFonts w:ascii="Arial" w:cs="Arial" w:eastAsia="Arial" w:hAnsi="Arial"/>
          <w:sz w:val="16"/>
          <w:szCs w:val="16"/>
          <w:color w:val="auto"/>
        </w:rPr>
      </w:pPr>
    </w:p>
    <w:p>
      <w:pPr>
        <w:ind w:left="300" w:hanging="291"/>
        <w:spacing w:after="0"/>
        <w:tabs>
          <w:tab w:leader="none" w:pos="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NetEase has provided prior written notice to Youdao that such information will be included in one or more annual, quarterly or</w:t>
      </w:r>
    </w:p>
    <w:p>
      <w:pPr>
        <w:spacing w:after="0" w:line="20"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8"/>
          <w:szCs w:val="18"/>
          <w:color w:val="auto"/>
        </w:rPr>
        <w:t>current reports, specifying how such information will be presented, and the information is included in such annual, quarterly or current reports; provided that this sub-clause (B) shall not apply to the extent that any such Liability arises out of or results from, or in connection with, any action or inaction of NetEase or any of its subsidiaries or VIEs, including as a result of any misstatement or omission of any information by NetEase or its subsidiaries or VIEs to Youdao.</w:t>
      </w:r>
    </w:p>
    <w:p>
      <w:pPr>
        <w:spacing w:after="0" w:line="193"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In the event that Youdao or any of its subsidiaries or VIEs makes a payment to the NetEase Indemnitees hereunder, and any of the NetEase Indemnitees subsequently diminishes the Liability on account of which such payment was made, either directly or through a third-party recovery (other than a recovery indirectly from NetEase or its subsidiaries or VIEs), NetEase will promptly repay (or will procure an NetEase Indemnitee to promptly repay) Youdao (or its Subsidiary or VIE that has made the payment) the amount by which the payment made by Youdao (or its Subsidiary or VIE that has made the payment) exceeds the actual cost of the associated indemnified Liability.</w:t>
      </w:r>
    </w:p>
    <w:p>
      <w:pPr>
        <w:spacing w:after="0" w:line="192" w:lineRule="exact"/>
        <w:rPr>
          <w:sz w:val="20"/>
          <w:szCs w:val="20"/>
          <w:color w:val="auto"/>
        </w:rPr>
      </w:pPr>
    </w:p>
    <w:p>
      <w:pPr>
        <w:ind w:right="40" w:firstLine="1432"/>
        <w:spacing w:after="0" w:line="296"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Indemnification by NetEase</w:t>
      </w:r>
      <w:r>
        <w:rPr>
          <w:rFonts w:ascii="Arial" w:cs="Arial" w:eastAsia="Arial" w:hAnsi="Arial"/>
          <w:sz w:val="16"/>
          <w:szCs w:val="16"/>
          <w:color w:val="auto"/>
        </w:rPr>
        <w:t>. Except as otherwise provided in this Agreement, NetEase shall, for itself and as agent for each of its subsidiaries and VIEs, indemnify, defend (or, where applicable, pay the defense costs for) and hold harmless the Youdao Indemnitees from and against, and shall reimburse each such Youdao Indemnitee with respect to, any and all Losses that any third party seeks to impose upon the Youdao Indemnitees or which are imposed upon the Youdao Indemnitees to the extent relating to, arising from or resulting from, whether prior to, on or following the Public Filing Date, any of the following items (without duplication):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3" w:name="page224"/>
    <w:bookmarkEnd w:id="223"/>
    <w:p>
      <w:pPr>
        <w:ind w:left="1820" w:hanging="386"/>
        <w:spacing w:after="0"/>
        <w:tabs>
          <w:tab w:leader="none" w:pos="1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NetEase Liabilities;</w:t>
      </w:r>
    </w:p>
    <w:p>
      <w:pPr>
        <w:spacing w:after="0" w:line="225" w:lineRule="exact"/>
        <w:rPr>
          <w:rFonts w:ascii="Arial" w:cs="Arial" w:eastAsia="Arial" w:hAnsi="Arial"/>
          <w:sz w:val="18"/>
          <w:szCs w:val="18"/>
          <w:color w:val="auto"/>
        </w:rPr>
      </w:pPr>
    </w:p>
    <w:p>
      <w:pPr>
        <w:ind w:left="1840" w:hanging="400"/>
        <w:spacing w:after="0"/>
        <w:tabs>
          <w:tab w:leader="none" w:pos="184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breach by NetEase or its subsidiaries or VIEs of this Agreement or any of the Inter-Company Agreements;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80" w:firstLine="1440"/>
        <w:spacing w:after="0" w:line="283" w:lineRule="auto"/>
        <w:tabs>
          <w:tab w:leader="none" w:pos="181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and provided in writing by NetEase or any of its subsidiaries or VIEs to Youdao specifically for inclusion in the IPO Registration Statement, any issuer free writing prospectus or any preliminary, final or supplemental prospectus forming a part of the IPO Registration Statement, (ii) contained in any public filings made by NetEase with the SEC following the Public Filing Date if and to the extent the provision of such information is not subject to indemnification pursuant to Section 5.2(c)(iii) above or (iii) provided in writing by NetEase or its subsidiaries or VIEs to Youdao specifically for inclusion in Youdao’s annual, quarterly or current reports following the Public Filing Date to the extent (A) such information pertains to (x) NetEase or any of its subsidiaries or VIEs or (y) the NetEase Business and (B) Youdao has provided prior written notice to NetEase that such information will be included in one or more annual, quarterly or current reports, specifying how such information will be presented, and the information is included in such annual, quarterly or current reports; provided that this sub-clause</w:t>
      </w:r>
    </w:p>
    <w:p>
      <w:pPr>
        <w:spacing w:after="0" w:line="2" w:lineRule="exact"/>
        <w:rPr>
          <w:rFonts w:ascii="Arial" w:cs="Arial" w:eastAsia="Arial" w:hAnsi="Arial"/>
          <w:sz w:val="16"/>
          <w:szCs w:val="16"/>
          <w:color w:val="auto"/>
        </w:rPr>
      </w:pPr>
    </w:p>
    <w:p>
      <w:pPr>
        <w:ind w:right="120" w:firstLine="9"/>
        <w:spacing w:after="0" w:line="255" w:lineRule="auto"/>
        <w:tabs>
          <w:tab w:leader="none" w:pos="2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shall not apply to the extent that any such Liability arises out of or results from, or in connection with, any action or inaction of Youdao or any of its subsidiaries or VIEs, including as a result of any misstatement or omission of any information by Youdao or any of its subsidiaries or VIEs to NetEase.</w:t>
      </w:r>
    </w:p>
    <w:p>
      <w:pPr>
        <w:spacing w:after="0" w:line="190"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In the event that NetEase or any of its subsidiaries or VIEs makes a payment to the Youdao Indemnitees hereunder, and any of the Youdao Indemnitees subsequently diminishes the Liability on account of which such payment was made, either directly or through a third-party recovery (other than a recovery indirectly from Youdao or its subsidiaries or VIEs), Youdao will promptly repay (or will procure a Youdao Indemnitee to promptly repay) NetEase (or any of its Subsidiary or VIEs that has made the payment) the amount by which the payment made by NetEase (or any of its subsidiaries or VIEs that has made the payment) exceeds the actual cost of the indemnified Liability.</w:t>
      </w:r>
    </w:p>
    <w:p>
      <w:pPr>
        <w:spacing w:after="0" w:line="192" w:lineRule="exact"/>
        <w:rPr>
          <w:sz w:val="20"/>
          <w:szCs w:val="20"/>
          <w:color w:val="auto"/>
        </w:rPr>
      </w:pPr>
    </w:p>
    <w:p>
      <w:pPr>
        <w:jc w:val="center"/>
        <w:ind w:right="80"/>
        <w:spacing w:after="0"/>
        <w:tabs>
          <w:tab w:leader="none" w:pos="1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Procedures for Defense, Settlement and Indemnification of the Third Party Claims</w:t>
      </w:r>
      <w:r>
        <w:rPr>
          <w:rFonts w:ascii="Arial" w:cs="Arial" w:eastAsia="Arial" w:hAnsi="Arial"/>
          <w:sz w:val="16"/>
          <w:szCs w:val="16"/>
          <w:color w:val="auto"/>
        </w:rPr>
        <w:t>.</w:t>
      </w:r>
    </w:p>
    <w:p>
      <w:pPr>
        <w:spacing w:after="0" w:line="225" w:lineRule="exact"/>
        <w:rPr>
          <w:sz w:val="20"/>
          <w:szCs w:val="20"/>
          <w:color w:val="auto"/>
        </w:rPr>
      </w:pPr>
    </w:p>
    <w:p>
      <w:pPr>
        <w:ind w:firstLine="1434"/>
        <w:spacing w:after="0" w:line="253" w:lineRule="auto"/>
        <w:tabs>
          <w:tab w:leader="none" w:pos="1805"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Notice of Claims</w:t>
      </w:r>
      <w:r>
        <w:rPr>
          <w:rFonts w:ascii="Arial" w:cs="Arial" w:eastAsia="Arial" w:hAnsi="Arial"/>
          <w:sz w:val="18"/>
          <w:szCs w:val="18"/>
          <w:color w:val="auto"/>
        </w:rPr>
        <w:t>. If an Indemnitee shall receive notice or otherwise learn of the assertion by a Person (including any Governmental Authority) other than NetEase, Youdao and their respective subsidiaries and VIEs of any claim or of the commencement by any such Person of any Action (collectively, a “</w:t>
      </w:r>
      <w:r>
        <w:rPr>
          <w:rFonts w:ascii="Arial" w:cs="Arial" w:eastAsia="Arial" w:hAnsi="Arial"/>
          <w:sz w:val="18"/>
          <w:szCs w:val="18"/>
          <w:b w:val="1"/>
          <w:bCs w:val="1"/>
          <w:color w:val="auto"/>
        </w:rPr>
        <w:t>Third Party Claim</w:t>
      </w:r>
      <w:r>
        <w:rPr>
          <w:rFonts w:ascii="Arial" w:cs="Arial" w:eastAsia="Arial" w:hAnsi="Arial"/>
          <w:sz w:val="18"/>
          <w:szCs w:val="18"/>
          <w:color w:val="auto"/>
        </w:rPr>
        <w:t>”) with respect to which an Indemnifying Party may be obligated to provide indemnification, NetEase or Youdao, as applicable, will ensure that such Indemnitee shall give such Indemnifying Party written notice thereof within thirty (30) calendar days after becoming aware of such Third Party Claim. Any such notice shall describe the Third Party Claim in reasonable detail. Notwithstanding the foregoing, the delay or failure of any Indemnitee or other Person to give notice as provided in this Section 5.4 shall not relieve the related Indemnifying Party of its obligations under this Article 5, except to the extent that such Indemnifying Party is actually and substantially prejudiced by such delay or failure to give notice.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4" w:name="page225"/>
    <w:bookmarkEnd w:id="224"/>
    <w:p>
      <w:pPr>
        <w:ind w:left="-20" w:firstLine="1440"/>
        <w:spacing w:after="0" w:line="269" w:lineRule="auto"/>
        <w:tabs>
          <w:tab w:leader="none" w:pos="1802"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Defense by Indemnifying Party</w:t>
      </w:r>
      <w:r>
        <w:rPr>
          <w:rFonts w:ascii="Arial" w:cs="Arial" w:eastAsia="Arial" w:hAnsi="Arial"/>
          <w:sz w:val="17"/>
          <w:szCs w:val="17"/>
          <w:color w:val="auto"/>
        </w:rPr>
        <w:t>. An Indemnifying Party shall be entitled to participate in the defense of any Third Party Claim and, to the extent that it wishes, at its cost, risk and expense, to assume the defense thereof, with counsel reasonably satisfactory to the Indemnitee, unless the Indemnifying Party is also a party to such proceeding and the Indemnitee determines in good faith that joint representation would be materially prejudicial to the Indemnitee’s defense. After timely notice from the Indemnifying Party to the Indemnitee of such election to so assume the defense thereof, the Indemnifying Party shall not be liable to the Indemnitee for any legal expenses of other counsel or any other expenses subsequently incurred by the Indemnitee in connection with the defense thereof. The Indemnitee agrees to cooperate in all reasonable respects with the Indemnifying Party and its counsel in the defense against any Third Party Claim. The Indemnifying Party shall be entitled to compromise or settle any Third Party Claim as to which it is providing indemnification, provided that any compromise or settlement shall be made only with the written consent of the Indemnitee, such consent not to be unreasonably withheld.</w:t>
      </w:r>
    </w:p>
    <w:p>
      <w:pPr>
        <w:spacing w:after="0" w:line="185" w:lineRule="exact"/>
        <w:rPr>
          <w:rFonts w:ascii="Arial" w:cs="Arial" w:eastAsia="Arial" w:hAnsi="Arial"/>
          <w:sz w:val="17"/>
          <w:szCs w:val="17"/>
          <w:color w:val="auto"/>
        </w:rPr>
      </w:pPr>
    </w:p>
    <w:p>
      <w:pPr>
        <w:ind w:left="-20" w:firstLine="1440"/>
        <w:spacing w:after="0" w:line="269" w:lineRule="auto"/>
        <w:tabs>
          <w:tab w:leader="none" w:pos="1791"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Defense by Indemnitee</w:t>
      </w:r>
      <w:r>
        <w:rPr>
          <w:rFonts w:ascii="Arial" w:cs="Arial" w:eastAsia="Arial" w:hAnsi="Arial"/>
          <w:sz w:val="17"/>
          <w:szCs w:val="17"/>
          <w:color w:val="auto"/>
        </w:rPr>
        <w:t>. If an Indemnifying Party fails to assume the defense of a Third Party Claim within thirty (30) calendar days after receipt of notice of such claim, the Indemnitee will, upon delivering notice to such effect to the Indemnifying Party, have the right to undertake the defense, compromise or settlement of such Third Party Claim on behalf of and for the account of the Indemnifying Party subject to the limitations as set forth in this Section 5.4; provided, however, that such Third Party Claim shall not be compromised or settled without the written consent of the Indemnifying Party, which consent shall not be unreasonably withheld. If the Indemnitee assumes the defense of any Third Party Claim, it shall keep the Indemnifying Party reasonably informed of the progress of any such defense, compromise or settlement. The Indemnifying Party shall reimburse all such costs and expenses of the Indemnitee in the event it is ultimately determined that the Indemnifying Party is obligated to indemnify the Indemnitee with respect to such Third Party Claim. In no event shall an Indemnifying Party be liable for any settlement effected without its consent, which consent shall not be unreasonably withheld.</w:t>
      </w:r>
    </w:p>
    <w:p>
      <w:pPr>
        <w:spacing w:after="0" w:line="185"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Section 5.5</w:t>
      </w:r>
      <w:r>
        <w:rPr>
          <w:sz w:val="20"/>
          <w:szCs w:val="20"/>
          <w:color w:val="auto"/>
        </w:rPr>
        <w:tab/>
      </w:r>
      <w:r>
        <w:rPr>
          <w:rFonts w:ascii="Arial" w:cs="Arial" w:eastAsia="Arial" w:hAnsi="Arial"/>
          <w:sz w:val="16"/>
          <w:szCs w:val="16"/>
          <w:u w:val="single" w:color="auto"/>
          <w:color w:val="auto"/>
        </w:rPr>
        <w:t>Additional Matters</w:t>
      </w:r>
      <w:r>
        <w:rPr>
          <w:rFonts w:ascii="Arial" w:cs="Arial" w:eastAsia="Arial" w:hAnsi="Arial"/>
          <w:sz w:val="16"/>
          <w:szCs w:val="16"/>
          <w:color w:val="auto"/>
        </w:rPr>
        <w:t>.</w:t>
      </w:r>
    </w:p>
    <w:p>
      <w:pPr>
        <w:spacing w:after="0" w:line="225" w:lineRule="exact"/>
        <w:rPr>
          <w:sz w:val="20"/>
          <w:szCs w:val="20"/>
          <w:color w:val="auto"/>
        </w:rPr>
      </w:pPr>
    </w:p>
    <w:p>
      <w:pPr>
        <w:ind w:left="-20" w:right="40" w:firstLine="1440"/>
        <w:spacing w:after="0" w:line="272" w:lineRule="auto"/>
        <w:tabs>
          <w:tab w:leader="none" w:pos="1791"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Cooperation in Defense and Settlement</w:t>
      </w:r>
      <w:r>
        <w:rPr>
          <w:rFonts w:ascii="Arial" w:cs="Arial" w:eastAsia="Arial" w:hAnsi="Arial"/>
          <w:sz w:val="17"/>
          <w:szCs w:val="17"/>
          <w:color w:val="auto"/>
        </w:rPr>
        <w:t>. With respect to any Third Party Claim that implicates both Youdao and NetEase in a material way due to the allocation of Liabilities, responsibilities for management of defense and related indemnities set forth in this Agreement or any of the Inter-Company Agreements, the Parties agree to cooperate fully and maintain a joint defense (in a manner that will preserve the attorney-client privilege, joint defense or other privilege with respect thereto) so as to minimize such Liabilities and defense costs associated therewith. Any Party that is not responsible for managing the defense of such Third Party Claims shall, upon reasonable request, be consulted with respect to significant matters relating thereto and may, if necessary or helpful, engage counsel to assist in the defense of such claims.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1000" w:top="125" w:right="1019" w:bottom="1440" w:gutter="0" w:footer="0" w:header="0"/>
        </w:sectPr>
      </w:pPr>
    </w:p>
    <w:bookmarkStart w:id="225" w:name="page226"/>
    <w:bookmarkEnd w:id="225"/>
    <w:p>
      <w:pPr>
        <w:ind w:right="20" w:firstLine="1440"/>
        <w:spacing w:after="0" w:line="254" w:lineRule="auto"/>
        <w:tabs>
          <w:tab w:leader="none" w:pos="1822"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Subrogation</w:t>
      </w:r>
      <w:r>
        <w:rPr>
          <w:rFonts w:ascii="Arial" w:cs="Arial" w:eastAsia="Arial" w:hAnsi="Arial"/>
          <w:sz w:val="18"/>
          <w:szCs w:val="18"/>
          <w:color w:val="auto"/>
        </w:rPr>
        <w:t>. In the event of payment by or on behalf of any Indemnifying Party to or on behalf of any Indemnitee in connection with any Third Party Claim, such Indemnifying Party shall be subrogated to and shall stand in the place of such Indemnitee, in whole or in part based upon whether the Indemnifying Party has paid all or only part of the Indemnitee’s Liability, as to any events or circumstances in respect of which such Indemnitee may have any right, defense or claim relating to such Third Party Claim against any claimant or plaintiff asserting such Third Party Claim or against any other person. Such Indemnitee shall cooperate with such Indemnifying Party in a reasonable manner, and at the cost and expense of such Indemnifying Party, in prosecuting any subrogated right, defense or claim.</w:t>
      </w:r>
    </w:p>
    <w:p>
      <w:pPr>
        <w:spacing w:after="0" w:line="195" w:lineRule="exact"/>
        <w:rPr>
          <w:sz w:val="20"/>
          <w:szCs w:val="20"/>
          <w:color w:val="auto"/>
        </w:rPr>
      </w:pPr>
    </w:p>
    <w:p>
      <w:pPr>
        <w:ind w:right="60" w:firstLine="1432"/>
        <w:spacing w:after="0" w:line="286"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Survival of Indemnities</w:t>
      </w:r>
      <w:r>
        <w:rPr>
          <w:rFonts w:ascii="Arial" w:cs="Arial" w:eastAsia="Arial" w:hAnsi="Arial"/>
          <w:sz w:val="17"/>
          <w:szCs w:val="17"/>
          <w:color w:val="auto"/>
        </w:rPr>
        <w:t>. The rights and obligations of the Parties under this Article 5 shall survive the sale or other transfer by any Party of any of its assets or businesses or the assignment by it of any Liabilities or the acquisition of Control of such Party (by sale of capital stock or other equity interests, merger, consolidation or otherwise).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11"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difference or claim arising out of or relating to this Agreement, including the existence, validity, interpretation, performance, breach or termination thereof or any dispute regarding non-contractual obligations arising out of or relating to it (“</w:t>
      </w:r>
      <w:r>
        <w:rPr>
          <w:rFonts w:ascii="Arial" w:cs="Arial" w:eastAsia="Arial" w:hAnsi="Arial"/>
          <w:sz w:val="18"/>
          <w:szCs w:val="18"/>
          <w:b w:val="1"/>
          <w:bCs w:val="1"/>
          <w:color w:val="auto"/>
        </w:rPr>
        <w:t>Dispute</w:t>
      </w:r>
      <w:r>
        <w:rPr>
          <w:rFonts w:ascii="Arial" w:cs="Arial" w:eastAsia="Arial" w:hAnsi="Arial"/>
          <w:sz w:val="18"/>
          <w:szCs w:val="18"/>
          <w:color w:val="auto"/>
        </w:rPr>
        <w:t>”) which arises between the Parties shall first be negotiated between appropriate senior executives of each Party who shall have the authority to resolve the matter. Such executives shall meet to attempt in good faith to negotiate a resolution of the Dispute prior to pursuing other available remedies, within ten (10) calendar days of receipt by a Party of written notice of a Dispute, which date of receipt shall be referred to herein as the “</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Discussions and correspondence relating to trying to resolve such Dispute shall be conducted on a without prejudice basis, treated as Confidential Information, shall be exempt from discovery or production, and shall not be admissible in any subsequent proceeding between the Parties.</w:t>
      </w:r>
    </w:p>
    <w:p>
      <w:pPr>
        <w:spacing w:after="0" w:line="196" w:lineRule="exact"/>
        <w:rPr>
          <w:sz w:val="20"/>
          <w:szCs w:val="20"/>
          <w:color w:val="auto"/>
        </w:rPr>
      </w:pPr>
    </w:p>
    <w:p>
      <w:pPr>
        <w:ind w:right="100" w:firstLine="1440"/>
        <w:spacing w:after="0" w:line="259" w:lineRule="auto"/>
        <w:tabs>
          <w:tab w:leader="none" w:pos="181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the senior executives are unable to resolve the Dispute within sixty (60) calendar days from the Dispute Resolution Commencement Date, the exclusive means of continuing to pursue resolution of the the Dispute is to submit the Dispute to the boards of directors of NetEase and Youdao. Representatives of each board of directors shall meet as soon as practicable to attempt in good faith to negotiate a resolution of the Dispute.</w:t>
      </w:r>
    </w:p>
    <w:p>
      <w:pPr>
        <w:spacing w:after="0" w:line="186" w:lineRule="exact"/>
        <w:rPr>
          <w:rFonts w:ascii="Arial" w:cs="Arial" w:eastAsia="Arial" w:hAnsi="Arial"/>
          <w:sz w:val="18"/>
          <w:szCs w:val="18"/>
          <w:color w:val="auto"/>
        </w:rPr>
      </w:pPr>
    </w:p>
    <w:p>
      <w:pPr>
        <w:ind w:right="20" w:firstLine="1440"/>
        <w:spacing w:after="0" w:line="272" w:lineRule="auto"/>
        <w:tabs>
          <w:tab w:leader="none" w:pos="182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the representatives of the two boards of directors are unable to resolve the Dispute within 120 calendar days from the Dispute Resolution Commencement Date, the exclusive means of continuing to pursue resolution of the Dispute is for any Party to initiate mediation pursuant to the Commercial Mediation Procedures of the American Arbitration Association, which shall apply to the conduct of the mediation, including the method of appointment of a mediator. Both Parties will share the administrative costs of the mediation and the mediator’s fees and expenses equally, and each Party shall bear all of its other costs and expenses related to the mediation, including but not limited to attorney’s fees, witness fees, and travel expenses. The mediation shall take place in English in Beijing, China or in whatever alternative forum on which the Parties may agree.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6" w:name="page227"/>
    <w:bookmarkEnd w:id="226"/>
    <w:p>
      <w:pPr>
        <w:ind w:right="40" w:firstLine="1440"/>
        <w:spacing w:after="0" w:line="270" w:lineRule="auto"/>
        <w:tabs>
          <w:tab w:leader="none" w:pos="181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If the Parties cannot resolve any Dispute through mediation within forty-five (45) calendar days after the appointment of the mediator (or the earlier withdrawal thereof), the exclusive means of pursuing final resolution of the Dispute is for any Party to commence an arbitration administered by the Hong Kong International Arbitration Centre under the Hong Kong International Arbitration Centre Administered Arbitration Rules (the “</w:t>
      </w:r>
      <w:r>
        <w:rPr>
          <w:rFonts w:ascii="Arial" w:cs="Arial" w:eastAsia="Arial" w:hAnsi="Arial"/>
          <w:sz w:val="17"/>
          <w:szCs w:val="17"/>
          <w:b w:val="1"/>
          <w:bCs w:val="1"/>
          <w:color w:val="auto"/>
        </w:rPr>
        <w:t>HKIAC Rules</w:t>
      </w:r>
      <w:r>
        <w:rPr>
          <w:rFonts w:ascii="Arial" w:cs="Arial" w:eastAsia="Arial" w:hAnsi="Arial"/>
          <w:sz w:val="17"/>
          <w:szCs w:val="17"/>
          <w:color w:val="auto"/>
        </w:rPr>
        <w:t>”) in force at the time when the notice of arbitration is submitted. There shall be three (3) arbitrators selected pursuant to the HKIAC Rules. The presiding arbitrator shall be qualified to practice law in New York. The place and seat of arbitration shall be Hong Kong. The law of this arbitration clause shall be Hong Kong law. The award of the arbitral tribunal shall be final and binding upon the parties thereto, and the prevailing party may apply to a court of competent jurisdiction for enforcement of such award. Nothing contained herein shall preclude any Party from seeking provisional, interim or conservatory measures (including injunctive relief) from any court of competent jurisdiction.</w:t>
      </w:r>
    </w:p>
    <w:p>
      <w:pPr>
        <w:spacing w:after="0" w:line="18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Unless otherwise agreed in writing, the Parties will continue to provide service and honor all other commitments under this Agreement and each Inter-Company Agreement during the course of dispute resolution pursuant to the provisions of this Section 6.1 with respect to all matters not subject to such Dispute, controversy or claim.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Consent</w:t>
      </w:r>
      <w:r>
        <w:rPr>
          <w:rFonts w:ascii="Arial" w:cs="Arial" w:eastAsia="Arial" w:hAnsi="Arial"/>
          <w:sz w:val="18"/>
          <w:szCs w:val="18"/>
          <w:color w:val="auto"/>
        </w:rPr>
        <w:t>. Any consent of a Party pursuant to this Agreement or any of the Inter-Company Agreements shall not be effective unless it is in writing and evidenced by the signature of the Chief Executive Officer or Chief Financial Officer of such Party (or such other person that the Chief Executive Officer, Chief Financial Officer or board of directors of such Party has specifically authorized in writing to give such consent).</w:t>
      </w:r>
    </w:p>
    <w:p>
      <w:pPr>
        <w:spacing w:after="0" w:line="187" w:lineRule="exact"/>
        <w:rPr>
          <w:sz w:val="20"/>
          <w:szCs w:val="20"/>
          <w:color w:val="auto"/>
        </w:rPr>
      </w:pPr>
    </w:p>
    <w:p>
      <w:pPr>
        <w:ind w:right="40" w:firstLine="1432"/>
        <w:spacing w:after="0" w:line="252"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IN NO EVENT SHALL NETEASE OR ANY OTHER MEMBER OF THE NETEASE GROUP OR YOUDAO OR ANY OTHER MEMBER OF THE YOUDAO GROUP BE LIABLE TO THE OTHER PARTY, OR ITS AFFILIATED COMPANIES FOR ANY LOST PROFITS OR CONSEQUENTIAL, INDIRECT, PUNITIVE, EXEMPLARY, SPECIAL, OR INCIDENTAL DAMAGES, HOWEVER CAUSED AND ON ANY THEORY OF LIABILITY (INCLUDING NEGLIGENCE) ARISING IN ANY WAY OUT OF THIS AGREEMENT, WHETHER OR NOT SUCH PARTY HAS BEEN ADVISED OF THE POSSIBILITY OF SUCH DAMAGES; PROVIDED, HOWEVER, THAT TO THE EXTENT EITHER PARTY OR ITS RESPECTIVE AFFILIATES IS REQUIRED TO PAY ANY LOST PROFITS OR CONSEQUENTIAL, INDIRECT, PUNITIVE, EXEMPLARY, SPECIAL, OR INCIDENTAL DAMAGES TO A THIRD PARTY WHO IS NOT AN AFFILIATE OF EITHER PARTY, IN EACH CASE IN CONNECTION WITH A THIRD-PARTY CLAIM, SUCH DAMAGES WILL CONSTITUTE DIRECT DAMAGES OF THE INDEMNIFIED PARTY AND WILL NOT BE SUBJECT TO THE LIMITATION SET FORTH IN THIS SECTION. SUBJECT TO THE FOREGOING, NOTHING IN THIS AGREEMENT LIMITS A PARTY’S RIGHT TO SEEK REMEDIES THAT SUCH PARTY IS ENTITLED TO FOR ANY BREACH OF THIS AGREEMENT, WHETHER AT LAW OR IN EQUITY, INCLUDING WITHOUT LIMITATION THE RIGHT TO TERMINATE THIS AGREEMENT IN THE EVENT THAT THE OTHER PARTY MATERIALLY BREACHES THIS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7" w:name="page228"/>
    <w:bookmarkEnd w:id="227"/>
    <w:p>
      <w:pPr>
        <w:ind w:right="100" w:firstLine="1432"/>
        <w:spacing w:after="0" w:line="287"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mutual consent of the Parties, evidenced by an instrument in writing signed on behalf of each of the Parties. In the event of termination pursuant to this Section 7.3, no Party shall have any liability of any kind to the other Party resulting from such termination. This Agreement shall terminate on the date that is five</w:t>
      </w:r>
    </w:p>
    <w:p>
      <w:pPr>
        <w:spacing w:after="0" w:line="2" w:lineRule="exact"/>
        <w:rPr>
          <w:sz w:val="20"/>
          <w:szCs w:val="20"/>
          <w:color w:val="auto"/>
        </w:rPr>
      </w:pPr>
    </w:p>
    <w:p>
      <w:pPr>
        <w:ind w:left="260" w:hanging="251"/>
        <w:spacing w:after="0"/>
        <w:tabs>
          <w:tab w:leader="none" w:pos="2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years after the Control Ending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the provisions of Section 4.7 shall survive for a period of seven</w:t>
      </w:r>
    </w:p>
    <w:p>
      <w:pPr>
        <w:spacing w:after="0" w:line="20" w:lineRule="exact"/>
        <w:rPr>
          <w:rFonts w:ascii="Arial" w:cs="Arial" w:eastAsia="Arial" w:hAnsi="Arial"/>
          <w:sz w:val="17"/>
          <w:szCs w:val="17"/>
          <w:color w:val="auto"/>
        </w:rPr>
      </w:pPr>
    </w:p>
    <w:p>
      <w:pPr>
        <w:ind w:right="280" w:firstLine="9"/>
        <w:spacing w:after="0" w:line="255"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years after the termination of this Agreement, and (ii) the provisions of Section 4.5, Article 5, Article 6 and Article 7 shall survive indefinitely after the termination of this Agreement. For avoidance of doubt, the termination of this Agreement shall not affect the validity and effectiveness of the Inter-Company Agreements.</w:t>
      </w:r>
    </w:p>
    <w:p>
      <w:pPr>
        <w:spacing w:after="0" w:line="190" w:lineRule="exact"/>
        <w:rPr>
          <w:sz w:val="20"/>
          <w:szCs w:val="20"/>
          <w:color w:val="auto"/>
        </w:rPr>
      </w:pPr>
    </w:p>
    <w:p>
      <w:pPr>
        <w:ind w:right="240" w:firstLine="1432"/>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except by an instrument in writing executed by a duly authorized representative of each Party.</w:t>
      </w:r>
    </w:p>
    <w:p>
      <w:pPr>
        <w:spacing w:after="0" w:line="170" w:lineRule="exact"/>
        <w:rPr>
          <w:sz w:val="20"/>
          <w:szCs w:val="20"/>
          <w:color w:val="auto"/>
        </w:rPr>
      </w:pPr>
    </w:p>
    <w:p>
      <w:pPr>
        <w:ind w:right="20" w:firstLine="1432"/>
        <w:spacing w:after="0" w:line="254"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offers, requests or other communications required or permitted to be given by a Party pursuant to the terms of this Agreement shall be given in writing to the other Party to the addresses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to such other address, facsimile number or email address as the Party to whom notice is given may have previously furnished to the other in writing as provided herein. Any notice involving non-performance or termination shall be sent by hand delivery or recognized courier. All other notices may also be sent by facsimile or email, confirmed by mail. All notices shall be deemed to have been given when received, if hand delivered; when transmitted, if transmitted by facsimile or email; upon confirmation of delivery, if sent by recognized courier; and upon receipt if mailed.</w:t>
      </w:r>
    </w:p>
    <w:p>
      <w:pPr>
        <w:spacing w:after="0" w:line="195" w:lineRule="exact"/>
        <w:rPr>
          <w:sz w:val="20"/>
          <w:szCs w:val="20"/>
          <w:color w:val="auto"/>
        </w:rPr>
      </w:pPr>
    </w:p>
    <w:p>
      <w:pPr>
        <w:ind w:right="180" w:firstLine="1432"/>
        <w:spacing w:after="0" w:line="277"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U.S.A.</w:t>
      </w:r>
    </w:p>
    <w:p>
      <w:pPr>
        <w:spacing w:after="0" w:line="170" w:lineRule="exact"/>
        <w:rPr>
          <w:sz w:val="20"/>
          <w:szCs w:val="20"/>
          <w:color w:val="auto"/>
        </w:rPr>
      </w:pPr>
    </w:p>
    <w:p>
      <w:pPr>
        <w:ind w:right="60" w:firstLine="1432"/>
        <w:spacing w:after="0" w:line="255"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Authority</w:t>
      </w:r>
      <w:r>
        <w:rPr>
          <w:rFonts w:ascii="Arial" w:cs="Arial" w:eastAsia="Arial" w:hAnsi="Arial"/>
          <w:sz w:val="18"/>
          <w:szCs w:val="18"/>
          <w:color w:val="auto"/>
        </w:rPr>
        <w:t>. Each of the Parties hereto represents to the others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92"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if any provisions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87"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Inter-Company Agreements and the Exhibits and Schedules referenced or attached hereto and thereto constitute the entire agreement between the Parties with respect to the subject matter hereof and thereof and supersede all previous agreements, negotiations, discussions, writings, understandings, commitments and conversations with respect to the subject matter hereof and thereof.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28" w:name="page229"/>
    <w:bookmarkEnd w:id="228"/>
    <w:p>
      <w:pPr>
        <w:ind w:right="100" w:firstLine="1432"/>
        <w:spacing w:after="0" w:line="272"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of this Agreement or the Schedule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77" w:lineRule="exact"/>
        <w:rPr>
          <w:sz w:val="20"/>
          <w:szCs w:val="20"/>
          <w:color w:val="auto"/>
        </w:rPr>
      </w:pPr>
    </w:p>
    <w:p>
      <w:pPr>
        <w:ind w:right="140" w:firstLine="1432"/>
        <w:spacing w:after="0" w:line="255"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Failure or Indulgence not Waiver; Remedies Cumulative</w:t>
      </w:r>
      <w:r>
        <w:rPr>
          <w:rFonts w:ascii="Arial" w:cs="Arial" w:eastAsia="Arial" w:hAnsi="Arial"/>
          <w:sz w:val="18"/>
          <w:szCs w:val="18"/>
          <w:color w:val="auto"/>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the Inter-Company Agreements and the Exhibits and Schedules referenced or attached hereto and thereto are cumulative to, and not exclusive of, any rights or remedies otherwise available.</w:t>
      </w:r>
    </w:p>
    <w:p>
      <w:pPr>
        <w:spacing w:after="0" w:line="192"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This Agreement shall inure to the benefit of and be binding upon the Parties hereto and their respective legal representatives and successors, and nothing in this Agreement, express or implied, is intended to confer upon any other Person any rights or remedies of any nature whatsoever under or by reason of this Agreement. No Party may assign this Agreement or any rights or obligations hereunder, without the prior written consent of the other Party, and any such assignment shall be void; provided, however, that each Party may assign this Agreement to an Affiliate.</w:t>
      </w:r>
    </w:p>
    <w:p>
      <w:pPr>
        <w:spacing w:after="0" w:line="176" w:lineRule="exact"/>
        <w:rPr>
          <w:sz w:val="20"/>
          <w:szCs w:val="20"/>
          <w:color w:val="auto"/>
        </w:rPr>
      </w:pPr>
    </w:p>
    <w:p>
      <w:pPr>
        <w:ind w:firstLine="1432"/>
        <w:spacing w:after="0" w:line="311"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None of the provisions of this Agreement shall be for the benefit of or enforceable by any third party, including any creditor of any Person. No such third party shall obtain any right under any provision of this Agreement or shall by reasons of any such provision make any claim in respect of any Liability (or otherwise) against either Party hereto.</w:t>
      </w:r>
    </w:p>
    <w:p>
      <w:pPr>
        <w:spacing w:after="0" w:line="149" w:lineRule="exact"/>
        <w:rPr>
          <w:sz w:val="20"/>
          <w:szCs w:val="20"/>
          <w:color w:val="auto"/>
        </w:rPr>
      </w:pPr>
    </w:p>
    <w:p>
      <w:pPr>
        <w:ind w:right="40" w:firstLine="1432"/>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Inconsistency</w:t>
      </w:r>
      <w:r>
        <w:rPr>
          <w:rFonts w:ascii="Arial" w:cs="Arial" w:eastAsia="Arial" w:hAnsi="Arial"/>
          <w:sz w:val="18"/>
          <w:szCs w:val="18"/>
          <w:color w:val="auto"/>
        </w:rPr>
        <w:t>. None of the provisions of this Agreement is intended to supersede any provision in any Inter-Company Agreement or any other agreement with respect to the respective subject matters thereof. In the event of conflict between this Agreement and any Inter-Company Agreement or other agreement executed in connection herewith, the provisions of such other agreement shall prevail.</w:t>
      </w:r>
    </w:p>
    <w:p>
      <w:pPr>
        <w:spacing w:after="0" w:line="187" w:lineRule="exact"/>
        <w:rPr>
          <w:sz w:val="20"/>
          <w:szCs w:val="20"/>
          <w:color w:val="auto"/>
        </w:rPr>
      </w:pPr>
    </w:p>
    <w:p>
      <w:pPr>
        <w:jc w:val="both"/>
        <w:ind w:right="20" w:firstLine="1432"/>
        <w:spacing w:after="0" w:line="263"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Heading</w:t>
      </w:r>
      <w:r>
        <w:rPr>
          <w:rFonts w:ascii="Arial" w:cs="Arial" w:eastAsia="Arial" w:hAnsi="Arial"/>
          <w:sz w:val="18"/>
          <w:szCs w:val="18"/>
          <w:color w:val="auto"/>
        </w:rPr>
        <w:t>. The headings contained in this Agreement or in the Schedule attached hereto and in the table of contents to this Agreement are for reference purposes only and shall not in any way limit or affect the meaning or interpretation of any of the terms in this Agreement.</w:t>
      </w:r>
    </w:p>
    <w:p>
      <w:pPr>
        <w:spacing w:after="0" w:line="184" w:lineRule="exact"/>
        <w:rPr>
          <w:sz w:val="20"/>
          <w:szCs w:val="20"/>
          <w:color w:val="auto"/>
        </w:rPr>
      </w:pPr>
    </w:p>
    <w:p>
      <w:pPr>
        <w:ind w:right="20" w:firstLine="1432"/>
        <w:spacing w:after="0" w:line="271"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u w:val="single" w:color="auto"/>
          <w:color w:val="auto"/>
        </w:rPr>
        <w:t>Interpretation</w:t>
      </w:r>
      <w:r>
        <w:rPr>
          <w:rFonts w:ascii="Arial" w:cs="Arial" w:eastAsia="Arial" w:hAnsi="Arial"/>
          <w:sz w:val="17"/>
          <w:szCs w:val="17"/>
          <w:color w:val="auto"/>
        </w:rPr>
        <w:t>. For all purposes of this Agreement: (i) all references in this Agreement to designated “Sections” and other subdivisions are to the designated Sections and other subdivisions of the body of this Agreement unless otherwise indicated; (ii) the words “herein”, “hereof” and “hereunder” and other words of similar import refer to this Agreement as a whole and not to any particular Section or other subdivision; (iii) “or” is not exclusive; (iv) “including” and “includes” will be deemed to be followed by “but not limited to” and “but is not limited to”, respectively; (v) any definition of, or reference to, any law, agreement, instrument or other document herein will be construed as referring to such law, agreement, instrument or other document as from time to time amended, supplemented or otherwise modified; and (vi) any definition of, or reference to, any statute will be construed as referring also to any rules and regulations promulgated thereunder.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29" w:name="page230"/>
    <w:bookmarkEnd w:id="229"/>
    <w:p>
      <w:pPr>
        <w:ind w:firstLine="1432"/>
        <w:spacing w:after="0" w:line="259" w:lineRule="auto"/>
        <w:rPr>
          <w:sz w:val="20"/>
          <w:szCs w:val="20"/>
          <w:color w:val="auto"/>
        </w:rPr>
      </w:pPr>
      <w:r>
        <w:rPr>
          <w:rFonts w:ascii="Arial" w:cs="Arial" w:eastAsia="Arial" w:hAnsi="Arial"/>
          <w:sz w:val="18"/>
          <w:szCs w:val="18"/>
          <w:color w:val="auto"/>
        </w:rPr>
        <w:t xml:space="preserve">Section 7.17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of this Agreement by facsimile or other electronic imaging means will be effective as delivery of a manually executed counterpart of this Agreement.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30" w:name="page231"/>
    <w:bookmarkEnd w:id="230"/>
    <w:p>
      <w:pPr>
        <w:ind w:firstLine="985"/>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each acting under due and proper authority, have executed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month and year first above written.</w:t>
      </w:r>
    </w:p>
    <w:p>
      <w:pPr>
        <w:spacing w:after="0" w:line="18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NetEase,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7774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Name:William Lei Ding</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 and Chief Executive Officer</w:t>
      </w:r>
    </w:p>
    <w:p>
      <w:pPr>
        <w:spacing w:after="0" w:line="26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Youdao, Inc.</w:t>
      </w:r>
    </w:p>
    <w:p>
      <w:pPr>
        <w:spacing w:after="0" w:line="40"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31750</wp:posOffset>
            </wp:positionV>
            <wp:extent cx="27774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Name:Feng Zhou</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Executive Officer, Director</w:t>
      </w: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Master Transaction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4.53</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TRANSITIONAL SERVICES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YOUDAO,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634365</wp:posOffset>
            </wp:positionV>
            <wp:extent cx="629221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b w:val="1"/>
                <w:bCs w:val="1"/>
                <w:color w:val="auto"/>
                <w:w w:val="98"/>
              </w:rPr>
              <w:t>TABLE OF CONTENTS</w:t>
            </w:r>
          </w:p>
        </w:tc>
        <w:tc>
          <w:tcPr>
            <w:tcW w:w="280" w:type="dxa"/>
            <w:vAlign w:val="bottom"/>
          </w:tcPr>
          <w:p>
            <w:pPr>
              <w:spacing w:after="0"/>
              <w:rPr>
                <w:sz w:val="20"/>
                <w:szCs w:val="20"/>
                <w:color w:val="auto"/>
              </w:rPr>
            </w:pPr>
          </w:p>
        </w:tc>
      </w:tr>
      <w:tr>
        <w:trPr>
          <w:trHeight w:val="431"/>
        </w:trPr>
        <w:tc>
          <w:tcPr>
            <w:tcW w:w="1080" w:type="dxa"/>
            <w:vAlign w:val="bottom"/>
          </w:tcPr>
          <w:p>
            <w:pPr>
              <w:spacing w:after="0"/>
              <w:rPr>
                <w:sz w:val="24"/>
                <w:szCs w:val="24"/>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6"/>
              </w:rPr>
              <w:t>ARTICLE 1</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0"/>
                <w:szCs w:val="20"/>
                <w:color w:val="auto"/>
              </w:rPr>
            </w:pPr>
          </w:p>
        </w:tc>
      </w:tr>
      <w:tr>
        <w:trPr>
          <w:trHeight w:val="432"/>
        </w:trPr>
        <w:tc>
          <w:tcPr>
            <w:tcW w:w="1080" w:type="dxa"/>
            <w:vAlign w:val="bottom"/>
          </w:tcPr>
          <w:p>
            <w:pPr>
              <w:spacing w:after="0"/>
              <w:rPr>
                <w:sz w:val="20"/>
                <w:szCs w:val="20"/>
                <w:color w:val="auto"/>
              </w:rPr>
            </w:pPr>
            <w:r>
              <w:rPr>
                <w:rFonts w:ascii="Arial" w:cs="Arial" w:eastAsia="Arial" w:hAnsi="Arial"/>
                <w:sz w:val="18"/>
                <w:szCs w:val="18"/>
                <w:color w:val="auto"/>
              </w:rPr>
              <w:t>Section 1.1</w:t>
            </w:r>
          </w:p>
        </w:tc>
        <w:tc>
          <w:tcPr>
            <w:tcW w:w="8560" w:type="dxa"/>
            <w:vAlign w:val="bottom"/>
          </w:tcPr>
          <w:p>
            <w:pPr>
              <w:ind w:left="180"/>
              <w:spacing w:after="0"/>
              <w:rPr>
                <w:sz w:val="20"/>
                <w:szCs w:val="20"/>
                <w:color w:val="auto"/>
              </w:rPr>
            </w:pPr>
            <w:r>
              <w:rPr>
                <w:rFonts w:ascii="Arial" w:cs="Arial" w:eastAsia="Arial" w:hAnsi="Arial"/>
                <w:sz w:val="18"/>
                <w:szCs w:val="18"/>
                <w:color w:val="auto"/>
              </w:rPr>
              <w:t>Capitalized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1080" w:type="dxa"/>
            <w:vAlign w:val="bottom"/>
          </w:tcPr>
          <w:p>
            <w:pPr>
              <w:spacing w:after="0"/>
              <w:rPr>
                <w:sz w:val="24"/>
                <w:szCs w:val="24"/>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6"/>
              </w:rPr>
              <w:t>ARTICLE 2</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2"/>
              </w:rPr>
              <w:t>SERVICES</w:t>
            </w:r>
          </w:p>
        </w:tc>
        <w:tc>
          <w:tcPr>
            <w:tcW w:w="2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2.1</w:t>
            </w:r>
          </w:p>
        </w:tc>
        <w:tc>
          <w:tcPr>
            <w:tcW w:w="8560" w:type="dxa"/>
            <w:vAlign w:val="bottom"/>
          </w:tcPr>
          <w:p>
            <w:pPr>
              <w:ind w:left="180"/>
              <w:spacing w:after="0"/>
              <w:rPr>
                <w:sz w:val="20"/>
                <w:szCs w:val="20"/>
                <w:color w:val="auto"/>
              </w:rPr>
            </w:pPr>
            <w:r>
              <w:rPr>
                <w:rFonts w:ascii="Arial" w:cs="Arial" w:eastAsia="Arial" w:hAnsi="Arial"/>
                <w:sz w:val="18"/>
                <w:szCs w:val="18"/>
                <w:color w:val="auto"/>
              </w:rPr>
              <w:t>Initial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2.2</w:t>
            </w:r>
          </w:p>
        </w:tc>
        <w:tc>
          <w:tcPr>
            <w:tcW w:w="8560" w:type="dxa"/>
            <w:vAlign w:val="bottom"/>
          </w:tcPr>
          <w:p>
            <w:pPr>
              <w:ind w:left="180"/>
              <w:spacing w:after="0"/>
              <w:rPr>
                <w:sz w:val="20"/>
                <w:szCs w:val="20"/>
                <w:color w:val="auto"/>
              </w:rPr>
            </w:pPr>
            <w:r>
              <w:rPr>
                <w:rFonts w:ascii="Arial" w:cs="Arial" w:eastAsia="Arial" w:hAnsi="Arial"/>
                <w:sz w:val="18"/>
                <w:szCs w:val="18"/>
                <w:color w:val="auto"/>
              </w:rPr>
              <w:t>Additional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2.3</w:t>
            </w:r>
          </w:p>
        </w:tc>
        <w:tc>
          <w:tcPr>
            <w:tcW w:w="8560" w:type="dxa"/>
            <w:vAlign w:val="bottom"/>
          </w:tcPr>
          <w:p>
            <w:pPr>
              <w:ind w:left="180"/>
              <w:spacing w:after="0"/>
              <w:rPr>
                <w:sz w:val="20"/>
                <w:szCs w:val="20"/>
                <w:color w:val="auto"/>
              </w:rPr>
            </w:pPr>
            <w:r>
              <w:rPr>
                <w:rFonts w:ascii="Arial" w:cs="Arial" w:eastAsia="Arial" w:hAnsi="Arial"/>
                <w:sz w:val="18"/>
                <w:szCs w:val="18"/>
                <w:color w:val="auto"/>
              </w:rPr>
              <w:t>Scope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2.4</w:t>
            </w:r>
          </w:p>
        </w:tc>
        <w:tc>
          <w:tcPr>
            <w:tcW w:w="8560" w:type="dxa"/>
            <w:vAlign w:val="bottom"/>
          </w:tcPr>
          <w:p>
            <w:pPr>
              <w:ind w:left="180"/>
              <w:spacing w:after="0"/>
              <w:rPr>
                <w:sz w:val="20"/>
                <w:szCs w:val="20"/>
                <w:color w:val="auto"/>
              </w:rPr>
            </w:pPr>
            <w:r>
              <w:rPr>
                <w:rFonts w:ascii="Arial" w:cs="Arial" w:eastAsia="Arial" w:hAnsi="Arial"/>
                <w:sz w:val="18"/>
                <w:szCs w:val="18"/>
                <w:color w:val="auto"/>
              </w:rPr>
              <w:t>Limitation on Provision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2.5</w:t>
            </w:r>
          </w:p>
        </w:tc>
        <w:tc>
          <w:tcPr>
            <w:tcW w:w="8560" w:type="dxa"/>
            <w:vAlign w:val="bottom"/>
          </w:tcPr>
          <w:p>
            <w:pPr>
              <w:ind w:left="180"/>
              <w:spacing w:after="0"/>
              <w:rPr>
                <w:sz w:val="20"/>
                <w:szCs w:val="20"/>
                <w:color w:val="auto"/>
              </w:rPr>
            </w:pPr>
            <w:r>
              <w:rPr>
                <w:rFonts w:ascii="Arial" w:cs="Arial" w:eastAsia="Arial" w:hAnsi="Arial"/>
                <w:sz w:val="18"/>
                <w:szCs w:val="18"/>
                <w:color w:val="auto"/>
              </w:rPr>
              <w:t>Standard of Performance; Standard of Care</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2.6</w:t>
            </w:r>
          </w:p>
        </w:tc>
        <w:tc>
          <w:tcPr>
            <w:tcW w:w="8560" w:type="dxa"/>
            <w:vAlign w:val="bottom"/>
          </w:tcPr>
          <w:p>
            <w:pPr>
              <w:ind w:left="180"/>
              <w:spacing w:after="0"/>
              <w:rPr>
                <w:sz w:val="20"/>
                <w:szCs w:val="20"/>
                <w:color w:val="auto"/>
              </w:rPr>
            </w:pPr>
            <w:r>
              <w:rPr>
                <w:rFonts w:ascii="Arial" w:cs="Arial" w:eastAsia="Arial" w:hAnsi="Arial"/>
                <w:sz w:val="18"/>
                <w:szCs w:val="18"/>
                <w:color w:val="auto"/>
              </w:rPr>
              <w:t>Changes in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2.7</w:t>
            </w:r>
          </w:p>
        </w:tc>
        <w:tc>
          <w:tcPr>
            <w:tcW w:w="8560" w:type="dxa"/>
            <w:vAlign w:val="bottom"/>
          </w:tcPr>
          <w:p>
            <w:pPr>
              <w:ind w:left="180"/>
              <w:spacing w:after="0"/>
              <w:rPr>
                <w:sz w:val="20"/>
                <w:szCs w:val="20"/>
                <w:color w:val="auto"/>
              </w:rPr>
            </w:pPr>
            <w:r>
              <w:rPr>
                <w:rFonts w:ascii="Arial" w:cs="Arial" w:eastAsia="Arial" w:hAnsi="Arial"/>
                <w:sz w:val="18"/>
                <w:szCs w:val="18"/>
                <w:color w:val="auto"/>
              </w:rPr>
              <w:t>Services Performed by Third Parties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2.8</w:t>
            </w:r>
          </w:p>
        </w:tc>
        <w:tc>
          <w:tcPr>
            <w:tcW w:w="8560" w:type="dxa"/>
            <w:vAlign w:val="bottom"/>
          </w:tcPr>
          <w:p>
            <w:pPr>
              <w:ind w:left="180"/>
              <w:spacing w:after="0"/>
              <w:rPr>
                <w:sz w:val="20"/>
                <w:szCs w:val="20"/>
                <w:color w:val="auto"/>
              </w:rPr>
            </w:pPr>
            <w:r>
              <w:rPr>
                <w:rFonts w:ascii="Arial" w:cs="Arial" w:eastAsia="Arial" w:hAnsi="Arial"/>
                <w:sz w:val="18"/>
                <w:szCs w:val="18"/>
                <w:color w:val="auto"/>
              </w:rPr>
              <w:t>Responsibility for Provider Personnel</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2.9</w:t>
            </w:r>
          </w:p>
        </w:tc>
        <w:tc>
          <w:tcPr>
            <w:tcW w:w="8560" w:type="dxa"/>
            <w:vAlign w:val="bottom"/>
          </w:tcPr>
          <w:p>
            <w:pPr>
              <w:ind w:left="180"/>
              <w:spacing w:after="0"/>
              <w:rPr>
                <w:sz w:val="20"/>
                <w:szCs w:val="20"/>
                <w:color w:val="auto"/>
              </w:rPr>
            </w:pPr>
            <w:r>
              <w:rPr>
                <w:rFonts w:ascii="Arial" w:cs="Arial" w:eastAsia="Arial" w:hAnsi="Arial"/>
                <w:sz w:val="18"/>
                <w:szCs w:val="18"/>
                <w:color w:val="auto"/>
                <w:w w:val="91"/>
              </w:rPr>
              <w:t>Services Rendered as a Work-For-Hire; Return of Equipment; Internal Use; No Sale, Transfer, Assignment; Copies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2.10</w:t>
            </w:r>
          </w:p>
        </w:tc>
        <w:tc>
          <w:tcPr>
            <w:tcW w:w="8560" w:type="dxa"/>
            <w:vAlign w:val="bottom"/>
          </w:tcPr>
          <w:p>
            <w:pPr>
              <w:ind w:left="180"/>
              <w:spacing w:after="0"/>
              <w:rPr>
                <w:sz w:val="20"/>
                <w:szCs w:val="20"/>
                <w:color w:val="auto"/>
              </w:rPr>
            </w:pPr>
            <w:r>
              <w:rPr>
                <w:rFonts w:ascii="Arial" w:cs="Arial" w:eastAsia="Arial" w:hAnsi="Arial"/>
                <w:sz w:val="18"/>
                <w:szCs w:val="18"/>
                <w:color w:val="auto"/>
              </w:rPr>
              <w:t>Cooperation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080" w:type="dxa"/>
            <w:vAlign w:val="bottom"/>
          </w:tcPr>
          <w:p>
            <w:pPr>
              <w:spacing w:after="0"/>
              <w:rPr>
                <w:sz w:val="24"/>
                <w:szCs w:val="24"/>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6"/>
              </w:rPr>
              <w:t>ARTICLE 3</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5"/>
              </w:rPr>
              <w:t>PRICES AND PAYMENT</w:t>
            </w:r>
          </w:p>
        </w:tc>
        <w:tc>
          <w:tcPr>
            <w:tcW w:w="2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3.1</w:t>
            </w:r>
          </w:p>
        </w:tc>
        <w:tc>
          <w:tcPr>
            <w:tcW w:w="8560" w:type="dxa"/>
            <w:vAlign w:val="bottom"/>
          </w:tcPr>
          <w:p>
            <w:pPr>
              <w:ind w:left="180"/>
              <w:spacing w:after="0"/>
              <w:rPr>
                <w:sz w:val="20"/>
                <w:szCs w:val="20"/>
                <w:color w:val="auto"/>
              </w:rPr>
            </w:pPr>
            <w:r>
              <w:rPr>
                <w:rFonts w:ascii="Arial" w:cs="Arial" w:eastAsia="Arial" w:hAnsi="Arial"/>
                <w:sz w:val="18"/>
                <w:szCs w:val="18"/>
                <w:color w:val="auto"/>
              </w:rPr>
              <w:t>Prices for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3.2</w:t>
            </w:r>
          </w:p>
        </w:tc>
        <w:tc>
          <w:tcPr>
            <w:tcW w:w="8560" w:type="dxa"/>
            <w:vAlign w:val="bottom"/>
          </w:tcPr>
          <w:p>
            <w:pPr>
              <w:ind w:left="180"/>
              <w:spacing w:after="0"/>
              <w:rPr>
                <w:sz w:val="20"/>
                <w:szCs w:val="20"/>
                <w:color w:val="auto"/>
              </w:rPr>
            </w:pPr>
            <w:r>
              <w:rPr>
                <w:rFonts w:ascii="Arial" w:cs="Arial" w:eastAsia="Arial" w:hAnsi="Arial"/>
                <w:sz w:val="18"/>
                <w:szCs w:val="18"/>
                <w:color w:val="auto"/>
              </w:rPr>
              <w:t>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3.3</w:t>
            </w:r>
          </w:p>
        </w:tc>
        <w:tc>
          <w:tcPr>
            <w:tcW w:w="8560" w:type="dxa"/>
            <w:vAlign w:val="bottom"/>
          </w:tcPr>
          <w:p>
            <w:pPr>
              <w:ind w:left="180"/>
              <w:spacing w:after="0"/>
              <w:rPr>
                <w:sz w:val="20"/>
                <w:szCs w:val="20"/>
                <w:color w:val="auto"/>
              </w:rPr>
            </w:pPr>
            <w:r>
              <w:rPr>
                <w:rFonts w:ascii="Arial" w:cs="Arial" w:eastAsia="Arial" w:hAnsi="Arial"/>
                <w:sz w:val="18"/>
                <w:szCs w:val="18"/>
                <w:color w:val="auto"/>
              </w:rPr>
              <w:t>Late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080" w:type="dxa"/>
            <w:vAlign w:val="bottom"/>
          </w:tcPr>
          <w:p>
            <w:pPr>
              <w:spacing w:after="0"/>
              <w:rPr>
                <w:sz w:val="24"/>
                <w:szCs w:val="24"/>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6"/>
              </w:rPr>
              <w:t>ARTICLE 4</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8"/>
              </w:rPr>
              <w:t>TERM AND TERMINATION</w:t>
            </w:r>
          </w:p>
        </w:tc>
        <w:tc>
          <w:tcPr>
            <w:tcW w:w="2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4.1</w:t>
            </w:r>
          </w:p>
        </w:tc>
        <w:tc>
          <w:tcPr>
            <w:tcW w:w="8560" w:type="dxa"/>
            <w:vAlign w:val="bottom"/>
          </w:tcPr>
          <w:p>
            <w:pPr>
              <w:ind w:left="180"/>
              <w:spacing w:after="0"/>
              <w:rPr>
                <w:sz w:val="20"/>
                <w:szCs w:val="20"/>
                <w:color w:val="auto"/>
              </w:rPr>
            </w:pPr>
            <w:r>
              <w:rPr>
                <w:rFonts w:ascii="Arial" w:cs="Arial" w:eastAsia="Arial" w:hAnsi="Arial"/>
                <w:sz w:val="18"/>
                <w:szCs w:val="18"/>
                <w:color w:val="auto"/>
              </w:rPr>
              <w:t>Termination Dates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4.2</w:t>
            </w:r>
          </w:p>
        </w:tc>
        <w:tc>
          <w:tcPr>
            <w:tcW w:w="8560" w:type="dxa"/>
            <w:vAlign w:val="bottom"/>
          </w:tcPr>
          <w:p>
            <w:pPr>
              <w:ind w:left="180"/>
              <w:spacing w:after="0"/>
              <w:rPr>
                <w:sz w:val="20"/>
                <w:szCs w:val="20"/>
                <w:color w:val="auto"/>
              </w:rPr>
            </w:pPr>
            <w:r>
              <w:rPr>
                <w:rFonts w:ascii="Arial" w:cs="Arial" w:eastAsia="Arial" w:hAnsi="Arial"/>
                <w:sz w:val="18"/>
                <w:szCs w:val="18"/>
                <w:color w:val="auto"/>
              </w:rPr>
              <w:t>Early Termination by the Recipient</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4.3</w:t>
            </w:r>
          </w:p>
        </w:tc>
        <w:tc>
          <w:tcPr>
            <w:tcW w:w="8560" w:type="dxa"/>
            <w:vAlign w:val="bottom"/>
          </w:tcPr>
          <w:p>
            <w:pPr>
              <w:ind w:left="180"/>
              <w:spacing w:after="0"/>
              <w:rPr>
                <w:sz w:val="20"/>
                <w:szCs w:val="20"/>
                <w:color w:val="auto"/>
              </w:rPr>
            </w:pPr>
            <w:r>
              <w:rPr>
                <w:rFonts w:ascii="Arial" w:cs="Arial" w:eastAsia="Arial" w:hAnsi="Arial"/>
                <w:sz w:val="18"/>
                <w:szCs w:val="18"/>
                <w:color w:val="auto"/>
              </w:rPr>
              <w:t>Termination by the Provider</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4.4</w:t>
            </w:r>
          </w:p>
        </w:tc>
        <w:tc>
          <w:tcPr>
            <w:tcW w:w="8560" w:type="dxa"/>
            <w:vAlign w:val="bottom"/>
          </w:tcPr>
          <w:p>
            <w:pPr>
              <w:ind w:left="180"/>
              <w:spacing w:after="0"/>
              <w:rPr>
                <w:sz w:val="20"/>
                <w:szCs w:val="20"/>
                <w:color w:val="auto"/>
              </w:rPr>
            </w:pPr>
            <w:r>
              <w:rPr>
                <w:rFonts w:ascii="Arial" w:cs="Arial" w:eastAsia="Arial" w:hAnsi="Arial"/>
                <w:sz w:val="18"/>
                <w:szCs w:val="18"/>
                <w:color w:val="auto"/>
              </w:rPr>
              <w:t>Effect of Termination of Services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4.5</w:t>
            </w:r>
          </w:p>
        </w:tc>
        <w:tc>
          <w:tcPr>
            <w:tcW w:w="8560" w:type="dxa"/>
            <w:vAlign w:val="bottom"/>
          </w:tcPr>
          <w:p>
            <w:pPr>
              <w:ind w:left="180"/>
              <w:spacing w:after="0"/>
              <w:rPr>
                <w:sz w:val="20"/>
                <w:szCs w:val="20"/>
                <w:color w:val="auto"/>
              </w:rPr>
            </w:pPr>
            <w:r>
              <w:rPr>
                <w:rFonts w:ascii="Arial" w:cs="Arial" w:eastAsia="Arial" w:hAnsi="Arial"/>
                <w:sz w:val="18"/>
                <w:szCs w:val="18"/>
                <w:color w:val="auto"/>
              </w:rPr>
              <w:t>Data Transmission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18"/>
        </w:trPr>
        <w:tc>
          <w:tcPr>
            <w:tcW w:w="1080" w:type="dxa"/>
            <w:vAlign w:val="bottom"/>
          </w:tcPr>
          <w:p>
            <w:pPr>
              <w:spacing w:after="0"/>
              <w:rPr>
                <w:sz w:val="24"/>
                <w:szCs w:val="24"/>
                <w:color w:val="auto"/>
              </w:rPr>
            </w:pPr>
          </w:p>
        </w:tc>
        <w:tc>
          <w:tcPr>
            <w:tcW w:w="8560" w:type="dxa"/>
            <w:vAlign w:val="bottom"/>
          </w:tcPr>
          <w:p>
            <w:pPr>
              <w:jc w:val="center"/>
              <w:ind w:right="710"/>
              <w:spacing w:after="0"/>
              <w:rPr>
                <w:sz w:val="20"/>
                <w:szCs w:val="20"/>
                <w:color w:val="auto"/>
              </w:rPr>
            </w:pPr>
            <w:r>
              <w:rPr>
                <w:rFonts w:ascii="Arial" w:cs="Arial" w:eastAsia="Arial" w:hAnsi="Arial"/>
                <w:sz w:val="18"/>
                <w:szCs w:val="18"/>
                <w:color w:val="auto"/>
                <w:w w:val="96"/>
              </w:rPr>
              <w:t>ARTICLE 5</w:t>
            </w:r>
          </w:p>
        </w:tc>
        <w:tc>
          <w:tcPr>
            <w:tcW w:w="2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8560" w:type="dxa"/>
            <w:vAlign w:val="bottom"/>
          </w:tcPr>
          <w:p>
            <w:pPr>
              <w:jc w:val="center"/>
              <w:ind w:right="690"/>
              <w:spacing w:after="0"/>
              <w:rPr>
                <w:sz w:val="20"/>
                <w:szCs w:val="20"/>
                <w:color w:val="auto"/>
              </w:rPr>
            </w:pPr>
            <w:r>
              <w:rPr>
                <w:rFonts w:ascii="Arial" w:cs="Arial" w:eastAsia="Arial" w:hAnsi="Arial"/>
                <w:sz w:val="18"/>
                <w:szCs w:val="18"/>
                <w:color w:val="auto"/>
                <w:w w:val="97"/>
              </w:rPr>
              <w:t>MISCELLANEOUS</w:t>
            </w:r>
          </w:p>
        </w:tc>
        <w:tc>
          <w:tcPr>
            <w:tcW w:w="2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Section 5.1</w:t>
            </w:r>
          </w:p>
        </w:tc>
        <w:tc>
          <w:tcPr>
            <w:tcW w:w="8560" w:type="dxa"/>
            <w:vAlign w:val="bottom"/>
          </w:tcPr>
          <w:p>
            <w:pPr>
              <w:ind w:left="180"/>
              <w:spacing w:after="0"/>
              <w:rPr>
                <w:sz w:val="20"/>
                <w:szCs w:val="20"/>
                <w:color w:val="auto"/>
              </w:rPr>
            </w:pPr>
            <w:r>
              <w:rPr>
                <w:rFonts w:ascii="Arial" w:cs="Arial" w:eastAsia="Arial" w:hAnsi="Arial"/>
                <w:sz w:val="18"/>
                <w:szCs w:val="18"/>
                <w:color w:val="auto"/>
              </w:rPr>
              <w:t>Disclaimer of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w:t>
            </w:r>
          </w:p>
        </w:tc>
        <w:tc>
          <w:tcPr>
            <w:tcW w:w="8560" w:type="dxa"/>
            <w:vAlign w:val="bottom"/>
          </w:tcPr>
          <w:p>
            <w:pPr>
              <w:ind w:left="180"/>
              <w:spacing w:after="0"/>
              <w:rPr>
                <w:sz w:val="20"/>
                <w:szCs w:val="20"/>
                <w:color w:val="auto"/>
              </w:rPr>
            </w:pPr>
            <w:r>
              <w:rPr>
                <w:rFonts w:ascii="Arial" w:cs="Arial" w:eastAsia="Arial" w:hAnsi="Arial"/>
                <w:sz w:val="18"/>
                <w:szCs w:val="18"/>
                <w:color w:val="auto"/>
              </w:rPr>
              <w:t>Consent</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5.3</w:t>
            </w:r>
          </w:p>
        </w:tc>
        <w:tc>
          <w:tcPr>
            <w:tcW w:w="8560" w:type="dxa"/>
            <w:vAlign w:val="bottom"/>
          </w:tcPr>
          <w:p>
            <w:pPr>
              <w:ind w:left="180"/>
              <w:spacing w:after="0"/>
              <w:rPr>
                <w:sz w:val="20"/>
                <w:szCs w:val="20"/>
                <w:color w:val="auto"/>
              </w:rPr>
            </w:pPr>
            <w:r>
              <w:rPr>
                <w:rFonts w:ascii="Arial" w:cs="Arial" w:eastAsia="Arial" w:hAnsi="Arial"/>
                <w:sz w:val="18"/>
                <w:szCs w:val="18"/>
                <w:color w:val="auto"/>
              </w:rPr>
              <w:t>Limitation of Liability;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5.4</w:t>
            </w:r>
          </w:p>
        </w:tc>
        <w:tc>
          <w:tcPr>
            <w:tcW w:w="6460" w:type="dxa"/>
            <w:vAlign w:val="bottom"/>
          </w:tcPr>
          <w:p>
            <w:pPr>
              <w:ind w:left="180"/>
              <w:spacing w:after="0"/>
              <w:rPr>
                <w:sz w:val="20"/>
                <w:szCs w:val="20"/>
                <w:color w:val="auto"/>
              </w:rPr>
            </w:pPr>
            <w:r>
              <w:rPr>
                <w:rFonts w:ascii="Arial" w:cs="Arial" w:eastAsia="Arial" w:hAnsi="Arial"/>
                <w:sz w:val="18"/>
                <w:szCs w:val="18"/>
                <w:color w:val="auto"/>
              </w:rPr>
              <w:t>Compliance with Law and Governmental Regulations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5.5</w:t>
            </w:r>
          </w:p>
        </w:tc>
        <w:tc>
          <w:tcPr>
            <w:tcW w:w="6460" w:type="dxa"/>
            <w:vAlign w:val="bottom"/>
          </w:tcPr>
          <w:p>
            <w:pPr>
              <w:ind w:left="180"/>
              <w:spacing w:after="0"/>
              <w:rPr>
                <w:sz w:val="20"/>
                <w:szCs w:val="20"/>
                <w:color w:val="auto"/>
              </w:rPr>
            </w:pPr>
            <w:r>
              <w:rPr>
                <w:rFonts w:ascii="Arial" w:cs="Arial" w:eastAsia="Arial" w:hAnsi="Arial"/>
                <w:sz w:val="18"/>
                <w:szCs w:val="18"/>
                <w:color w:val="auto"/>
              </w:rPr>
              <w:t>No Partnership or Joint Venture; Independent Contractor</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5.6</w:t>
            </w:r>
          </w:p>
        </w:tc>
        <w:tc>
          <w:tcPr>
            <w:tcW w:w="6460" w:type="dxa"/>
            <w:vAlign w:val="bottom"/>
          </w:tcPr>
          <w:p>
            <w:pPr>
              <w:ind w:left="180"/>
              <w:spacing w:after="0"/>
              <w:rPr>
                <w:sz w:val="20"/>
                <w:szCs w:val="20"/>
                <w:color w:val="auto"/>
              </w:rPr>
            </w:pPr>
            <w:r>
              <w:rPr>
                <w:rFonts w:ascii="Arial" w:cs="Arial" w:eastAsia="Arial" w:hAnsi="Arial"/>
                <w:sz w:val="18"/>
                <w:szCs w:val="18"/>
                <w:color w:val="auto"/>
              </w:rPr>
              <w:t>Non-Exclusivity</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5.7</w:t>
            </w:r>
          </w:p>
        </w:tc>
        <w:tc>
          <w:tcPr>
            <w:tcW w:w="646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5.8</w:t>
            </w:r>
          </w:p>
        </w:tc>
        <w:tc>
          <w:tcPr>
            <w:tcW w:w="6460" w:type="dxa"/>
            <w:vAlign w:val="bottom"/>
          </w:tcPr>
          <w:p>
            <w:pPr>
              <w:ind w:left="180"/>
              <w:spacing w:after="0"/>
              <w:rPr>
                <w:sz w:val="20"/>
                <w:szCs w:val="20"/>
                <w:color w:val="auto"/>
              </w:rPr>
            </w:pPr>
            <w:r>
              <w:rPr>
                <w:rFonts w:ascii="Arial" w:cs="Arial" w:eastAsia="Arial" w:hAnsi="Arial"/>
                <w:sz w:val="18"/>
                <w:szCs w:val="18"/>
                <w:color w:val="auto"/>
              </w:rPr>
              <w:t>Further Assurances</w:t>
            </w:r>
          </w:p>
        </w:tc>
        <w:tc>
          <w:tcPr>
            <w:tcW w:w="2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5.9</w:t>
            </w:r>
          </w:p>
        </w:tc>
        <w:tc>
          <w:tcPr>
            <w:tcW w:w="646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5.10</w:t>
            </w:r>
          </w:p>
        </w:tc>
        <w:tc>
          <w:tcPr>
            <w:tcW w:w="6460" w:type="dxa"/>
            <w:vAlign w:val="bottom"/>
          </w:tcPr>
          <w:p>
            <w:pPr>
              <w:ind w:left="180"/>
              <w:spacing w:after="0"/>
              <w:rPr>
                <w:sz w:val="20"/>
                <w:szCs w:val="20"/>
                <w:color w:val="auto"/>
              </w:rPr>
            </w:pPr>
            <w:r>
              <w:rPr>
                <w:rFonts w:ascii="Arial" w:cs="Arial" w:eastAsia="Arial" w:hAnsi="Arial"/>
                <w:sz w:val="18"/>
                <w:szCs w:val="18"/>
                <w:color w:val="auto"/>
              </w:rPr>
              <w:t>Notices</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5.11</w:t>
            </w:r>
          </w:p>
        </w:tc>
        <w:tc>
          <w:tcPr>
            <w:tcW w:w="646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5.12</w:t>
            </w:r>
          </w:p>
        </w:tc>
        <w:tc>
          <w:tcPr>
            <w:tcW w:w="6460" w:type="dxa"/>
            <w:vAlign w:val="bottom"/>
          </w:tcPr>
          <w:p>
            <w:pPr>
              <w:ind w:left="180"/>
              <w:spacing w:after="0"/>
              <w:rPr>
                <w:sz w:val="20"/>
                <w:szCs w:val="20"/>
                <w:color w:val="auto"/>
              </w:rPr>
            </w:pPr>
            <w:r>
              <w:rPr>
                <w:rFonts w:ascii="Arial" w:cs="Arial" w:eastAsia="Arial" w:hAnsi="Arial"/>
                <w:sz w:val="18"/>
                <w:szCs w:val="18"/>
                <w:color w:val="auto"/>
              </w:rPr>
              <w:t>Dispute Resolution</w:t>
            </w:r>
          </w:p>
        </w:tc>
        <w:tc>
          <w:tcPr>
            <w:tcW w:w="2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5.13</w:t>
            </w:r>
          </w:p>
        </w:tc>
        <w:tc>
          <w:tcPr>
            <w:tcW w:w="6460" w:type="dxa"/>
            <w:vAlign w:val="bottom"/>
          </w:tcPr>
          <w:p>
            <w:pPr>
              <w:ind w:left="180"/>
              <w:spacing w:after="0"/>
              <w:rPr>
                <w:sz w:val="20"/>
                <w:szCs w:val="20"/>
                <w:color w:val="auto"/>
              </w:rPr>
            </w:pPr>
            <w:r>
              <w:rPr>
                <w:rFonts w:ascii="Arial" w:cs="Arial" w:eastAsia="Arial" w:hAnsi="Arial"/>
                <w:sz w:val="18"/>
                <w:szCs w:val="18"/>
                <w:color w:val="auto"/>
              </w:rPr>
              <w:t>Incorporation by Reference</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5.14</w:t>
            </w:r>
          </w:p>
        </w:tc>
        <w:tc>
          <w:tcPr>
            <w:tcW w:w="646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5.15</w:t>
            </w:r>
          </w:p>
        </w:tc>
        <w:tc>
          <w:tcPr>
            <w:tcW w:w="6460" w:type="dxa"/>
            <w:vAlign w:val="bottom"/>
          </w:tcPr>
          <w:p>
            <w:pPr>
              <w:ind w:left="180"/>
              <w:spacing w:after="0"/>
              <w:rPr>
                <w:sz w:val="20"/>
                <w:szCs w:val="20"/>
                <w:color w:val="auto"/>
              </w:rPr>
            </w:pPr>
            <w:r>
              <w:rPr>
                <w:rFonts w:ascii="Arial" w:cs="Arial" w:eastAsia="Arial" w:hAnsi="Arial"/>
                <w:sz w:val="18"/>
                <w:szCs w:val="18"/>
                <w:color w:val="auto"/>
              </w:rPr>
              <w:t>Entire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5.16</w:t>
            </w:r>
          </w:p>
        </w:tc>
        <w:tc>
          <w:tcPr>
            <w:tcW w:w="64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5.17</w:t>
            </w:r>
          </w:p>
        </w:tc>
        <w:tc>
          <w:tcPr>
            <w:tcW w:w="6460" w:type="dxa"/>
            <w:vAlign w:val="bottom"/>
          </w:tcPr>
          <w:p>
            <w:pPr>
              <w:ind w:left="180"/>
              <w:spacing w:after="0"/>
              <w:rPr>
                <w:sz w:val="20"/>
                <w:szCs w:val="20"/>
                <w:color w:val="auto"/>
              </w:rPr>
            </w:pPr>
            <w:r>
              <w:rPr>
                <w:rFonts w:ascii="Arial" w:cs="Arial" w:eastAsia="Arial" w:hAnsi="Arial"/>
                <w:sz w:val="18"/>
                <w:szCs w:val="18"/>
                <w:color w:val="auto"/>
              </w:rPr>
              <w:t>Failure or Indulgence not Waiver; Remedies Cumulative</w:t>
            </w:r>
          </w:p>
        </w:tc>
        <w:tc>
          <w:tcPr>
            <w:tcW w:w="23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5.18</w:t>
            </w:r>
          </w:p>
        </w:tc>
        <w:tc>
          <w:tcPr>
            <w:tcW w:w="6460" w:type="dxa"/>
            <w:vAlign w:val="bottom"/>
          </w:tcPr>
          <w:p>
            <w:pPr>
              <w:ind w:left="180"/>
              <w:spacing w:after="0"/>
              <w:rPr>
                <w:sz w:val="20"/>
                <w:szCs w:val="20"/>
                <w:color w:val="auto"/>
              </w:rPr>
            </w:pPr>
            <w:r>
              <w:rPr>
                <w:rFonts w:ascii="Arial" w:cs="Arial" w:eastAsia="Arial" w:hAnsi="Arial"/>
                <w:sz w:val="18"/>
                <w:szCs w:val="18"/>
                <w:color w:val="auto"/>
              </w:rPr>
              <w:t>Assignment; No Third-Party Beneficiaries</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5.19</w:t>
            </w:r>
          </w:p>
        </w:tc>
        <w:tc>
          <w:tcPr>
            <w:tcW w:w="6460" w:type="dxa"/>
            <w:vAlign w:val="bottom"/>
          </w:tcPr>
          <w:p>
            <w:pPr>
              <w:ind w:left="180"/>
              <w:spacing w:after="0"/>
              <w:rPr>
                <w:sz w:val="20"/>
                <w:szCs w:val="20"/>
                <w:color w:val="auto"/>
              </w:rPr>
            </w:pPr>
            <w:r>
              <w:rPr>
                <w:rFonts w:ascii="Arial" w:cs="Arial" w:eastAsia="Arial" w:hAnsi="Arial"/>
                <w:sz w:val="18"/>
                <w:szCs w:val="18"/>
                <w:color w:val="auto"/>
              </w:rPr>
              <w:t>Inconsistency</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5.20</w:t>
            </w:r>
          </w:p>
        </w:tc>
        <w:tc>
          <w:tcPr>
            <w:tcW w:w="646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5.21</w:t>
            </w:r>
          </w:p>
        </w:tc>
        <w:tc>
          <w:tcPr>
            <w:tcW w:w="6460" w:type="dxa"/>
            <w:vAlign w:val="bottom"/>
          </w:tcPr>
          <w:p>
            <w:pPr>
              <w:ind w:left="180"/>
              <w:spacing w:after="0"/>
              <w:rPr>
                <w:sz w:val="20"/>
                <w:szCs w:val="20"/>
                <w:color w:val="auto"/>
              </w:rPr>
            </w:pPr>
            <w:r>
              <w:rPr>
                <w:rFonts w:ascii="Arial" w:cs="Arial" w:eastAsia="Arial" w:hAnsi="Arial"/>
                <w:sz w:val="18"/>
                <w:szCs w:val="18"/>
                <w:color w:val="auto"/>
              </w:rPr>
              <w:t>Interpretation</w:t>
            </w:r>
          </w:p>
        </w:tc>
        <w:tc>
          <w:tcPr>
            <w:tcW w:w="2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Section 5.22</w:t>
            </w:r>
          </w:p>
        </w:tc>
        <w:tc>
          <w:tcPr>
            <w:tcW w:w="64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3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35" w:name="page236"/>
    <w:bookmarkEnd w:id="235"/>
    <w:p>
      <w:pPr>
        <w:jc w:val="center"/>
        <w:ind w:right="-39"/>
        <w:spacing w:after="0"/>
        <w:rPr>
          <w:sz w:val="20"/>
          <w:szCs w:val="20"/>
          <w:color w:val="auto"/>
        </w:rPr>
      </w:pPr>
      <w:r>
        <w:rPr>
          <w:rFonts w:ascii="Arial" w:cs="Arial" w:eastAsia="Arial" w:hAnsi="Arial"/>
          <w:sz w:val="18"/>
          <w:szCs w:val="18"/>
          <w:b w:val="1"/>
          <w:bCs w:val="1"/>
          <w:color w:val="auto"/>
        </w:rPr>
        <w:t>TRANSITIONAL SERVICES AGREEMENT</w:t>
      </w:r>
    </w:p>
    <w:p>
      <w:pPr>
        <w:spacing w:after="0" w:line="225" w:lineRule="exact"/>
        <w:rPr>
          <w:sz w:val="20"/>
          <w:szCs w:val="20"/>
          <w:color w:val="auto"/>
        </w:rPr>
      </w:pPr>
    </w:p>
    <w:p>
      <w:pPr>
        <w:ind w:right="80" w:firstLine="985"/>
        <w:spacing w:after="0" w:line="303" w:lineRule="auto"/>
        <w:rPr>
          <w:sz w:val="20"/>
          <w:szCs w:val="20"/>
          <w:color w:val="auto"/>
        </w:rPr>
      </w:pPr>
      <w:r>
        <w:rPr>
          <w:rFonts w:ascii="Arial" w:cs="Arial" w:eastAsia="Arial" w:hAnsi="Arial"/>
          <w:sz w:val="16"/>
          <w:szCs w:val="16"/>
          <w:color w:val="auto"/>
        </w:rPr>
        <w:t>This Transitional Services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September 27, 2019, by and between, NetEase, Inc., a company incorporated under the laws of the Cayman Islands (“</w:t>
      </w:r>
      <w:r>
        <w:rPr>
          <w:rFonts w:ascii="Arial" w:cs="Arial" w:eastAsia="Arial" w:hAnsi="Arial"/>
          <w:sz w:val="16"/>
          <w:szCs w:val="16"/>
          <w:b w:val="1"/>
          <w:bCs w:val="1"/>
          <w:color w:val="auto"/>
        </w:rPr>
        <w:t>NetEase</w:t>
      </w:r>
      <w:r>
        <w:rPr>
          <w:rFonts w:ascii="Arial" w:cs="Arial" w:eastAsia="Arial" w:hAnsi="Arial"/>
          <w:sz w:val="16"/>
          <w:szCs w:val="16"/>
          <w:color w:val="auto"/>
        </w:rPr>
        <w:t>”), on behalf of itself and other members of the NetEase Group (as defined below), and Youdao, Inc., a company incorporated under the laws of the Cayman Islands (“</w:t>
      </w:r>
      <w:r>
        <w:rPr>
          <w:rFonts w:ascii="Arial" w:cs="Arial" w:eastAsia="Arial" w:hAnsi="Arial"/>
          <w:sz w:val="16"/>
          <w:szCs w:val="16"/>
          <w:b w:val="1"/>
          <w:bCs w:val="1"/>
          <w:color w:val="auto"/>
        </w:rPr>
        <w:t>Youdao</w:t>
      </w:r>
      <w:r>
        <w:rPr>
          <w:rFonts w:ascii="Arial" w:cs="Arial" w:eastAsia="Arial" w:hAnsi="Arial"/>
          <w:sz w:val="16"/>
          <w:szCs w:val="16"/>
          <w:color w:val="auto"/>
        </w:rPr>
        <w:t>”), on behalf of itself and other members of the Youdao Group (as defined below) (each of NetEase and Youdao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as of the date hereof, Youdao is Controlled by NetEase;</w:t>
      </w:r>
    </w:p>
    <w:p>
      <w:pPr>
        <w:spacing w:after="0" w:line="221" w:lineRule="exact"/>
        <w:rPr>
          <w:sz w:val="20"/>
          <w:szCs w:val="20"/>
          <w:color w:val="auto"/>
        </w:rPr>
      </w:pPr>
    </w:p>
    <w:p>
      <w:pPr>
        <w:ind w:right="200" w:firstLine="991"/>
        <w:spacing w:after="0" w:line="347" w:lineRule="auto"/>
        <w:rPr>
          <w:sz w:val="20"/>
          <w:szCs w:val="20"/>
          <w:color w:val="auto"/>
        </w:rPr>
      </w:pPr>
      <w:r>
        <w:rPr>
          <w:rFonts w:ascii="Arial" w:cs="Arial" w:eastAsia="Arial" w:hAnsi="Arial"/>
          <w:sz w:val="16"/>
          <w:szCs w:val="16"/>
          <w:color w:val="auto"/>
        </w:rPr>
        <w:t>WHEREAS, the Parties currently contemplate that Youdao will make an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pursuant to a Registration Statement on Form F-1 (as so filed, and as amended thereafter from time to time, the “</w:t>
      </w:r>
      <w:r>
        <w:rPr>
          <w:rFonts w:ascii="Arial" w:cs="Arial" w:eastAsia="Arial" w:hAnsi="Arial"/>
          <w:sz w:val="16"/>
          <w:szCs w:val="16"/>
          <w:b w:val="1"/>
          <w:bCs w:val="1"/>
          <w:color w:val="auto"/>
        </w:rPr>
        <w:t>IPO Registration Statement</w:t>
      </w:r>
      <w:r>
        <w:rPr>
          <w:rFonts w:ascii="Arial" w:cs="Arial" w:eastAsia="Arial" w:hAnsi="Arial"/>
          <w:sz w:val="16"/>
          <w:szCs w:val="16"/>
          <w:color w:val="auto"/>
        </w:rPr>
        <w:t>”);</w:t>
      </w:r>
    </w:p>
    <w:p>
      <w:pPr>
        <w:spacing w:after="0" w:line="12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NetEase and Youdao have entered into that certain Master Transaction Agreement, dated as of the date hereof (the “</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which sets forth the principal arrangements between NetEase and Youdao regarding their relationship from and after the consummation of the IPO; and</w:t>
      </w:r>
    </w:p>
    <w:p>
      <w:pPr>
        <w:spacing w:after="0" w:line="184"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WHEREAS, the Parties desire that members of the NetEase Group will continue to provide certain services to members of the Youdao Group and that members of the Youdao Group will also provide certain services to members of the NetEase Group.</w:t>
      </w:r>
    </w:p>
    <w:p>
      <w:pPr>
        <w:spacing w:after="0" w:line="124"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NOW, THEREFORE, in consideration of the foregoing recitals, the mutual agreements, covenants and provisions contained in this Agreement and the transactions contemplated by the Master Transaction Agreement, the receipt and sufficiency of which are acknowledged, the Parties, intending to be legally bound, agree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Section 1.1 Capitalized terms used and not otherwise defined herein will have the meanings ascribed to such terms in the Master Transaction Agreement. Capitalized terms used in the Schedules but not otherwise defined therein, will have the meaning ascribed to such word in this Agreement. For purposes of this Agreement, the following words and phrases will have the following meanings:</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Actual Cost</w:t>
      </w:r>
      <w:r>
        <w:rPr>
          <w:rFonts w:ascii="Arial" w:cs="Arial" w:eastAsia="Arial" w:hAnsi="Arial"/>
          <w:sz w:val="18"/>
          <w:szCs w:val="18"/>
          <w:color w:val="auto"/>
        </w:rPr>
        <w:t>” has the meaning set forth in Section 3.1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Services</w:t>
      </w:r>
      <w:r>
        <w:rPr>
          <w:rFonts w:ascii="Arial" w:cs="Arial" w:eastAsia="Arial" w:hAnsi="Arial"/>
          <w:sz w:val="18"/>
          <w:szCs w:val="18"/>
          <w:color w:val="auto"/>
        </w:rPr>
        <w:t>” has the meaning set forth in Section 2.2 of this Agreement.</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any Person means a Person that Controls, is Controlled by, or is under common Control with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under this Agreement, “Affiliate” of any member of the NetEase Group excludes members of the Youdao Group,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any member of the Youdao Group excludes members of the NetEase Group.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36" w:name="page237"/>
    <w:bookmarkEnd w:id="236"/>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set forth in Section 5.3(d) of this Agreement.</w:t>
      </w:r>
    </w:p>
    <w:p>
      <w:pPr>
        <w:spacing w:after="0" w:line="225" w:lineRule="exact"/>
        <w:rPr>
          <w:sz w:val="20"/>
          <w:szCs w:val="20"/>
          <w:color w:val="auto"/>
        </w:rPr>
      </w:pPr>
    </w:p>
    <w:p>
      <w:pPr>
        <w:ind w:right="10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as used with respect to any Person, the possession, directly or indirectly, of the power to direct or cause the direction of the management and policies of such Person, whether through ownership of voting securities or other interests, by contract or otherwise; the terms “Controlled by” and “under common Control with” shall have correlative meanings.</w:t>
      </w:r>
    </w:p>
    <w:p>
      <w:pPr>
        <w:spacing w:after="0" w:line="158"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Ending Date</w:t>
      </w:r>
      <w:r>
        <w:rPr>
          <w:rFonts w:ascii="Arial" w:cs="Arial" w:eastAsia="Arial" w:hAnsi="Arial"/>
          <w:sz w:val="18"/>
          <w:szCs w:val="18"/>
          <w:color w:val="auto"/>
        </w:rPr>
        <w:t>” means the earlier of (i) the first date upon which members of the NetEase Group no longer collectively own at least twenty percent (20%) of the voting power of the then outstanding voting securities of Youdao and (ii) the first date upon which NetEase, collectively with the other members of the NetEase Group, ceases to be the largest beneficial owner of the then outstanding voting securities of Youdao.</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5.12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has the meaning set forth in Section 5.13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has the meaning set forth in Section 2.4(b) of this Agreement.</w:t>
      </w:r>
    </w:p>
    <w:p>
      <w:pPr>
        <w:spacing w:after="0" w:line="225"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provincial, municipal or local government, administrative or regulatory body or department, court, tribunal, arbitrator or any body that exercises the function of a regulator.</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5.3(d)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Indemnitor</w:t>
      </w:r>
      <w:r>
        <w:rPr>
          <w:rFonts w:ascii="Arial" w:cs="Arial" w:eastAsia="Arial" w:hAnsi="Arial"/>
          <w:sz w:val="18"/>
          <w:szCs w:val="18"/>
          <w:color w:val="auto"/>
        </w:rPr>
        <w:t>” has the meaning set forth in Section 5.3(d)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Services</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Registration Statement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Group</w:t>
      </w:r>
      <w:r>
        <w:rPr>
          <w:rFonts w:ascii="Arial" w:cs="Arial" w:eastAsia="Arial" w:hAnsi="Arial"/>
          <w:sz w:val="18"/>
          <w:szCs w:val="18"/>
          <w:color w:val="auto"/>
        </w:rPr>
        <w:t>” means NetEase and its Subsidiaries and VIEs, other than the Youdao Group.</w:t>
      </w:r>
    </w:p>
    <w:p>
      <w:pPr>
        <w:spacing w:after="0" w:line="225"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Online Learning Business</w:t>
      </w:r>
      <w:r>
        <w:rPr>
          <w:rFonts w:ascii="Arial" w:cs="Arial" w:eastAsia="Arial" w:hAnsi="Arial"/>
          <w:sz w:val="17"/>
          <w:szCs w:val="17"/>
          <w:color w:val="auto"/>
        </w:rPr>
        <w:t>” means the provision of online learning products (including online knowledge tools and smart devices) and online learning services (including online courses and interactive learning apps) by the Youdao Group as of the date hereof, as more completely described in the IPO Registration Statement; for the avoidance of doubt, “Online Learning Business” shall not include development and operation of online games, emails, e-commerce business, FinTech services, music applications, online reading, news and information, information security, SaaS, NetEase open online courses, the K-12 curriculum course offered by the NetEase Group as of the date hereof, films, and television programs.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37" w:name="page238"/>
    <w:bookmarkEnd w:id="237"/>
    <w:p>
      <w:pPr>
        <w:ind w:right="2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a Governmental Authority or any department, agency or political subdivision thereof.</w:t>
      </w:r>
    </w:p>
    <w:p>
      <w:pPr>
        <w:spacing w:after="0" w:line="176"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PRC</w:t>
      </w:r>
      <w:r>
        <w:rPr>
          <w:rFonts w:ascii="Arial" w:cs="Arial" w:eastAsia="Arial" w:hAnsi="Arial"/>
          <w:sz w:val="18"/>
          <w:szCs w:val="18"/>
          <w:color w:val="auto"/>
        </w:rPr>
        <w:t>” means the People’s Republic of China, which, for purposes of this Agreement only, does not include the Hong Kong Special Administrative Region, the Macau Special Administrative Region and Taiwan.</w:t>
      </w:r>
    </w:p>
    <w:p>
      <w:pPr>
        <w:spacing w:after="0" w:line="162" w:lineRule="exact"/>
        <w:rPr>
          <w:sz w:val="20"/>
          <w:szCs w:val="20"/>
          <w:color w:val="auto"/>
        </w:rPr>
      </w:pPr>
    </w:p>
    <w:p>
      <w:pPr>
        <w:ind w:right="2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Provider</w:t>
      </w:r>
      <w:r>
        <w:rPr>
          <w:rFonts w:ascii="Arial" w:cs="Arial" w:eastAsia="Arial" w:hAnsi="Arial"/>
          <w:sz w:val="18"/>
          <w:szCs w:val="18"/>
          <w:color w:val="auto"/>
        </w:rPr>
        <w:t xml:space="preserve">” means, with respect to any particular Service, the entity or entities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the party to provide such Service.</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Provider Personnel</w:t>
      </w:r>
      <w:r>
        <w:rPr>
          <w:rFonts w:ascii="Arial" w:cs="Arial" w:eastAsia="Arial" w:hAnsi="Arial"/>
          <w:sz w:val="18"/>
          <w:szCs w:val="18"/>
          <w:color w:val="auto"/>
        </w:rPr>
        <w:t>” has the meaning set forth in Section 2.8 of this Agreement.</w:t>
      </w:r>
    </w:p>
    <w:p>
      <w:pPr>
        <w:spacing w:after="0" w:line="225" w:lineRule="exact"/>
        <w:rPr>
          <w:sz w:val="20"/>
          <w:szCs w:val="20"/>
          <w:color w:val="auto"/>
        </w:rPr>
      </w:pPr>
    </w:p>
    <w:p>
      <w:pPr>
        <w:ind w:right="2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xml:space="preserve">” means, with respect to any particular Service, the entity or entities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as the party to receive such Service.</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Review Meetings</w:t>
      </w:r>
      <w:r>
        <w:rPr>
          <w:rFonts w:ascii="Arial" w:cs="Arial" w:eastAsia="Arial" w:hAnsi="Arial"/>
          <w:sz w:val="18"/>
          <w:szCs w:val="18"/>
          <w:color w:val="auto"/>
        </w:rPr>
        <w:t>” has the meaning set forth in Section 2.10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w:t>
      </w:r>
      <w:r>
        <w:rPr>
          <w:rFonts w:ascii="Arial" w:cs="Arial" w:eastAsia="Arial" w:hAnsi="Arial"/>
          <w:sz w:val="18"/>
          <w:szCs w:val="18"/>
          <w:color w:val="auto"/>
        </w:rPr>
        <w:t>” has the meaning set forth in Section 2.1 of this Agreement.</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 Period</w:t>
      </w:r>
      <w:r>
        <w:rPr>
          <w:rFonts w:ascii="Arial" w:cs="Arial" w:eastAsia="Arial" w:hAnsi="Arial"/>
          <w:sz w:val="17"/>
          <w:szCs w:val="17"/>
          <w:color w:val="auto"/>
        </w:rPr>
        <w:t>” means the period commencing on the closing date of the IPO, on which the delivery of and payment for the securities offered by Youdao in connection with the IPO (excluding securities offered by Youdao upon underwriter(s)’ exercise of over-allotment option) will take place, and ending on the earlier of (i) the date the Recipient terminates the provision of such Service pursuant to Section 4.2, (ii) the date the Provider terminates the provision of such Service pursuant to Section 4.3, (iii) the fifth anniversary of the closing date of the IPO, and (iv) one (1) year after the Control Ending Date.</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has the meaning set forth in Section 2.2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given Person, any Person of which the given Person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Controls.</w:t>
      </w:r>
    </w:p>
    <w:p>
      <w:pPr>
        <w:spacing w:after="0" w:line="207"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w:t>
      </w:r>
      <w:r>
        <w:rPr>
          <w:rFonts w:ascii="Arial" w:cs="Arial" w:eastAsia="Arial" w:hAnsi="Arial"/>
          <w:sz w:val="18"/>
          <w:szCs w:val="18"/>
          <w:color w:val="auto"/>
        </w:rPr>
        <w:t xml:space="preserve">” means the software, hardware, data store or maintenance and support components or portions of such components of a set of information assets identified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62"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all forms of direct and indirect taxation or duties imposed, or required to be collected or withheld, including charges, together with any related interest, penalties or other additional amounts.</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set forth in Section 4.2 of this Agreement.</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w:t>
      </w:r>
      <w:r>
        <w:rPr>
          <w:rFonts w:ascii="Arial" w:cs="Arial" w:eastAsia="Arial" w:hAnsi="Arial"/>
          <w:sz w:val="18"/>
          <w:szCs w:val="18"/>
          <w:color w:val="auto"/>
        </w:rPr>
        <w:t>” of any Person means any entity that is Controlled by such Person and is deemed to be a variable interest entity consolidated with such Person for purposes of generally accepted accounting principles in the United States as in effect from time to time.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 Product</w:t>
      </w:r>
      <w:r>
        <w:rPr>
          <w:rFonts w:ascii="Arial" w:cs="Arial" w:eastAsia="Arial" w:hAnsi="Arial"/>
          <w:sz w:val="18"/>
          <w:szCs w:val="18"/>
          <w:color w:val="auto"/>
        </w:rPr>
        <w:t>” has the meaning set forth in Section 2.9 of this Agreement.</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121" w:right="1139" w:bottom="1440" w:gutter="0" w:footer="0" w:header="0"/>
        </w:sectPr>
      </w:pPr>
    </w:p>
    <w:bookmarkStart w:id="238" w:name="page239"/>
    <w:bookmarkEnd w:id="238"/>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Group</w:t>
      </w:r>
      <w:r>
        <w:rPr>
          <w:rFonts w:ascii="Arial" w:cs="Arial" w:eastAsia="Arial" w:hAnsi="Arial"/>
          <w:sz w:val="18"/>
          <w:szCs w:val="18"/>
          <w:color w:val="auto"/>
        </w:rPr>
        <w:t>” means Youdao and its Subsidiaries and VIEs.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SERVICES</w:t>
      </w:r>
    </w:p>
    <w:p>
      <w:pPr>
        <w:spacing w:after="0" w:line="229" w:lineRule="exact"/>
        <w:rPr>
          <w:sz w:val="20"/>
          <w:szCs w:val="20"/>
          <w:color w:val="auto"/>
        </w:rPr>
      </w:pPr>
    </w:p>
    <w:p>
      <w:pPr>
        <w:ind w:right="100" w:firstLine="991"/>
        <w:spacing w:after="0" w:line="296"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Initial Services</w:t>
      </w:r>
      <w:r>
        <w:rPr>
          <w:rFonts w:ascii="Arial" w:cs="Arial" w:eastAsia="Arial" w:hAnsi="Arial"/>
          <w:sz w:val="16"/>
          <w:szCs w:val="16"/>
          <w:color w:val="auto"/>
        </w:rPr>
        <w:t>. Except as otherwise provided herein, during the applicable Service Period, each Provider agrees to provide, or with respect to any service to be provided by an Affiliate of such Provider, to cause such Affiliate to provide, to the Recipient, or with respect to any service to be provided to an Affiliate of the Recipient, to such Affiliate, the services that have been provided by the Provider and/or its Affiliates to the Recipient or its Affiliates (the “</w:t>
      </w:r>
      <w:r>
        <w:rPr>
          <w:rFonts w:ascii="Arial" w:cs="Arial" w:eastAsia="Arial" w:hAnsi="Arial"/>
          <w:sz w:val="16"/>
          <w:szCs w:val="16"/>
          <w:b w:val="1"/>
          <w:bCs w:val="1"/>
          <w:color w:val="auto"/>
        </w:rPr>
        <w:t>Initial Services</w:t>
      </w:r>
      <w:r>
        <w:rPr>
          <w:rFonts w:ascii="Arial" w:cs="Arial" w:eastAsia="Arial" w:hAnsi="Arial"/>
          <w:sz w:val="16"/>
          <w:szCs w:val="16"/>
          <w:color w:val="auto"/>
        </w:rPr>
        <w:t xml:space="preserve">”), including but not limited to the services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(together with other Schedule(s) to this Agreement, the “</w:t>
      </w:r>
      <w:r>
        <w:rPr>
          <w:rFonts w:ascii="Arial" w:cs="Arial" w:eastAsia="Arial" w:hAnsi="Arial"/>
          <w:sz w:val="16"/>
          <w:szCs w:val="16"/>
          <w:b w:val="1"/>
          <w:bCs w:val="1"/>
          <w:color w:val="auto"/>
        </w:rPr>
        <w:t>Schedules</w:t>
      </w:r>
      <w:r>
        <w:rPr>
          <w:rFonts w:ascii="Arial" w:cs="Arial" w:eastAsia="Arial" w:hAnsi="Arial"/>
          <w:sz w:val="16"/>
          <w:szCs w:val="16"/>
          <w:color w:val="auto"/>
        </w:rPr>
        <w:t>”) annexed hereto.</w:t>
      </w:r>
    </w:p>
    <w:p>
      <w:pPr>
        <w:spacing w:after="0" w:line="161"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Additional Services</w:t>
      </w:r>
      <w:r>
        <w:rPr>
          <w:rFonts w:ascii="Arial" w:cs="Arial" w:eastAsia="Arial" w:hAnsi="Arial"/>
          <w:sz w:val="16"/>
          <w:szCs w:val="16"/>
          <w:color w:val="auto"/>
        </w:rPr>
        <w:t>. From time to time during the applicable Service Period, the Parties may identify additional services that the Provider will provide to the Recipient in accordance with the terms of this Agreement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Services</w:t>
      </w:r>
      <w:r>
        <w:rPr>
          <w:rFonts w:ascii="Arial" w:cs="Arial" w:eastAsia="Arial" w:hAnsi="Arial"/>
          <w:sz w:val="16"/>
          <w:szCs w:val="16"/>
          <w:color w:val="auto"/>
        </w:rPr>
        <w:t>” and, together with the Initial Services, the “</w:t>
      </w:r>
      <w:r>
        <w:rPr>
          <w:rFonts w:ascii="Arial" w:cs="Arial" w:eastAsia="Arial" w:hAnsi="Arial"/>
          <w:sz w:val="16"/>
          <w:szCs w:val="16"/>
          <w:b w:val="1"/>
          <w:bCs w:val="1"/>
          <w:color w:val="auto"/>
        </w:rPr>
        <w:t>Services</w:t>
      </w:r>
      <w:r>
        <w:rPr>
          <w:rFonts w:ascii="Arial" w:cs="Arial" w:eastAsia="Arial" w:hAnsi="Arial"/>
          <w:sz w:val="16"/>
          <w:szCs w:val="16"/>
          <w:color w:val="auto"/>
        </w:rPr>
        <w:t>”). If the Parties agree to add any Additional Services, the Parties will</w:t>
      </w:r>
      <w:r>
        <w:rPr>
          <w:rFonts w:ascii="Arial" w:cs="Arial" w:eastAsia="Arial" w:hAnsi="Arial"/>
          <w:sz w:val="16"/>
          <w:szCs w:val="16"/>
          <w:b w:val="1"/>
          <w:bCs w:val="1"/>
          <w:color w:val="auto"/>
        </w:rPr>
        <w:t xml:space="preserve"> </w:t>
      </w:r>
      <w:r>
        <w:rPr>
          <w:rFonts w:ascii="Arial" w:cs="Arial" w:eastAsia="Arial" w:hAnsi="Arial"/>
          <w:sz w:val="16"/>
          <w:szCs w:val="16"/>
          <w:color w:val="auto"/>
        </w:rPr>
        <w:t>mutually create a Schedule or amend the existing Schedule(s) for each such Additional Service setting forth the identities of the Provider and the Recipient, a description of such Service, the term during which such Service will be provided, the cost, if any, for such Service and any other provisions applicable thereto. In order to become a part of this Agreement, such amendment to Schedule(s) must be executed by a duly authorized representative of each Party, at which time such Additional Service will, together with the Initial Services, be deemed to constitute a “Service” for the purposes hereof and will be subject to the terms and conditions of this Agreement. The Parties may, but are not obligated to, agree on Additional Services during the applicable Service Period. Notwithstanding anything to the contrary in the foregoing or anywhere else in this Agreement, any service actually performed by the Provider upon written or oral request by the Recipient in connection with this Agreement will be deemed to constitute a “Service” for the purposes of Article 3 and</w:t>
      </w:r>
    </w:p>
    <w:p>
      <w:pPr>
        <w:spacing w:after="0" w:line="4" w:lineRule="exact"/>
        <w:rPr>
          <w:sz w:val="20"/>
          <w:szCs w:val="20"/>
          <w:color w:val="auto"/>
        </w:rPr>
      </w:pPr>
    </w:p>
    <w:p>
      <w:pPr>
        <w:ind w:right="720"/>
        <w:spacing w:after="0" w:line="260" w:lineRule="auto"/>
        <w:rPr>
          <w:sz w:val="20"/>
          <w:szCs w:val="20"/>
          <w:color w:val="auto"/>
        </w:rPr>
      </w:pPr>
      <w:r>
        <w:rPr>
          <w:rFonts w:ascii="Arial" w:cs="Arial" w:eastAsia="Arial" w:hAnsi="Arial"/>
          <w:sz w:val="18"/>
          <w:szCs w:val="18"/>
          <w:color w:val="auto"/>
        </w:rPr>
        <w:t>Section 5.3, but such “Service” will only be incorporated into this Agreement by an amendment set forth in this Section 2.2 and Section 5.9.</w:t>
      </w:r>
    </w:p>
    <w:p>
      <w:pPr>
        <w:spacing w:after="0" w:line="18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Scope of Services</w:t>
      </w:r>
      <w:r>
        <w:rPr>
          <w:rFonts w:ascii="Arial" w:cs="Arial" w:eastAsia="Arial" w:hAnsi="Arial"/>
          <w:sz w:val="18"/>
          <w:szCs w:val="18"/>
          <w:color w:val="auto"/>
        </w:rPr>
        <w:t>. Notwithstanding anything to the contrary herein, (i) neither the Provider nor any of its Affiliates will be required to perform or to cause to be performed any of the Services for the benefit of any third party or any other person other than the applicable Recipient or its Affiliates, and (ii) the Provider makes no warranties, express or implied, with respect to the Services, except as provided in Section 2.5.</w:t>
      </w:r>
    </w:p>
    <w:p>
      <w:pPr>
        <w:spacing w:after="0" w:line="187"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Limitation on Provision of Services</w:t>
      </w:r>
      <w:r>
        <w:rPr>
          <w:rFonts w:ascii="Arial" w:cs="Arial" w:eastAsia="Arial" w:hAnsi="Arial"/>
          <w:sz w:val="16"/>
          <w:szCs w:val="16"/>
          <w:color w:val="auto"/>
        </w:rPr>
        <w:t>.</w:t>
      </w:r>
    </w:p>
    <w:p>
      <w:pPr>
        <w:spacing w:after="0" w:line="225" w:lineRule="exact"/>
        <w:rPr>
          <w:sz w:val="20"/>
          <w:szCs w:val="20"/>
          <w:color w:val="auto"/>
        </w:rPr>
      </w:pPr>
    </w:p>
    <w:p>
      <w:pPr>
        <w:ind w:right="20" w:firstLine="1440"/>
        <w:spacing w:after="0" w:line="254" w:lineRule="auto"/>
        <w:tabs>
          <w:tab w:leader="none" w:pos="181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Except as expressly contemplated in Schedules, neither the Provider nor any of its Affiliates will be obligated to perform or to cause to be performed any Service in a volume or quantity that exceeds a maximum amount that is mutually agreed by the Provider and the Recipient based on the needs of Online Learning Business; provided, however, that if the Recipient wishes to increase the volume or quantity of such Services provided under this Agreement by more than such amount, the Recipient will make a request to the appropriate Provider in writing in accordance with Section 5.10 at least fifteen (15) calendar days prior to the next Review Meeting setting out in as much detail as reasonably possible the change requested and the reason for requesting the change, which request will be considered at the next Review Meeting. The Provider may, in its sole discretion, choose to accommodate or not to accommodate any such request in part or in full.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9" w:name="page240"/>
    <w:bookmarkEnd w:id="239"/>
    <w:p>
      <w:pPr>
        <w:ind w:right="20" w:firstLine="1440"/>
        <w:spacing w:after="0" w:line="253" w:lineRule="auto"/>
        <w:tabs>
          <w:tab w:leader="none" w:pos="182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case performance of any terms or provisions hereof will be delayed or prevented, in whole or in part, because of, or related to, compliance with any law, decree, request or order of any Governmental Authority, or because of riots, war, public disturbance, strike, labor dispute, fire explosion, storm, flood, acts of God, major breakdown or failure of transportation, manufacturing, distribution or storage facilities, or for any other reason which is not within the control of the Party whose performance is interfered with and which by the exercise of reasonable diligence such Party is unable to prevent (each, a “</w:t>
      </w:r>
      <w:r>
        <w:rPr>
          <w:rFonts w:ascii="Arial" w:cs="Arial" w:eastAsia="Arial" w:hAnsi="Arial"/>
          <w:sz w:val="18"/>
          <w:szCs w:val="18"/>
          <w:b w:val="1"/>
          <w:bCs w:val="1"/>
          <w:color w:val="auto"/>
        </w:rPr>
        <w:t>Force Majeure Event</w:t>
      </w:r>
      <w:r>
        <w:rPr>
          <w:rFonts w:ascii="Arial" w:cs="Arial" w:eastAsia="Arial" w:hAnsi="Arial"/>
          <w:sz w:val="18"/>
          <w:szCs w:val="18"/>
          <w:color w:val="auto"/>
        </w:rPr>
        <w:t>”), then upon prompt notice by the Party so suffering to the other Party, the Party suffering will be excused from its obligations hereunder during the period such Force Majeure Event continues, and no liability will attach against either Party on account thereof. No Party will be excused from performance if such Party fails to use reasonable diligence to remedy the situation and remove the cause and effect of the Force Majeure Event.</w:t>
      </w:r>
    </w:p>
    <w:p>
      <w:pPr>
        <w:spacing w:after="0" w:line="196" w:lineRule="exact"/>
        <w:rPr>
          <w:rFonts w:ascii="Arial" w:cs="Arial" w:eastAsia="Arial" w:hAnsi="Arial"/>
          <w:sz w:val="18"/>
          <w:szCs w:val="18"/>
          <w:color w:val="auto"/>
        </w:rPr>
      </w:pPr>
    </w:p>
    <w:p>
      <w:pPr>
        <w:jc w:val="both"/>
        <w:ind w:right="220" w:firstLine="1440"/>
        <w:spacing w:after="0" w:line="259" w:lineRule="auto"/>
        <w:tabs>
          <w:tab w:leader="none" w:pos="181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the Provider is unable to provide a Service hereunder because it does not have the necessary assets because such asset was transferred from the Provider to the Recipient, the Parties will determine a mutually acceptable arrangement to provide the necessary access to such asset and until such time as access is provided, the Provider’s failure to provide such Service will not be a breach of this Agreement.</w:t>
      </w:r>
    </w:p>
    <w:p>
      <w:pPr>
        <w:spacing w:after="0" w:line="186" w:lineRule="exact"/>
        <w:rPr>
          <w:rFonts w:ascii="Arial" w:cs="Arial" w:eastAsia="Arial" w:hAnsi="Arial"/>
          <w:sz w:val="18"/>
          <w:szCs w:val="18"/>
          <w:color w:val="auto"/>
        </w:rPr>
      </w:pPr>
    </w:p>
    <w:p>
      <w:pPr>
        <w:ind w:right="80" w:firstLine="1440"/>
        <w:spacing w:after="0" w:line="263" w:lineRule="auto"/>
        <w:tabs>
          <w:tab w:leader="none" w:pos="182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this Agreement will not constitute an agreement for the Provider to provide Services to the Recipient to the extent that the provision of any such Services would not be in compliance with applicable laws.</w:t>
      </w:r>
    </w:p>
    <w:p>
      <w:pPr>
        <w:spacing w:after="0" w:line="184"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Standard of Performance; Standard of Care</w:t>
      </w:r>
      <w:r>
        <w:rPr>
          <w:rFonts w:ascii="Arial" w:cs="Arial" w:eastAsia="Arial" w:hAnsi="Arial"/>
          <w:sz w:val="16"/>
          <w:szCs w:val="16"/>
          <w:color w:val="auto"/>
        </w:rPr>
        <w:t>.</w:t>
      </w:r>
    </w:p>
    <w:p>
      <w:pPr>
        <w:spacing w:after="0" w:line="225" w:lineRule="exact"/>
        <w:rPr>
          <w:sz w:val="20"/>
          <w:szCs w:val="20"/>
          <w:color w:val="auto"/>
        </w:rPr>
      </w:pPr>
    </w:p>
    <w:p>
      <w:pPr>
        <w:ind w:firstLine="1440"/>
        <w:spacing w:after="0" w:line="285" w:lineRule="auto"/>
        <w:tabs>
          <w:tab w:leader="none" w:pos="180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The Provider will use its commercially reasonable efforts to provide and cause its Affiliates to provide the Services in a manner which is substantially similar in nature, quality and timeliness to the services provided by the applicable Provider to the applicable Recipient immediately prior to the date hereof; provided, however, that nothing in this Agreement will require the Provider to prioritize or otherwise favor the Recipient over any third parties or any of the Provider’s or the Provider’s Affiliates’ business operations. The Recipient acknowledges that the Provider’s obligation to provide the Services is contingent upon the Recipient</w:t>
      </w:r>
    </w:p>
    <w:p>
      <w:pPr>
        <w:spacing w:after="0" w:line="1" w:lineRule="exact"/>
        <w:rPr>
          <w:rFonts w:ascii="Arial" w:cs="Arial" w:eastAsia="Arial" w:hAnsi="Arial"/>
          <w:sz w:val="16"/>
          <w:szCs w:val="16"/>
          <w:color w:val="auto"/>
        </w:rPr>
      </w:pPr>
    </w:p>
    <w:p>
      <w:pPr>
        <w:ind w:left="300" w:hanging="291"/>
        <w:spacing w:after="0"/>
        <w:tabs>
          <w:tab w:leader="none" w:pos="3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providing in a timely manner all information, documentation, materials, resources and access requested by the Provider and</w:t>
      </w:r>
    </w:p>
    <w:p>
      <w:pPr>
        <w:spacing w:after="0" w:line="20" w:lineRule="exact"/>
        <w:rPr>
          <w:rFonts w:ascii="Arial" w:cs="Arial" w:eastAsia="Arial" w:hAnsi="Arial"/>
          <w:sz w:val="17"/>
          <w:szCs w:val="17"/>
          <w:color w:val="auto"/>
        </w:rPr>
      </w:pPr>
    </w:p>
    <w:p>
      <w:pPr>
        <w:ind w:right="20" w:firstLine="9"/>
        <w:spacing w:after="0" w:line="281" w:lineRule="auto"/>
        <w:tabs>
          <w:tab w:leader="none" w:pos="28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making timely decisions, approvals and acceptances and taking in a timely manner such other actions requested by the Provider, in each case that the Provider (in its reasonable business judgment) believes is necessary or desirable to enable the Provider to provide the Services; provided, however, that the Provider requests such approvals, information, materials or services with reasonable prior notice to the extent practicable. Notwithstanding anything to the contrary herein, the Provider shall not be responsible for any failure to provide any Service in the event that the Recipient has not fully complied with the immediately preceding sentence. The Parties acknowledge and agree that nothing contained in the Schedules will be deemed to (A) increase or decrease the standard of care imposed on the Provider,</w:t>
      </w:r>
    </w:p>
    <w:p>
      <w:pPr>
        <w:spacing w:after="0" w:line="3" w:lineRule="exact"/>
        <w:rPr>
          <w:rFonts w:ascii="Arial" w:cs="Arial" w:eastAsia="Arial" w:hAnsi="Arial"/>
          <w:sz w:val="16"/>
          <w:szCs w:val="16"/>
          <w:color w:val="auto"/>
        </w:rPr>
      </w:pPr>
    </w:p>
    <w:p>
      <w:pPr>
        <w:ind w:right="220" w:firstLine="9"/>
        <w:spacing w:after="0" w:line="260" w:lineRule="auto"/>
        <w:tabs>
          <w:tab w:leader="none" w:pos="2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expand the scope of the Services to be provided as set forth in Article 2, except to the extent that the Schedules reference a Service that was not provided immediately prior to the date hereof, or (C) limit Sections 5.1 and 5.3.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0" w:name="page241"/>
    <w:bookmarkEnd w:id="240"/>
    <w:p>
      <w:pPr>
        <w:ind w:left="-20" w:right="180" w:firstLine="1440"/>
        <w:spacing w:after="0" w:line="270" w:lineRule="auto"/>
        <w:tabs>
          <w:tab w:leader="none" w:pos="180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providing the Services, except to the extent necessary to maintain the level of Service provided on the date hereof (or with respect to any Additional Service, the agreed-upon level), the Provider will not be obligated to: (A) hire any additional employees or (B) purchase, lease or license any additional equipment, software or other assets; and in no event will the Provider be obligated to (x) maintain the employment of any specific employee or (y) pay any costs related to the transfer or conversion of the Recipient’s data to the Provider or any alternate supplier of Services. Further, the Provider will have the right to designate which personnel it will assign to perform the Services, and it will have the right to remove and replace any such personnel at any time or designate any of its Affiliates or a third party provider at any time to perform the Services. At the Recipient’s request, the Provider will consult in good faith with the Recipient regarding the specific personnel to provide any particular Services; provided, however, that the Provider’s decision will control and be final and binding.</w:t>
      </w:r>
    </w:p>
    <w:p>
      <w:pPr>
        <w:spacing w:after="0" w:line="180" w:lineRule="exact"/>
        <w:rPr>
          <w:rFonts w:ascii="Arial" w:cs="Arial" w:eastAsia="Arial" w:hAnsi="Arial"/>
          <w:sz w:val="17"/>
          <w:szCs w:val="17"/>
          <w:color w:val="auto"/>
        </w:rPr>
      </w:pPr>
    </w:p>
    <w:p>
      <w:pPr>
        <w:ind w:left="-20" w:right="360" w:firstLine="1440"/>
        <w:spacing w:after="0" w:line="259" w:lineRule="auto"/>
        <w:tabs>
          <w:tab w:leader="none" w:pos="17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Provider’s sole responsibility to the Recipient for errors or omissions committed by the Provider in performing the Services will be to correct such errors or omissions in the Services at no additional cost to the Recipient; provided, however, that the Recipient must promptly advise the Provider of any such error or omission of which it becomes aware after having used commercially reasonable efforts to detect any such errors or omissions.</w:t>
      </w:r>
    </w:p>
    <w:p>
      <w:pPr>
        <w:spacing w:after="0" w:line="186" w:lineRule="exact"/>
        <w:rPr>
          <w:rFonts w:ascii="Arial" w:cs="Arial" w:eastAsia="Arial" w:hAnsi="Arial"/>
          <w:sz w:val="18"/>
          <w:szCs w:val="18"/>
          <w:color w:val="auto"/>
        </w:rPr>
      </w:pPr>
    </w:p>
    <w:p>
      <w:pPr>
        <w:ind w:left="-20" w:firstLine="1440"/>
        <w:spacing w:after="0" w:line="284" w:lineRule="auto"/>
        <w:tabs>
          <w:tab w:leader="none" w:pos="179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The Parties and their respective Affiliates will use good faith efforts to cooperate with each other in connection with the performance of the Services hereunder, including producing on a timely basis all information that is reasonably requested with respect to the performance of Services; provided, however, that such cooperation not unreasonably disrupt the normal operations of the Parties and their respective Affiliates; provided further, that the Party requesting cooperation will pay all reasonable out-of-pocket costs and expenses incurred by the Party furnishing cooperation, unless otherwise expressly provided in this Agreement or the Master Transaction Agreement. Such cooperation will include exchanging information, providing electronic access to systems used in connection with the Services and obtaining or granting all consents, licenses, sublicenses or approvals necessary to permit each Party to perform its obligations hereunder. Notwithstanding anything in this Agreement to the contrary, the Recipient will be solely responsible for paying for the costs of obtaining such consents, licenses, sublicenses or approvals, including reasonable legal fees and expenses. Either Party providing electronic access to systems used in connection with Services may limit the scope of access to the applicable requirements of the relevant matter through any reasonable means available, and any such access will be subject to the terms of </w:t>
      </w:r>
      <w:r>
        <w:rPr>
          <w:rFonts w:ascii="Arial" w:cs="Arial" w:eastAsia="Arial" w:hAnsi="Arial"/>
          <w:sz w:val="16"/>
          <w:szCs w:val="16"/>
          <w:u w:val="single" w:color="auto"/>
          <w:color w:val="auto"/>
        </w:rPr>
        <w:t>Section 4.5 of the Master Transaction Agreement</w:t>
      </w:r>
      <w:r>
        <w:rPr>
          <w:rFonts w:ascii="Arial" w:cs="Arial" w:eastAsia="Arial" w:hAnsi="Arial"/>
          <w:sz w:val="16"/>
          <w:szCs w:val="16"/>
          <w:color w:val="auto"/>
        </w:rPr>
        <w:t>. The exchange of information or records (in any format, electronic or otherwise) related to the provision of Services under this Agreement will be made to the extent that (A) such records/information exist and are created in the ordinary course, (B) do not involve the incurrence of any material expense, and (C) are reasonably necessary for any such Party to comply with its obligations hereunder or under applicable law. Subject to the foregoing terms, the Parties will cooperate with each other in making information available as needed in the event of a Tax audit or in connection with statutory or governmental compliance issues, whether in the PRC or any other country; provided, however, that the provision of such information will be without representation or warranty as to the accuracy or completeness of such information. For the avoidance of doubt, and without limiting any privilege or protection that now or hereafter may be shared by the Provider and the Recipient, neither Party will be required to provide any document if the Party who would provide such document reasonably believes that so doing would waive any privilege or protection (e.g., attorney-client privilege) applicable to such document.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41" w:name="page242"/>
    <w:bookmarkEnd w:id="241"/>
    <w:p>
      <w:pPr>
        <w:ind w:right="100" w:firstLine="1440"/>
        <w:spacing w:after="0" w:line="255" w:lineRule="auto"/>
        <w:tabs>
          <w:tab w:leader="none" w:pos="181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the Provider reasonably believes it is unable to provide any Service because of a failure to obtain necessary consents (e.g., third-party approvals or instructions or approvals from the Recipient required in the ordinary course of providing a Service), licenses, sublicenses or approvals contemplated by Section 2.5(d), such failure shall not constitute a breach hereof by the Provider and the Parties will cooperate to determine the best alternative approach; provided, however, that in no event will the Provider be required to provide such Service until an alternative approach reasonably satisfactory to the Provider is found or the consents, licenses, sublicenses or approvals have been obtained.</w:t>
      </w:r>
    </w:p>
    <w:p>
      <w:pPr>
        <w:spacing w:after="0" w:line="192"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Changes in Services</w:t>
      </w:r>
      <w:r>
        <w:rPr>
          <w:rFonts w:ascii="Arial" w:cs="Arial" w:eastAsia="Arial" w:hAnsi="Arial"/>
          <w:sz w:val="16"/>
          <w:szCs w:val="16"/>
          <w:color w:val="auto"/>
        </w:rPr>
        <w:t>. The Parties agree and acknowledge that any Provider may make changes from time to time in the manner of performing the applicable Services if such Provider is making similar changes in performing similar services for itself, its Affiliates or other third parties, if any, and if such Provider furnishes to the Recipient substantially the same notice (in content and timing) as such Provider provides to its Affiliates or other third parties, if any, respecting such changes. In addition, and without limiting the immediately preceding sentence in any way, and notwithstanding any provision of this Agreement to the contrary, such Provider may make any of the following changes without obtaining the prior consent of the Recipient: (i) changes to the process of performing a particular Service that do not adversely affect the benefits to the Recipient of such Provider’s provision or quality of such Service in any material respect or materially increase the charge for such Service; (ii) emergency changes on a temporary and short-term basis; and (iii) changes to a particular Service in order to comply with applicable law or regulatory requirements.</w:t>
      </w:r>
    </w:p>
    <w:p>
      <w:pPr>
        <w:spacing w:after="0" w:line="166" w:lineRule="exact"/>
        <w:rPr>
          <w:sz w:val="20"/>
          <w:szCs w:val="20"/>
          <w:color w:val="auto"/>
        </w:rPr>
      </w:pPr>
    </w:p>
    <w:p>
      <w:pPr>
        <w:ind w:right="360" w:firstLine="991"/>
        <w:spacing w:after="0" w:line="279"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Services Performed by Third Parties</w:t>
      </w:r>
      <w:r>
        <w:rPr>
          <w:rFonts w:ascii="Arial" w:cs="Arial" w:eastAsia="Arial" w:hAnsi="Arial"/>
          <w:sz w:val="17"/>
          <w:szCs w:val="17"/>
          <w:color w:val="auto"/>
        </w:rPr>
        <w:t>. Nothing in this Agreement will prevent the Provider from using its Affiliates or third parties to perform all or any part of a Service hereunder. The Provider will remain fully responsible for the performance of its obligations under this Agreement in accordance with its terms, including any obligations it performs through its Affiliates or third parties, and the Provider will be solely responsible for payments due any such Affiliates or third parties.</w:t>
      </w:r>
    </w:p>
    <w:p>
      <w:pPr>
        <w:spacing w:after="0" w:line="17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Responsibility for Provider Personnel</w:t>
      </w:r>
      <w:r>
        <w:rPr>
          <w:rFonts w:ascii="Arial" w:cs="Arial" w:eastAsia="Arial" w:hAnsi="Arial"/>
          <w:sz w:val="17"/>
          <w:szCs w:val="17"/>
          <w:color w:val="auto"/>
        </w:rPr>
        <w:t>. All personnel employed, engaged or otherwise furnished by the Provider in connection with its rendering of the Services will be the Provider’s employees, agents or subcontractors, as the case may be (collectively, “</w:t>
      </w:r>
      <w:r>
        <w:rPr>
          <w:rFonts w:ascii="Arial" w:cs="Arial" w:eastAsia="Arial" w:hAnsi="Arial"/>
          <w:sz w:val="17"/>
          <w:szCs w:val="17"/>
          <w:b w:val="1"/>
          <w:bCs w:val="1"/>
          <w:color w:val="auto"/>
        </w:rPr>
        <w:t>Provider Personnel</w:t>
      </w:r>
      <w:r>
        <w:rPr>
          <w:rFonts w:ascii="Arial" w:cs="Arial" w:eastAsia="Arial" w:hAnsi="Arial"/>
          <w:sz w:val="17"/>
          <w:szCs w:val="17"/>
          <w:color w:val="auto"/>
        </w:rPr>
        <w:t>”). The Provider will have the sole and exclusive responsibility for Provider Personnel, will supervise Provider Personnel and will cause Provider Personnel to cooperate with the Recipient in performing the Services in accordance with the terms and conditions of Section 2.5. The Provider will pay and be responsible for the payment of any and all premiums, contributions and taxes for workers’ compensation insurance, unemployment compensation, disability insurance, and all similar provisions now or hereafter imposed by any Governmental Authority with respect to, or measured by, wages, salaries or other compensation paid, or to be paid, by the Provider to Provider Personnel.</w:t>
      </w: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242" w:name="page243"/>
    <w:bookmarkEnd w:id="242"/>
    <w:p>
      <w:pPr>
        <w:ind w:firstLine="991"/>
        <w:spacing w:after="0" w:line="285" w:lineRule="auto"/>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Services Rendered as a Work-For-Hire; Return of Equipment; Internal Use; No Sale, Transfer, Assignment;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Copies</w:t>
      </w:r>
      <w:r>
        <w:rPr>
          <w:rFonts w:ascii="Arial" w:cs="Arial" w:eastAsia="Arial" w:hAnsi="Arial"/>
          <w:sz w:val="16"/>
          <w:szCs w:val="16"/>
          <w:color w:val="auto"/>
        </w:rPr>
        <w:t>. All materials, software, tools, data, inventions, works of authorship, documentation, and other innovations of any kind, including any improvements or modifications to the Provider’s proprietary computer software programs and related materials, that the Provider, or personnel working for or through the Provider, may make, conceive, develop or reduce to practice, alone or jointly with others, in the course of performing Services or as a result of such Services, whether or not eligible for patent, copyright, trademark, trade secret or other legal protection (collectively the “</w:t>
      </w:r>
      <w:r>
        <w:rPr>
          <w:rFonts w:ascii="Arial" w:cs="Arial" w:eastAsia="Arial" w:hAnsi="Arial"/>
          <w:sz w:val="16"/>
          <w:szCs w:val="16"/>
          <w:b w:val="1"/>
          <w:bCs w:val="1"/>
          <w:color w:val="auto"/>
        </w:rPr>
        <w:t>Work Product</w:t>
      </w:r>
      <w:r>
        <w:rPr>
          <w:rFonts w:ascii="Arial" w:cs="Arial" w:eastAsia="Arial" w:hAnsi="Arial"/>
          <w:sz w:val="16"/>
          <w:szCs w:val="16"/>
          <w:color w:val="auto"/>
        </w:rPr>
        <w:t>”), as between the Provider and the Recipient, will be solely owned by the Provider. Upon the termination of any of the Services, (i) the Recipient will return to the Provider, as soon as practicable, any equipment or other property of the Provider relating to such terminated Services which is owned or leased by the Provider and is, or was, in the Recipient’s possession or control; and (ii) the Provider will transfer to the Recipient, as soon as practicable, any and all supporting, back-up or organizational data or information of the Recipient used in supplying the Service to the Recipient. In addition, the Parties will use good-faith efforts at the termination of this Agreement or any specific Service provided hereunder, to ensure that all user identifications and passwords related thereto, if any, are canceled, and that any other data (as well as any and all back-up of that data) pertaining solely to the other Party and related to such Service will be returned to such other Party and deleted or removed from the applicable computer systems. All systems, procedures and related materials provided to the Recipient are for the Recipient’s internal use only and only as related to the Services or any of the underlying Systems used to provide the Services, and unless the Provider gives its prior written consent in each and every instance (in its sole discretion), the Recipient may not sell, transfer, assign or otherwise use the Services provided hereunder, in whole or in part, for the benefit of any person other than an Affiliate of the Recipient. The Recipient will not copy, modify, reverse engineer, decompile or in any way alter Systems without the Provider’s express written consent (in its sole discretion).</w:t>
      </w:r>
    </w:p>
    <w:p>
      <w:pPr>
        <w:spacing w:after="0" w:line="171"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will designate in writing to the other Party one (1) representative to act as a contact person with respect to all issues relating to the provision of the Services pursuant to this Agreement. Such representatives will hold review meetings by telephone or in person, as mutually agreed upon, approximately once every quarter to discuss issues relating to the provision of the Services under this Agreement (“</w:t>
      </w:r>
      <w:r>
        <w:rPr>
          <w:rFonts w:ascii="Arial" w:cs="Arial" w:eastAsia="Arial" w:hAnsi="Arial"/>
          <w:sz w:val="16"/>
          <w:szCs w:val="16"/>
          <w:b w:val="1"/>
          <w:bCs w:val="1"/>
          <w:color w:val="auto"/>
        </w:rPr>
        <w:t>Review Meetings</w:t>
      </w:r>
      <w:r>
        <w:rPr>
          <w:rFonts w:ascii="Arial" w:cs="Arial" w:eastAsia="Arial" w:hAnsi="Arial"/>
          <w:sz w:val="16"/>
          <w:szCs w:val="16"/>
          <w:color w:val="auto"/>
        </w:rPr>
        <w:t>”). In the Review Meetings such representatives will be responsible for (A) discussing any problems identified relating to the provision of Services and, to the extent changes are agreed upon, implementing such changes and (B) providing notice that any Service has since the prior Review Meeting for the first time exceeded, or is anticipated to exceed, the usual and customary volume for such Service as described in the relevant Schedule.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PRICES AND PAYMENT</w:t>
      </w:r>
    </w:p>
    <w:p>
      <w:pPr>
        <w:spacing w:after="0" w:line="229" w:lineRule="exact"/>
        <w:rPr>
          <w:sz w:val="20"/>
          <w:szCs w:val="20"/>
          <w:color w:val="auto"/>
        </w:rPr>
      </w:pPr>
    </w:p>
    <w:p>
      <w:pPr>
        <w:ind w:right="60" w:firstLine="991"/>
        <w:spacing w:after="0" w:line="272"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Prices for Services</w:t>
      </w:r>
      <w:r>
        <w:rPr>
          <w:rFonts w:ascii="Arial" w:cs="Arial" w:eastAsia="Arial" w:hAnsi="Arial"/>
          <w:sz w:val="17"/>
          <w:szCs w:val="17"/>
          <w:color w:val="auto"/>
        </w:rPr>
        <w:t>. Services provided to any Recipient pursuant to the terms of this Agreement will be charged at the prices set forth for such Service on the relevant Schedule. At a time during the Service Period to be separately agreed by the Provider and the Recipient, the Provider will review the charges, costs and expenses actually incurred by the Provider in providing any Service (collectively, the “</w:t>
      </w:r>
      <w:r>
        <w:rPr>
          <w:rFonts w:ascii="Arial" w:cs="Arial" w:eastAsia="Arial" w:hAnsi="Arial"/>
          <w:sz w:val="17"/>
          <w:szCs w:val="17"/>
          <w:b w:val="1"/>
          <w:bCs w:val="1"/>
          <w:color w:val="auto"/>
        </w:rPr>
        <w:t>Actual Cost</w:t>
      </w:r>
      <w:r>
        <w:rPr>
          <w:rFonts w:ascii="Arial" w:cs="Arial" w:eastAsia="Arial" w:hAnsi="Arial"/>
          <w:sz w:val="17"/>
          <w:szCs w:val="17"/>
          <w:color w:val="auto"/>
        </w:rPr>
        <w:t>”) during the period preceding such review up to the last review, if any. In the event the Provider determines that the Actual Cost for any service materially differs from the aggregate costs charged to Recipient for that Service for that period, the Provider will deliver to Recipient documentation for such Actual Cost and the Parties will renegotiate in good faith to adjust the appropriate costs charged to the Recipient prospectively.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3" w:name="page244"/>
    <w:bookmarkEnd w:id="243"/>
    <w:p>
      <w:pPr>
        <w:ind w:right="380" w:firstLine="991"/>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Procedure</w:t>
      </w:r>
      <w:r>
        <w:rPr>
          <w:rFonts w:ascii="Arial" w:cs="Arial" w:eastAsia="Arial" w:hAnsi="Arial"/>
          <w:sz w:val="18"/>
          <w:szCs w:val="18"/>
          <w:color w:val="auto"/>
        </w:rPr>
        <w:t>. Amounts payable pursuant to the terms of this Agreement will be paid by the Recipient to the Provider on a monthly basis.</w:t>
      </w:r>
    </w:p>
    <w:p>
      <w:pPr>
        <w:spacing w:after="0" w:line="170" w:lineRule="exact"/>
        <w:rPr>
          <w:sz w:val="20"/>
          <w:szCs w:val="20"/>
          <w:color w:val="auto"/>
        </w:rPr>
      </w:pPr>
    </w:p>
    <w:p>
      <w:pPr>
        <w:ind w:right="40" w:firstLine="991"/>
        <w:spacing w:after="0" w:line="31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Late Payments</w:t>
      </w:r>
      <w:r>
        <w:rPr>
          <w:rFonts w:ascii="Arial" w:cs="Arial" w:eastAsia="Arial" w:hAnsi="Arial"/>
          <w:sz w:val="16"/>
          <w:szCs w:val="16"/>
          <w:color w:val="auto"/>
        </w:rPr>
        <w:t>. Charges not paid within thirty (30) calendar days after the date when payable will bear interest at the rate of 0.75% per month for the period commencing on the due date and ending on the date that is thirty (30) calendar days after such due date, and thereafter at the rate of 1.5% per month until the date payment is received in full by the Provider.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Termination Dates</w:t>
      </w:r>
      <w:r>
        <w:rPr>
          <w:rFonts w:ascii="Arial" w:cs="Arial" w:eastAsia="Arial" w:hAnsi="Arial"/>
          <w:sz w:val="18"/>
          <w:szCs w:val="18"/>
          <w:color w:val="auto"/>
        </w:rPr>
        <w:t>. Unless otherwise terminated pursuant to this Article 4, this Agreement will terminate with respect to any Service at the close of business on the last day of the Service Period for such Service, unless the Parties have agreed in writing to an extension of the Service Period.</w:t>
      </w:r>
    </w:p>
    <w:p>
      <w:pPr>
        <w:spacing w:after="0" w:line="184"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by the Recipient</w:t>
      </w:r>
      <w:r>
        <w:rPr>
          <w:rFonts w:ascii="Arial" w:cs="Arial" w:eastAsia="Arial" w:hAnsi="Arial"/>
          <w:sz w:val="16"/>
          <w:szCs w:val="16"/>
          <w:color w:val="auto"/>
        </w:rPr>
        <w:t xml:space="preserve">. As provided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(regarding the required number of calendar days for written notice), the Recipient may terminate this Agreement with respect to either all or any one or more of the Services, at any time and from time to time (except in the event such termination will constitute a breach by Provider of a third party agreement related to providing such Services), by giving the required written notice to the Provider of such termination (each, a “</w:t>
      </w:r>
      <w:r>
        <w:rPr>
          <w:rFonts w:ascii="Arial" w:cs="Arial" w:eastAsia="Arial" w:hAnsi="Arial"/>
          <w:sz w:val="16"/>
          <w:szCs w:val="16"/>
          <w:b w:val="1"/>
          <w:bCs w:val="1"/>
          <w:color w:val="auto"/>
        </w:rPr>
        <w:t>Termination Notice</w:t>
      </w:r>
      <w:r>
        <w:rPr>
          <w:rFonts w:ascii="Arial" w:cs="Arial" w:eastAsia="Arial" w:hAnsi="Arial"/>
          <w:sz w:val="16"/>
          <w:szCs w:val="16"/>
          <w:color w:val="auto"/>
        </w:rPr>
        <w:t>”). As soon as reasonably practicable after its receipt of a Termination Notice, the Provider will advise the Recipient as to whether early termination of such Services will require the termination or partial termination, or otherwise affect the provision of, certain other Services. If this will be the case, the Recipient may withdraw its Termination Notice within ten (10) calendar days. If the Recipient does not withdraw the Termination Notice within such period, such termination will be final and the Recipient will be deemed to have agreed to the termination, partial termination or affected provision of such other Services and to pay the fees provided in Section 4.4.</w:t>
      </w:r>
    </w:p>
    <w:p>
      <w:pPr>
        <w:spacing w:after="0" w:line="166"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Termination by the Provider</w:t>
      </w:r>
      <w:r>
        <w:rPr>
          <w:rFonts w:ascii="Arial" w:cs="Arial" w:eastAsia="Arial" w:hAnsi="Arial"/>
          <w:sz w:val="18"/>
          <w:szCs w:val="18"/>
          <w:color w:val="auto"/>
        </w:rPr>
        <w:t xml:space="preserve">. On or after the Control Ending Date, the Provider may terminate this Agreement with respect to either all or any one or more of the Services, at any time and from time to time, by giving the required written notice to the Recipient of such termination as provided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(regarding the required number of calendar days of written notice). Additionally, the Provider may terminate this Agreement by giving written notice of such termination to the Recipient, if the Recipient breaches any material provision of this Agreement (including a failure to timely pay an invoiced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Recipient will have thirty (30) calendar days after receiving such written notice to cure any breach which is curable before the termination becomes effective.</w:t>
      </w:r>
    </w:p>
    <w:p>
      <w:pPr>
        <w:spacing w:after="0" w:line="19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Effect of Termination of Services</w:t>
      </w:r>
      <w:r>
        <w:rPr>
          <w:rFonts w:ascii="Arial" w:cs="Arial" w:eastAsia="Arial" w:hAnsi="Arial"/>
          <w:sz w:val="16"/>
          <w:szCs w:val="16"/>
          <w:color w:val="auto"/>
        </w:rPr>
        <w:t>. In the event of any termination with respect to one or more, but less than all, of the Services, this Agreement will continue in full force and effect with respect to any Services not so terminated. Upon the termination of any or all of the Services, the Provider will cease, or cause its applicable Affiliates or third-party providers to cease, providing the terminated Services. Upon each such termination, the Recipient will promptly (i) pay to the Provider all fees accrued through the effective date of the Termination Notice, and (ii) reimburse the Provider for the termination costs actually incurred by the Provider resulting from the Recipient’s early termination of such Services, if any, including those costs owed to third-party providers, but excluding costs related to the termination of any particular Provider employees in connection with such termination of Services (including wrongful termination claims) unless the Recipient was notified in writing that such particular employees were being engaged in order for the Provider to provide such Services. Article 5 shall survive indefinitely after the termination of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4" w:name="page245"/>
    <w:bookmarkEnd w:id="244"/>
    <w:p>
      <w:pPr>
        <w:ind w:right="20" w:firstLine="991"/>
        <w:spacing w:after="0" w:line="289"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Data Transmission</w:t>
      </w:r>
      <w:r>
        <w:rPr>
          <w:rFonts w:ascii="Arial" w:cs="Arial" w:eastAsia="Arial" w:hAnsi="Arial"/>
          <w:sz w:val="16"/>
          <w:szCs w:val="16"/>
          <w:color w:val="auto"/>
        </w:rPr>
        <w:t xml:space="preserve">. In connection with the termination of a particular Service, on or prior to the last day of each relevant Service Period, the Provider will cooperate fully and will cause its Affiliates to cooperate fully to support any transfer of data concerning the relevant Services to the applicable Recipient. If requested by the Recipient in connection with the prior sentence, the Provider will deliver and will cause its Affiliates to deliver to the applicable Recipient, within such time periods as the Parties may reasonably agree, all records, data, files and other information received or computed for the benefit of such Recipient during the Service Period, in electronic and/or hard copy form;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Provider will not have any obligation to provide or cause to provide data in any non-standard format and (ii) if the Provider, in its sole discretion, upon request of the Recipient, chooses to provide data in any non-standard format, the Provider and its Affiliates will be reimbursed for their reasonable out-of-pocket costs for providing data electronically in any format other than its standard format, unless expressly provided otherwise in a Schedule.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220" w:firstLine="991"/>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NOTWITHSTANDING ANYTHING TO THE CONTRARY IN THIS AGREEMENT, THE PROVIDER MAKES NO AND DISCLAIMS ALL WARRANTIES, EXPRESS OR IMPLIED, INCLUDING THE IMPLIED WARRANTIES OF MERCHANTABILITY, FITNESS FOR A PARTICULAR PURPOSE AND NONINFRINGEMENT, WITH RESPECT TO THE SERVICES, TO THE EXTENT PERMITTED BY APPLICABLE LAW. THE PROVIDER MAKES NO REPRESENTATIONS OR WARRANTIES AS TO THE QUALITY, SUITABILITY OR ADEQUACY OF THE SERVICES FOR ANY PURPOSE OR USE.</w:t>
      </w:r>
    </w:p>
    <w:p>
      <w:pPr>
        <w:spacing w:after="0" w:line="192"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Consent</w:t>
      </w:r>
      <w:r>
        <w:rPr>
          <w:rFonts w:ascii="Arial" w:cs="Arial" w:eastAsia="Arial" w:hAnsi="Arial"/>
          <w:sz w:val="16"/>
          <w:szCs w:val="16"/>
          <w:color w:val="auto"/>
        </w:rPr>
        <w:t>. Any consent of a Party pursuant to this Agreement shall not be effective unless it is in writing and evidenced by the signature of the Chief Executive Officer or Chief Financial Officer of such Party (or such other person that the Chief Executive Officer, Chief Financial Officer or board of directors of such Party has specifically authorized in writing to give such consent).</w:t>
      </w:r>
    </w:p>
    <w:p>
      <w:pPr>
        <w:spacing w:after="0" w:line="149"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7"/>
          <w:szCs w:val="17"/>
          <w:u w:val="single" w:color="auto"/>
          <w:color w:val="auto"/>
        </w:rPr>
        <w:t>Limitation of Liability; Indemnification</w:t>
      </w:r>
      <w:r>
        <w:rPr>
          <w:rFonts w:ascii="Arial" w:cs="Arial" w:eastAsia="Arial" w:hAnsi="Arial"/>
          <w:sz w:val="17"/>
          <w:szCs w:val="17"/>
          <w:color w:val="auto"/>
        </w:rPr>
        <w:t>.</w:t>
      </w:r>
    </w:p>
    <w:p>
      <w:pPr>
        <w:spacing w:after="0" w:line="225" w:lineRule="exact"/>
        <w:rPr>
          <w:sz w:val="20"/>
          <w:szCs w:val="20"/>
          <w:color w:val="auto"/>
        </w:rPr>
      </w:pPr>
    </w:p>
    <w:p>
      <w:pPr>
        <w:ind w:right="20" w:firstLine="1440"/>
        <w:spacing w:after="0" w:line="255" w:lineRule="auto"/>
        <w:tabs>
          <w:tab w:leader="none" w:pos="181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Each Party acknowledges and agrees that the obligations of the other Party hereunder are exclusively the obligations of such other Party and are not guaranteed directly or indirectly by such other Party’s shareholders, members, managers, officers, directors, agents or any other person. Except as otherwise specifically set forth in the Master Transaction Agreement, and subject to the terms of this Agreement, each Party will look only to the other Party and not to any manager, director, officer, employee or agent for satisfaction of any claims, demands or causes of action for damages, injuries or losses sustained by any Party as a result of the other Party’s action or inaction.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45" w:name="page246"/>
    <w:bookmarkEnd w:id="245"/>
    <w:p>
      <w:pPr>
        <w:ind w:left="-20" w:firstLine="1440"/>
        <w:spacing w:after="0" w:line="269" w:lineRule="auto"/>
        <w:tabs>
          <w:tab w:leader="none" w:pos="180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 the Provider’s agreement to perform the Services in accordance with the provisions hereof, or (B) any term or provision of the Schedules to the contrary, the Recipient acknowledges that performance by the Provider of the Services pursuant to this Agreement will not subject the Provider, any of its Affiliates or their respective members, shareholders, managers, directors, officers, employees or agents to any liability whatsoever, except as directly caused by the gross negligence or willful misconduct on the part of the Provider or any of its members, shareholders, managers, directors, officers, employees and agents; provided, however, that the Provider’s liability as a result of such gross negligence or willful misconduct will be limited to an amount not to exceed the lesser of (i) the price paid for the particular Service, (ii) the Recipient’s or its Affiliate’s cost of performing the Service itself during the remainder of the applicable Service Period or (iii) the Recipient’s cost of obtaining the Service from a third party during the remainder of the applicable Service Period; provided further that the Recipient and its Affiliates will exercise their commercially reasonable efforts to minimize the cost of any such alternatives to the Services by selecting the most cost effective alternatives which provide the functional equivalent of the Services replaced.</w:t>
      </w:r>
    </w:p>
    <w:p>
      <w:pPr>
        <w:spacing w:after="0" w:line="181" w:lineRule="exact"/>
        <w:rPr>
          <w:rFonts w:ascii="Arial" w:cs="Arial" w:eastAsia="Arial" w:hAnsi="Arial"/>
          <w:sz w:val="17"/>
          <w:szCs w:val="17"/>
          <w:color w:val="auto"/>
        </w:rPr>
      </w:pPr>
    </w:p>
    <w:p>
      <w:pPr>
        <w:ind w:left="-20" w:firstLine="1440"/>
        <w:spacing w:after="0" w:line="270" w:lineRule="auto"/>
        <w:tabs>
          <w:tab w:leader="none" w:pos="1792"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TO THE CONTRARY, IN NO EVENT WILL EITHER PARTY OR ITS RESPECTIVE AFFILIATES BE LIABLE FOR ANY SPECIAL, INCIDENTAL, INDIRECT, COLLATERAL, CONSEQUENTIAL OR PUNITIVE DAMAGES OR LOST PROFITS SUFFERED BY THE OTHER PARTY OR ITS AFFILIATES, HOWEVER CAUSED AND ON ANY THEORY OF LIABILITY, IN CONNECTION WITH ANY DAMAGES ARISING HEREUNDER; PROVIDED, HOWEVER, THAT TO THE EXTENT EITHER PARTY OR ITS RESPECTIVE AFFILIATES IS REQUIRED TO PAY ANY SPECIAL, INCIDENTAL, INDIRECT, COLLATERAL, CONSEQUENTIAL OR PUNITIVE DAMAGES OR LOST PROFITS TO A THIRD PARTY WHO IS NOT AN AFFILIATE OF EITHER PARTY, IN EACH CASE IN CONNECTION WITH A THIRD-PARTY CLAIM, SUCH DAMAGES WILL CONSTITUTE DIRECT DAMAGES OF THE INDEMNIFIED PARTY AND WILL NOT BE SUBJECT TO THE LIMITATION SET FORTH IN THIS SECTION 5.3(c).</w:t>
      </w:r>
    </w:p>
    <w:p>
      <w:pPr>
        <w:spacing w:after="0" w:line="180" w:lineRule="exact"/>
        <w:rPr>
          <w:rFonts w:ascii="Arial" w:cs="Arial" w:eastAsia="Arial" w:hAnsi="Arial"/>
          <w:sz w:val="17"/>
          <w:szCs w:val="17"/>
          <w:color w:val="auto"/>
        </w:rPr>
      </w:pPr>
    </w:p>
    <w:p>
      <w:pPr>
        <w:ind w:left="-20" w:right="20" w:firstLine="1440"/>
        <w:spacing w:after="0" w:line="284" w:lineRule="auto"/>
        <w:tabs>
          <w:tab w:leader="none" w:pos="1798"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Recipient agrees to indemnify and hold harmless the Provider, the Provider or its Affiliates and their respective members, shareholders, managers, directors, officers, employees and agents with respect to any claims or liabilities (including reasonable attorneys’ fees) (“</w:t>
      </w:r>
      <w:r>
        <w:rPr>
          <w:rFonts w:ascii="Arial" w:cs="Arial" w:eastAsia="Arial" w:hAnsi="Arial"/>
          <w:sz w:val="16"/>
          <w:szCs w:val="16"/>
          <w:b w:val="1"/>
          <w:bCs w:val="1"/>
          <w:color w:val="auto"/>
        </w:rPr>
        <w:t>Claims</w:t>
      </w:r>
      <w:r>
        <w:rPr>
          <w:rFonts w:ascii="Arial" w:cs="Arial" w:eastAsia="Arial" w:hAnsi="Arial"/>
          <w:sz w:val="16"/>
          <w:szCs w:val="16"/>
          <w:color w:val="auto"/>
        </w:rPr>
        <w:t>”), which may be asserted or imposed against the Provider or such persons by a third party who is not an affiliate of either Party, as a result of (A) the provision of the Services pursuant to this Agreement, or (B) the material breach by the Recipient of a third-party agreement that causes or constitutes a material breach of such agreement by the Provider, except (with respect to both of the foregoing) for any claims which are directly caused by the gross negligence or willful misconduct of the Provider or such persons. Each Party as indemnitee (“</w:t>
      </w:r>
      <w:r>
        <w:rPr>
          <w:rFonts w:ascii="Arial" w:cs="Arial" w:eastAsia="Arial" w:hAnsi="Arial"/>
          <w:sz w:val="16"/>
          <w:szCs w:val="16"/>
          <w:b w:val="1"/>
          <w:bCs w:val="1"/>
          <w:color w:val="auto"/>
        </w:rPr>
        <w:t>Indemnitee</w:t>
      </w:r>
      <w:r>
        <w:rPr>
          <w:rFonts w:ascii="Arial" w:cs="Arial" w:eastAsia="Arial" w:hAnsi="Arial"/>
          <w:sz w:val="16"/>
          <w:szCs w:val="16"/>
          <w:color w:val="auto"/>
        </w:rPr>
        <w:t>”) will give the other Party as indemnitor (“</w:t>
      </w:r>
      <w:r>
        <w:rPr>
          <w:rFonts w:ascii="Arial" w:cs="Arial" w:eastAsia="Arial" w:hAnsi="Arial"/>
          <w:sz w:val="16"/>
          <w:szCs w:val="16"/>
          <w:b w:val="1"/>
          <w:bCs w:val="1"/>
          <w:color w:val="auto"/>
        </w:rPr>
        <w:t>Indemnitor</w:t>
      </w:r>
      <w:r>
        <w:rPr>
          <w:rFonts w:ascii="Arial" w:cs="Arial" w:eastAsia="Arial" w:hAnsi="Arial"/>
          <w:sz w:val="16"/>
          <w:szCs w:val="16"/>
          <w:color w:val="auto"/>
        </w:rPr>
        <w:t>”) prompt written notice of any Claims. If Indemnitor does not notify Indemnitee within a reasonable period after Indemnitor’s receipt of notice of any Claim that Indemnitor is assuming the defense of Indemnitee, then until such defense is assumed by Indemnitor, Indemnitee shall have the right to defend, contest, settle or compromise such Claim in the exercise of its reasonable judgment and all costs and expenses of such defense, contest, settlement or compromise (including reasonable outside attorneys’ fees and expenses) will be reimbursed to Indemnitee by Indemnitor. Upon assumption of the defense of any such Claim, Indemnitor will, at its own cost and expense, select legal counsel, conduct and control the defense and settlement of any suit or action which is covered by Indemnitor’s indemnity. Indemnitee shall render all cooperation and assistance reasonably requested by the Indemnitor and Indemnitor will keep Indemnitee fully apprised of the status of any Claim. Notwithstanding the foregoing, Indemnitee may, at its election and sole expense, be represented in such action by separate counsel and Indemnitee may, at its election and sole expense, assume the defense of any such action, if Indemnitee hereby waives Indemnitor’s indemnity hereunder. Unless Indemnitee waives the indemnity hereunder, in no event shall Indemnitee, as part of the settlement of any claim or proceeding covered by this indemnity or otherwise, stipulate to, admit or acknowledge any liability or wrongdoing (whether in contract, tort or otherwise) of any issue which may be covered by this indemnity without the consent of the Indemnitor (such consent not to be unreasonably withheld or delayed).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357505</wp:posOffset>
            </wp:positionV>
            <wp:extent cx="629221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25" w:right="999" w:bottom="1440" w:gutter="0" w:footer="0" w:header="0"/>
        </w:sectPr>
      </w:pPr>
    </w:p>
    <w:bookmarkStart w:id="246" w:name="page247"/>
    <w:bookmarkEnd w:id="246"/>
    <w:p>
      <w:pPr>
        <w:ind w:left="1000"/>
        <w:spacing w:after="0"/>
        <w:tabs>
          <w:tab w:leader="none" w:pos="196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Compliance with Law and Governmental Regulations</w:t>
      </w:r>
      <w:r>
        <w:rPr>
          <w:rFonts w:ascii="Arial" w:cs="Arial" w:eastAsia="Arial" w:hAnsi="Arial"/>
          <w:sz w:val="16"/>
          <w:szCs w:val="16"/>
          <w:color w:val="auto"/>
        </w:rPr>
        <w:t>. The Recipient will be solely responsible for</w:t>
      </w:r>
    </w:p>
    <w:p>
      <w:pPr>
        <w:spacing w:after="0" w:line="23" w:lineRule="exact"/>
        <w:rPr>
          <w:sz w:val="20"/>
          <w:szCs w:val="20"/>
          <w:color w:val="auto"/>
        </w:rPr>
      </w:pPr>
    </w:p>
    <w:p>
      <w:pPr>
        <w:ind w:right="140" w:firstLine="9"/>
        <w:spacing w:after="0" w:line="270" w:lineRule="auto"/>
        <w:tabs>
          <w:tab w:leader="none" w:pos="21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compliance with all laws affecting its business and (ii) any use the Recipient may make of the Services to assist it in complying with such laws. Without limiting any other provisions of this Agreement, the Parties agree and acknowledge that neither Party has any responsibility or liability for advising the other Party with respect to, or ensuring the other Party’s compliance with, any public disclosure, compliance or reporting obligations of such other Party (including the Securities Act of 1933, as amended, the Securities Exchange Act of 1934, as amended, the Sarbanes-Oxley Act of 2002 and rules and regulations promulgated under such Acts or any successor provisions), regardless of whether any failure to comply results from information provided hereunder.</w:t>
      </w:r>
    </w:p>
    <w:p>
      <w:pPr>
        <w:spacing w:after="0" w:line="17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No Partnership or Joint Venture; Independent Contractor</w:t>
      </w:r>
      <w:r>
        <w:rPr>
          <w:rFonts w:ascii="Arial" w:cs="Arial" w:eastAsia="Arial" w:hAnsi="Arial"/>
          <w:sz w:val="17"/>
          <w:szCs w:val="17"/>
          <w:color w:val="auto"/>
        </w:rPr>
        <w:t>. Nothing contained in this Agreement will constitute or be construed to be or create a partnership or joint venture between the Parties or any of their respective Affiliates, successors or assigns. The Parties understand and agree that this Agreement does not make either of them an agent or legal representative of the other for any purpose whatsoever. No Party is granted, by this Agreement or otherwise, any right or authority to assume or create any obligation or responsibilities, express or implied, on behalf of or in the name of any other Party, or to bind any other Party in any manner whatsoever. The Parties expressly acknowledge that the Provider is an independent contractor with respect to the Recipient in all respects, including with respect to the provision of the Services.</w:t>
      </w:r>
    </w:p>
    <w:p>
      <w:pPr>
        <w:spacing w:after="0" w:line="177"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 xml:space="preserve">Section 5.6 </w:t>
      </w:r>
      <w:r>
        <w:rPr>
          <w:rFonts w:ascii="Arial" w:cs="Arial" w:eastAsia="Arial" w:hAnsi="Arial"/>
          <w:sz w:val="17"/>
          <w:szCs w:val="17"/>
          <w:u w:val="single" w:color="auto"/>
          <w:color w:val="auto"/>
        </w:rPr>
        <w:t>Non-Exclusivity</w:t>
      </w:r>
      <w:r>
        <w:rPr>
          <w:rFonts w:ascii="Arial" w:cs="Arial" w:eastAsia="Arial" w:hAnsi="Arial"/>
          <w:sz w:val="17"/>
          <w:szCs w:val="17"/>
          <w:color w:val="auto"/>
        </w:rPr>
        <w:t>. The Provider and its Affiliates may provide services of a nature similar to the Services to any other Person. There is no obligation for the Provider to provide the Services to the Recipient on an exclusive basis.</w:t>
      </w:r>
    </w:p>
    <w:p>
      <w:pPr>
        <w:spacing w:after="0" w:line="146" w:lineRule="exact"/>
        <w:rPr>
          <w:sz w:val="20"/>
          <w:szCs w:val="20"/>
          <w:color w:val="auto"/>
        </w:rPr>
      </w:pPr>
    </w:p>
    <w:p>
      <w:pPr>
        <w:jc w:val="both"/>
        <w:ind w:right="720" w:firstLine="991"/>
        <w:spacing w:after="0" w:line="263"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herein, each Party will pay its own expenses incident to the negotiation, preparation and performance of this Agreement, including the fees, expenses and disbursements of their respective investment bankers, accountants and counsel.</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each Party will use its commercially reasonable efforts to take or cause to be taken, at the cost and expense of the requesting Party, such further actions as may be reasonably necessary to consummate or implement the transactions contemplated hereby or to evidence such matters.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47" w:name="page248"/>
    <w:bookmarkEnd w:id="247"/>
    <w:p>
      <w:pPr>
        <w:ind w:right="40" w:firstLine="991"/>
        <w:spacing w:after="0" w:line="277"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(including Schedules) may not be amended except by an instrument in writing executed by a duly authorized representative of each Party.</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offers, requests or other communications required or permitted to be given by a Party pursuant to the terms of this Agreement shall be given in writing to the other Party to the addresses set forth in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or to such other address, facsimile number or email address as the Party to whom notice is given may have previously furnished to the other in writing as provided herein. Any notice involving non-performance or termination shall be sent by hand delivery or recognized courier. All other notices may also be sent by facsimile or email, confirmed by mail. All notices shall be deemed to have been given when received, if hand delivered; when transmitted, if transmitted by facsimile or email; upon confirmation of delivery, if sent by recognized courier; and upon receipt if mailed.</w:t>
      </w:r>
    </w:p>
    <w:p>
      <w:pPr>
        <w:spacing w:after="0" w:line="195"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U.S.A.</w:t>
      </w:r>
    </w:p>
    <w:p>
      <w:pPr>
        <w:spacing w:after="0" w:line="170"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difference or claim arising out of or relating to this Agreement, including the existence, validity, interpretation, performance, breach or termination thereof or any dispute regarding non-contractual obligations arising out of or relating to it (“</w:t>
      </w:r>
      <w:r>
        <w:rPr>
          <w:rFonts w:ascii="Arial" w:cs="Arial" w:eastAsia="Arial" w:hAnsi="Arial"/>
          <w:sz w:val="18"/>
          <w:szCs w:val="18"/>
          <w:b w:val="1"/>
          <w:bCs w:val="1"/>
          <w:color w:val="auto"/>
        </w:rPr>
        <w:t>Dispute</w:t>
      </w:r>
      <w:r>
        <w:rPr>
          <w:rFonts w:ascii="Arial" w:cs="Arial" w:eastAsia="Arial" w:hAnsi="Arial"/>
          <w:sz w:val="18"/>
          <w:szCs w:val="18"/>
          <w:color w:val="auto"/>
        </w:rPr>
        <w:t>”) which arises between the Parties shall first be negotiated between appropriate senior executives of each Party who shall have the authority to resolve the matter. Such executives shall meet to attempt in good faith to negotiate a resolution of the Dispute prior to pursuing other available remedies, within ten (10) calendar days of receipt by a Party of written notice of a Dispute, which date of receipt shall be referred to herein as the “</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Discussions and correspondence relating to trying to resolve such Dispute shall be conducted on a without prejudice basis, treated as Confidential Information, shall be exempt from discovery or production, and shall not be admissible in any subsequent proceeding between the Parties.</w:t>
      </w:r>
    </w:p>
    <w:p>
      <w:pPr>
        <w:spacing w:after="0" w:line="196" w:lineRule="exact"/>
        <w:rPr>
          <w:sz w:val="20"/>
          <w:szCs w:val="20"/>
          <w:color w:val="auto"/>
        </w:rPr>
      </w:pPr>
    </w:p>
    <w:p>
      <w:pPr>
        <w:ind w:right="100" w:firstLine="1440"/>
        <w:spacing w:after="0" w:line="259" w:lineRule="auto"/>
        <w:tabs>
          <w:tab w:leader="none" w:pos="18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senior executives are unable to resolve the Dispute within sixty (60) calendar days from the Dispute Resolution Commencement Date, the exclusive means of continuing to pursue resolution of the the Dispute is to submit the Dispute to the boards of directors of NetEase and Youdao. Representatives of each board of directors shall meet as soon as practicable to attempt in good faith to negotiate a resolution of the Dispute.</w:t>
      </w:r>
    </w:p>
    <w:p>
      <w:pPr>
        <w:spacing w:after="0" w:line="186" w:lineRule="exact"/>
        <w:rPr>
          <w:rFonts w:ascii="Arial" w:cs="Arial" w:eastAsia="Arial" w:hAnsi="Arial"/>
          <w:sz w:val="18"/>
          <w:szCs w:val="18"/>
          <w:color w:val="auto"/>
        </w:rPr>
      </w:pPr>
    </w:p>
    <w:p>
      <w:pPr>
        <w:ind w:right="20" w:firstLine="1440"/>
        <w:spacing w:after="0" w:line="272" w:lineRule="auto"/>
        <w:tabs>
          <w:tab w:leader="none" w:pos="1822"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the representatives of the two boards of directors are unable to resolve the Dispute within 120 calendar days from the Dispute Resolution Commencement Date, the exclusive means of continuing to pursue resolution of the Dispute is for any Party to initiate mediation pursuant to the Commercial Mediation Procedures of the American Arbitration Association, which shall apply to the conduct of the mediation, including the method of appointment of a mediator. Both Parties will share the administrative costs of the mediation and the mediator’s fees and expenses equally, and each Party shall bear all of its other costs and expenses related to the mediation, including but not limited to attorney’s fees, witness fees, and travel expenses. The mediation shall take place in English in Beijing, China or in whatever alternative forum on which the Parties may agree.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48" w:name="page249"/>
    <w:bookmarkEnd w:id="248"/>
    <w:p>
      <w:pPr>
        <w:ind w:right="20" w:firstLine="1440"/>
        <w:spacing w:after="0" w:line="270" w:lineRule="auto"/>
        <w:tabs>
          <w:tab w:leader="none" w:pos="1812"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If the Parties cannot resolve any Dispute through mediation within forty-five (45) calendar days after the appointment of the mediator (or the earlier withdrawal thereof), the exclusive means of pursuing final resolution of the Dispute is for any Party to commence an arbitration administered by the Hong Kong International Arbitration Centre under the Hong Kong International Arbitration Centre Administered Arbitration Rules (the “</w:t>
      </w:r>
      <w:r>
        <w:rPr>
          <w:rFonts w:ascii="Arial" w:cs="Arial" w:eastAsia="Arial" w:hAnsi="Arial"/>
          <w:sz w:val="17"/>
          <w:szCs w:val="17"/>
          <w:b w:val="1"/>
          <w:bCs w:val="1"/>
          <w:color w:val="auto"/>
        </w:rPr>
        <w:t>HKIAC Rules</w:t>
      </w:r>
      <w:r>
        <w:rPr>
          <w:rFonts w:ascii="Arial" w:cs="Arial" w:eastAsia="Arial" w:hAnsi="Arial"/>
          <w:sz w:val="17"/>
          <w:szCs w:val="17"/>
          <w:color w:val="auto"/>
        </w:rPr>
        <w:t>”) in force at the time when the notice of arbitration is submitted. There shall be three (3) arbitrators selected pursuant to the HKIAC Rules. The presiding arbitrator shall be qualified to practice law in New York. The place and seat of arbitration shall be Hong Kong. The law of this arbitration clause shall be Hong Kong law. The award of the arbitral tribunal shall be final and binding upon the parties thereto, and the prevailing party may apply to a court of competent jurisdiction for enforcement of such award. Nothing contained herein shall preclude any Party from seeking provisional, interim or conservatory measures (including injunctive relief) from any court of competent jurisdiction.</w:t>
      </w:r>
    </w:p>
    <w:p>
      <w:pPr>
        <w:spacing w:after="0" w:line="18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Unless otherwise agreed in writing, the Parties will continue to provide service and honor all other commitments under this Agreement during the course of dispute resolution pursuant to the provisions of this Section 5.12 with respect to all matters not subject to such Dispute, controversy or claim.</w:t>
      </w:r>
    </w:p>
    <w:p>
      <w:pPr>
        <w:spacing w:after="0" w:line="184"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The Schedules to this Agreement are incorporated herein by reference and made a part of this Agreement as if set forth in full herein.</w:t>
      </w:r>
    </w:p>
    <w:p>
      <w:pPr>
        <w:spacing w:after="0" w:line="170"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if any provisions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87"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all the Schedules attached hereto, constitute the entire agreement between the Parties with respect to the subject matter hereof and thereof and supersede all previous agreements, negotiations, discussions, writings, understandings, commitments and conversations with respect to the subject matter hereof and thereof.</w:t>
      </w:r>
    </w:p>
    <w:p>
      <w:pPr>
        <w:spacing w:after="0" w:line="149"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5.16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of this Agreement or the Schedules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77"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 xml:space="preserve">Section 5.17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Schedules attached hereto are cumulative to, and not exclusive of, any rights or remedies otherwise available.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49" w:name="page250"/>
    <w:bookmarkEnd w:id="249"/>
    <w:p>
      <w:pPr>
        <w:ind w:right="100" w:firstLine="991"/>
        <w:spacing w:after="0" w:line="288"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Assignment; No Third-Party Beneficiaries</w:t>
      </w:r>
      <w:r>
        <w:rPr>
          <w:rFonts w:ascii="Arial" w:cs="Arial" w:eastAsia="Arial" w:hAnsi="Arial"/>
          <w:sz w:val="16"/>
          <w:szCs w:val="16"/>
          <w:color w:val="auto"/>
        </w:rPr>
        <w:t>. Neither this Agreement nor any of the rights and obligations of the Parties may be assigned by any Party without the prior written consent of the other Party, except that (i) the Recipient may assign its rights under this Agreement to any Affiliate or Affiliates of the Recipient without the prior written consent of the Provider, (ii) the Provider may assign any rights and obligations hereunder to (A) any Affiliate or Affiliates of the Provider capable of providing such Services hereunder or (B) third parties to the extent such third parties are routinely used to provide the Services to Affiliates and businesses of the Provider, in either case without the prior written consent of the Recipient, and (iii) an assignment by operation of Law in connection with a merger or consolidation will not require the consent of the other Party. Notwithstanding the foregoing, each Party will remain liable for all of its respective obligations under this Agreement. Subject to the first sentence of this Section 5.18, this Agreement will be binding upon and inure to the benefit of the Parties and their respective successors and assigns and no other person will have any right, obligation or benefit hereunder. Any attempted assignment or transfer in violation of this Section 5.18 will be void.</w:t>
      </w:r>
    </w:p>
    <w:p>
      <w:pPr>
        <w:spacing w:after="0" w:line="168"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Inconsistency</w:t>
      </w:r>
      <w:r>
        <w:rPr>
          <w:rFonts w:ascii="Arial" w:cs="Arial" w:eastAsia="Arial" w:hAnsi="Arial"/>
          <w:sz w:val="18"/>
          <w:szCs w:val="18"/>
          <w:color w:val="auto"/>
        </w:rPr>
        <w:t>. Neither the making nor the acceptance of this Agreement will enlarge, restrict or otherwise modify the terms of the Master Transaction Agreement or constitute a waiver or release by any Party of any liabilities, obligations or commitments imposed upon them by the terms of the Master Transaction Agreement, including the representations, warranties, covenants, agreements and other provisions of the Master Transaction Agreement. In the event of any conflict between the terms of this Agreement (including the Schedules), on the one hand, and the terms of the Master Transaction Agreement, on the other hand, with respect to the subject matters of this Agreement, the terms of this Agreement will control. In the event of any inconsistency between the terms of this Agreement, on the one hand, and any of the Schedules, on the other hand, the terms of this Agreement (other than charges for Services) will control.</w:t>
      </w:r>
    </w:p>
    <w:p>
      <w:pPr>
        <w:spacing w:after="0" w:line="192"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or in the Schedules attached hereto and in the table of contents to this Agreement are for reference purposes only and shall not in any way limit or affect the meaning or interpretation of any of the terms in this Agreement.</w:t>
      </w:r>
    </w:p>
    <w:p>
      <w:pPr>
        <w:spacing w:after="0" w:line="184"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5.21 </w:t>
      </w:r>
      <w:r>
        <w:rPr>
          <w:rFonts w:ascii="Arial" w:cs="Arial" w:eastAsia="Arial" w:hAnsi="Arial"/>
          <w:sz w:val="17"/>
          <w:szCs w:val="17"/>
          <w:u w:val="single" w:color="auto"/>
          <w:color w:val="auto"/>
        </w:rPr>
        <w:t>Interpretation</w:t>
      </w:r>
      <w:r>
        <w:rPr>
          <w:rFonts w:ascii="Arial" w:cs="Arial" w:eastAsia="Arial" w:hAnsi="Arial"/>
          <w:sz w:val="17"/>
          <w:szCs w:val="17"/>
          <w:color w:val="auto"/>
        </w:rPr>
        <w:t>. Any capitalized term used in any Schedule but not otherwise defined therein, has the meaning assigned to such term in this Agreement. For all purposes of this Agreement: (i) all references in this Agreement to designated “Sections”, “Schedules” and other subdivisions are to the designated Sections, Schedules and other subdivisions of the body of this Agreement unless otherwise indicated; (ii) the words “herein,” “hereof” and “hereunder” and other words of similar import refer to this Agreement as a whole and not to any particular Section or other subdivision; (iii) “or” is not exclusive; (iv) “including” and “includes” will be deemed to be followed by “but not limited to” and “but is not limited to,” respectively; (v) any definition of, or reference to, any law, agreement, instrument or other document herein will be construed as referring to such law, agreement, instrument or other document as from time to time amended, supplemented or otherwise modified; and (vi) any definition of, or reference to, any statute will be construed as referring also to any rules and regulations promulgated thereunder.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50" w:name="page251"/>
    <w:bookmarkEnd w:id="250"/>
    <w:p>
      <w:pPr>
        <w:ind w:firstLine="991"/>
        <w:spacing w:after="0" w:line="259" w:lineRule="auto"/>
        <w:rPr>
          <w:sz w:val="20"/>
          <w:szCs w:val="20"/>
          <w:color w:val="auto"/>
        </w:rPr>
      </w:pPr>
      <w:r>
        <w:rPr>
          <w:rFonts w:ascii="Arial" w:cs="Arial" w:eastAsia="Arial" w:hAnsi="Arial"/>
          <w:sz w:val="18"/>
          <w:szCs w:val="18"/>
          <w:color w:val="auto"/>
        </w:rPr>
        <w:t xml:space="preserve">Section 5.22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of this Agreement by facsimile or other electronic imaging means will be effective as delivery of a manually executed counterpart of this Agreement.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251" w:name="page252"/>
    <w:bookmarkEnd w:id="251"/>
    <w:p>
      <w:pPr>
        <w:ind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each acting under due and proper authority, have executed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month and year first above written.</w:t>
      </w:r>
    </w:p>
    <w:p>
      <w:pPr>
        <w:spacing w:after="0" w:line="16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NetEase,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William Lei Ding</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-121920</wp:posOffset>
            </wp:positionV>
            <wp:extent cx="27774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 and Chief Executive Officer</w:t>
      </w:r>
    </w:p>
    <w:p>
      <w:pPr>
        <w:spacing w:after="0" w:line="2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Youdao,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Feng Zhou</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-121920</wp:posOffset>
            </wp:positionV>
            <wp:extent cx="27774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Executive Officer, Director</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Transitional Services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52" w:name="page253"/>
    <w:bookmarkEnd w:id="252"/>
    <w:p>
      <w:pPr>
        <w:jc w:val="center"/>
        <w:ind w:right="-39"/>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Types of Services:</w:t>
      </w:r>
    </w:p>
    <w:p>
      <w:pPr>
        <w:spacing w:after="0" w:line="225" w:lineRule="exact"/>
        <w:rPr>
          <w:sz w:val="20"/>
          <w:szCs w:val="20"/>
          <w:color w:val="auto"/>
        </w:rPr>
      </w:pPr>
    </w:p>
    <w:p>
      <w:pPr>
        <w:ind w:left="340" w:right="60" w:hanging="331"/>
        <w:spacing w:after="0" w:line="277" w:lineRule="auto"/>
        <w:tabs>
          <w:tab w:leader="none" w:pos="3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Legal Support Services, including but not limited to support services in respective of contract management, risk control, compliance and other corporate legal matters;</w:t>
      </w:r>
    </w:p>
    <w:p>
      <w:pPr>
        <w:spacing w:after="0" w:line="170" w:lineRule="exact"/>
        <w:rPr>
          <w:rFonts w:ascii="Arial" w:cs="Arial" w:eastAsia="Arial" w:hAnsi="Arial"/>
          <w:sz w:val="18"/>
          <w:szCs w:val="18"/>
          <w:color w:val="auto"/>
        </w:rPr>
      </w:pPr>
    </w:p>
    <w:p>
      <w:pPr>
        <w:ind w:left="340" w:right="280" w:hanging="331"/>
        <w:spacing w:after="0" w:line="277" w:lineRule="auto"/>
        <w:tabs>
          <w:tab w:leader="none" w:pos="33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Human Resources Support Services, including but not limited to recruitment, employee service center, workforce administration, employee data management, payroll and other employment-related matters;</w:t>
      </w:r>
    </w:p>
    <w:p>
      <w:pPr>
        <w:spacing w:after="0" w:line="170" w:lineRule="exact"/>
        <w:rPr>
          <w:rFonts w:ascii="Arial" w:cs="Arial" w:eastAsia="Arial" w:hAnsi="Arial"/>
          <w:sz w:val="18"/>
          <w:szCs w:val="18"/>
          <w:color w:val="auto"/>
        </w:rPr>
      </w:pPr>
    </w:p>
    <w:p>
      <w:pPr>
        <w:ind w:left="320" w:hanging="311"/>
        <w:spacing w:after="0"/>
        <w:tabs>
          <w:tab w:leader="none" w:pos="3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Financial Reporting, Internal Control and Internal Audit Support Services; and</w:t>
      </w:r>
    </w:p>
    <w:p>
      <w:pPr>
        <w:spacing w:after="0" w:line="225" w:lineRule="exact"/>
        <w:rPr>
          <w:rFonts w:ascii="Arial" w:cs="Arial" w:eastAsia="Arial" w:hAnsi="Arial"/>
          <w:sz w:val="18"/>
          <w:szCs w:val="18"/>
          <w:color w:val="auto"/>
        </w:rPr>
      </w:pPr>
    </w:p>
    <w:p>
      <w:pPr>
        <w:jc w:val="both"/>
        <w:ind w:left="340" w:right="160" w:hanging="331"/>
        <w:spacing w:after="0" w:line="279" w:lineRule="auto"/>
        <w:tabs>
          <w:tab w:leader="none" w:pos="32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Technology and Operational Support Services, including but not limited to network design, optimization and maintenance, support and upgrade of business support systems (including but not limited to survey system and data monitoring system), management of information technology equipment, technical support and disaster recovery, and complementary product development, technology and infrastructure support (such as IDC rental), SMS (PoPo) support.</w:t>
      </w:r>
    </w:p>
    <w:p>
      <w:pPr>
        <w:spacing w:after="0" w:line="171" w:lineRule="exact"/>
        <w:rPr>
          <w:rFonts w:ascii="Arial" w:cs="Arial" w:eastAsia="Arial" w:hAnsi="Arial"/>
          <w:sz w:val="17"/>
          <w:szCs w:val="17"/>
          <w:color w:val="auto"/>
        </w:rPr>
      </w:pPr>
    </w:p>
    <w:p>
      <w:pPr>
        <w:ind w:left="340" w:hanging="331"/>
        <w:spacing w:after="0" w:line="277" w:lineRule="auto"/>
        <w:tabs>
          <w:tab w:leader="none" w:pos="321"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Adminstrative Support Services, including but not limited to secretarial support, event management, conference management, shuttle bus service, canteen service, and other day-to-day office facility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Provider</w:t>
      </w:r>
      <w:r>
        <w:rPr>
          <w:rFonts w:ascii="Arial" w:cs="Arial" w:eastAsia="Arial" w:hAnsi="Arial"/>
          <w:sz w:val="18"/>
          <w:szCs w:val="18"/>
          <w:color w:val="auto"/>
        </w:rPr>
        <w:t>: NetEase or an Affiliate of NetEase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Recipient</w:t>
      </w:r>
      <w:r>
        <w:rPr>
          <w:rFonts w:ascii="Arial" w:cs="Arial" w:eastAsia="Arial" w:hAnsi="Arial"/>
          <w:sz w:val="18"/>
          <w:szCs w:val="18"/>
          <w:color w:val="auto"/>
        </w:rPr>
        <w:t>: Youdao or an Affiliate of Youdao</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Scope and Annual Volume of Each Type of Services</w:t>
      </w:r>
      <w:r>
        <w:rPr>
          <w:rFonts w:ascii="Arial" w:cs="Arial" w:eastAsia="Arial" w:hAnsi="Arial"/>
          <w:sz w:val="18"/>
          <w:szCs w:val="18"/>
          <w:color w:val="auto"/>
        </w:rPr>
        <w:t>: Based on the Recipient’s reasonable request subject to the terms of this Agreement, and realized in the actual performance of such Services by the Provider to the Recipient.</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u w:val="single" w:color="auto"/>
          <w:color w:val="auto"/>
        </w:rPr>
        <w:t>Price</w:t>
      </w:r>
      <w:r>
        <w:rPr>
          <w:rFonts w:ascii="Arial" w:cs="Arial" w:eastAsia="Arial" w:hAnsi="Arial"/>
          <w:sz w:val="18"/>
          <w:szCs w:val="18"/>
          <w:color w:val="auto"/>
        </w:rPr>
        <w:t>: The product of multiplying the sum of the actual Direct Costs and Indirect Costs of providing such Services by 100 percent plus a reasonable markup rate as determined by NetEase based on the actual circumstances. “</w:t>
      </w:r>
      <w:r>
        <w:rPr>
          <w:rFonts w:ascii="Arial" w:cs="Arial" w:eastAsia="Arial" w:hAnsi="Arial"/>
          <w:sz w:val="18"/>
          <w:szCs w:val="18"/>
          <w:b w:val="1"/>
          <w:bCs w:val="1"/>
          <w:color w:val="auto"/>
        </w:rPr>
        <w:t>Direct Costs</w:t>
      </w:r>
      <w:r>
        <w:rPr>
          <w:rFonts w:ascii="Arial" w:cs="Arial" w:eastAsia="Arial" w:hAnsi="Arial"/>
          <w:sz w:val="18"/>
          <w:szCs w:val="18"/>
          <w:color w:val="auto"/>
        </w:rPr>
        <w:t>” shall include labor-related compensation and travel expenses, materials and supplies consumed and agency fees arising from performing the Services. “</w:t>
      </w:r>
      <w:r>
        <w:rPr>
          <w:rFonts w:ascii="Arial" w:cs="Arial" w:eastAsia="Arial" w:hAnsi="Arial"/>
          <w:sz w:val="18"/>
          <w:szCs w:val="18"/>
          <w:b w:val="1"/>
          <w:bCs w:val="1"/>
          <w:color w:val="auto"/>
        </w:rPr>
        <w:t>Indirect</w:t>
      </w:r>
      <w:r>
        <w:rPr>
          <w:rFonts w:ascii="Arial" w:cs="Arial" w:eastAsia="Arial" w:hAnsi="Arial"/>
          <w:sz w:val="18"/>
          <w:szCs w:val="18"/>
          <w:color w:val="auto"/>
        </w:rPr>
        <w:t xml:space="preserve"> </w:t>
      </w:r>
      <w:r>
        <w:rPr>
          <w:rFonts w:ascii="Arial" w:cs="Arial" w:eastAsia="Arial" w:hAnsi="Arial"/>
          <w:sz w:val="18"/>
          <w:szCs w:val="18"/>
          <w:b w:val="1"/>
          <w:bCs w:val="1"/>
          <w:color w:val="auto"/>
        </w:rPr>
        <w:t>Costs</w:t>
      </w:r>
      <w:r>
        <w:rPr>
          <w:rFonts w:ascii="Arial" w:cs="Arial" w:eastAsia="Arial" w:hAnsi="Arial"/>
          <w:sz w:val="18"/>
          <w:szCs w:val="18"/>
          <w:color w:val="auto"/>
        </w:rPr>
        <w:t>” shall include occupancy, information technology support and other overhead costs of the department incurring the direct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the Service.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Required Notice Period for Termination by Recipient Pursuant to Section 4.2 of this Agreement</w:t>
      </w:r>
      <w:r>
        <w:rPr>
          <w:rFonts w:ascii="Arial" w:cs="Arial" w:eastAsia="Arial" w:hAnsi="Arial"/>
          <w:sz w:val="18"/>
          <w:szCs w:val="18"/>
          <w:color w:val="auto"/>
        </w:rPr>
        <w:t>: ninety (90) calendar days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Required Notice Period for Termination by Provider Pursuant to Section 4.3 of this Agreement</w:t>
      </w:r>
      <w:r>
        <w:rPr>
          <w:rFonts w:ascii="Arial" w:cs="Arial" w:eastAsia="Arial" w:hAnsi="Arial"/>
          <w:sz w:val="18"/>
          <w:szCs w:val="18"/>
          <w:color w:val="auto"/>
        </w:rPr>
        <w:t>: ninety (90) calendar days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b w:val="1"/>
          <w:bCs w:val="1"/>
          <w:color w:val="auto"/>
        </w:rPr>
        <w:t>Exhibit 4.54</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NON-COMPETITION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YOUDAO,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1062990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b w:val="1"/>
                <w:bCs w:val="1"/>
                <w:color w:val="auto"/>
                <w:w w:val="98"/>
              </w:rPr>
              <w:t>TABLE OF CONTENTS</w:t>
            </w:r>
          </w:p>
        </w:tc>
        <w:tc>
          <w:tcPr>
            <w:tcW w:w="1960" w:type="dxa"/>
            <w:vAlign w:val="bottom"/>
          </w:tcPr>
          <w:p>
            <w:pPr>
              <w:spacing w:after="0"/>
              <w:rPr>
                <w:sz w:val="20"/>
                <w:szCs w:val="20"/>
                <w:color w:val="auto"/>
              </w:rPr>
            </w:pPr>
          </w:p>
        </w:tc>
      </w:tr>
      <w:tr>
        <w:trPr>
          <w:trHeight w:val="473"/>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6"/>
              </w:rPr>
              <w:t>ARTICLE 1</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8"/>
              </w:rPr>
              <w:t>DEFINITIONS</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Section 1.1</w:t>
            </w:r>
          </w:p>
        </w:tc>
        <w:tc>
          <w:tcPr>
            <w:tcW w:w="684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6"/>
              </w:rPr>
              <w:t>ARTICLE 2</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8"/>
              </w:rPr>
              <w:t>NON-COMPETITION</w:t>
            </w:r>
          </w:p>
        </w:tc>
        <w:tc>
          <w:tcPr>
            <w:tcW w:w="196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2.1</w:t>
            </w:r>
          </w:p>
        </w:tc>
        <w:tc>
          <w:tcPr>
            <w:tcW w:w="6840" w:type="dxa"/>
            <w:vAlign w:val="bottom"/>
          </w:tcPr>
          <w:p>
            <w:pPr>
              <w:ind w:left="220"/>
              <w:spacing w:after="0"/>
              <w:rPr>
                <w:sz w:val="20"/>
                <w:szCs w:val="20"/>
                <w:color w:val="auto"/>
              </w:rPr>
            </w:pPr>
            <w:r>
              <w:rPr>
                <w:rFonts w:ascii="Arial" w:cs="Arial" w:eastAsia="Arial" w:hAnsi="Arial"/>
                <w:sz w:val="18"/>
                <w:szCs w:val="18"/>
                <w:color w:val="auto"/>
              </w:rPr>
              <w:t>Undertaking of the NetEase Group</w:t>
            </w:r>
          </w:p>
        </w:tc>
        <w:tc>
          <w:tcPr>
            <w:tcW w:w="1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2.2</w:t>
            </w:r>
          </w:p>
        </w:tc>
        <w:tc>
          <w:tcPr>
            <w:tcW w:w="6840" w:type="dxa"/>
            <w:vAlign w:val="bottom"/>
          </w:tcPr>
          <w:p>
            <w:pPr>
              <w:ind w:left="220"/>
              <w:spacing w:after="0"/>
              <w:rPr>
                <w:sz w:val="20"/>
                <w:szCs w:val="20"/>
                <w:color w:val="auto"/>
              </w:rPr>
            </w:pPr>
            <w:r>
              <w:rPr>
                <w:rFonts w:ascii="Arial" w:cs="Arial" w:eastAsia="Arial" w:hAnsi="Arial"/>
                <w:sz w:val="18"/>
                <w:szCs w:val="18"/>
                <w:color w:val="auto"/>
              </w:rPr>
              <w:t>Undertaking of the Youdao Group</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2.3</w:t>
            </w:r>
          </w:p>
        </w:tc>
        <w:tc>
          <w:tcPr>
            <w:tcW w:w="684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6"/>
              </w:rPr>
              <w:t>ARTICLE 3</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3"/>
              </w:rPr>
              <w:t>BUSINESS OPPORTUNITIES</w:t>
            </w:r>
          </w:p>
        </w:tc>
        <w:tc>
          <w:tcPr>
            <w:tcW w:w="196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3.1</w:t>
            </w:r>
          </w:p>
        </w:tc>
        <w:tc>
          <w:tcPr>
            <w:tcW w:w="6840" w:type="dxa"/>
            <w:vAlign w:val="bottom"/>
          </w:tcPr>
          <w:p>
            <w:pPr>
              <w:ind w:left="220"/>
              <w:spacing w:after="0"/>
              <w:rPr>
                <w:sz w:val="20"/>
                <w:szCs w:val="20"/>
                <w:color w:val="auto"/>
              </w:rPr>
            </w:pPr>
            <w:r>
              <w:rPr>
                <w:rFonts w:ascii="Arial" w:cs="Arial" w:eastAsia="Arial" w:hAnsi="Arial"/>
                <w:sz w:val="18"/>
                <w:szCs w:val="18"/>
                <w:color w:val="auto"/>
              </w:rPr>
              <w:t>Youdao’s Right</w:t>
            </w: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3.2</w:t>
            </w:r>
          </w:p>
        </w:tc>
        <w:tc>
          <w:tcPr>
            <w:tcW w:w="6840" w:type="dxa"/>
            <w:vAlign w:val="bottom"/>
          </w:tcPr>
          <w:p>
            <w:pPr>
              <w:ind w:left="220"/>
              <w:spacing w:after="0"/>
              <w:rPr>
                <w:sz w:val="20"/>
                <w:szCs w:val="20"/>
                <w:color w:val="auto"/>
              </w:rPr>
            </w:pPr>
            <w:r>
              <w:rPr>
                <w:rFonts w:ascii="Arial" w:cs="Arial" w:eastAsia="Arial" w:hAnsi="Arial"/>
                <w:sz w:val="18"/>
                <w:szCs w:val="18"/>
                <w:color w:val="auto"/>
              </w:rPr>
              <w:t>NetEase’s Right</w:t>
            </w:r>
          </w:p>
        </w:tc>
        <w:tc>
          <w:tcPr>
            <w:tcW w:w="1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6"/>
              </w:rPr>
              <w:t>ARTICLE 4</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70"/>
              <w:spacing w:after="0"/>
              <w:rPr>
                <w:sz w:val="20"/>
                <w:szCs w:val="20"/>
                <w:color w:val="auto"/>
              </w:rPr>
            </w:pPr>
            <w:r>
              <w:rPr>
                <w:rFonts w:ascii="Arial" w:cs="Arial" w:eastAsia="Arial" w:hAnsi="Arial"/>
                <w:sz w:val="18"/>
                <w:szCs w:val="18"/>
                <w:color w:val="auto"/>
                <w:w w:val="97"/>
              </w:rPr>
              <w:t>NON-SOLICITATION</w:t>
            </w:r>
          </w:p>
        </w:tc>
        <w:tc>
          <w:tcPr>
            <w:tcW w:w="196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4.1</w:t>
            </w:r>
          </w:p>
        </w:tc>
        <w:tc>
          <w:tcPr>
            <w:tcW w:w="6840" w:type="dxa"/>
            <w:vAlign w:val="bottom"/>
          </w:tcPr>
          <w:p>
            <w:pPr>
              <w:ind w:left="220"/>
              <w:spacing w:after="0"/>
              <w:rPr>
                <w:sz w:val="20"/>
                <w:szCs w:val="20"/>
                <w:color w:val="auto"/>
              </w:rPr>
            </w:pPr>
            <w:r>
              <w:rPr>
                <w:rFonts w:ascii="Arial" w:cs="Arial" w:eastAsia="Arial" w:hAnsi="Arial"/>
                <w:sz w:val="18"/>
                <w:szCs w:val="18"/>
                <w:color w:val="auto"/>
              </w:rPr>
              <w:t>Non-Solicitation by NetEase</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4.2</w:t>
            </w:r>
          </w:p>
        </w:tc>
        <w:tc>
          <w:tcPr>
            <w:tcW w:w="6840" w:type="dxa"/>
            <w:vAlign w:val="bottom"/>
          </w:tcPr>
          <w:p>
            <w:pPr>
              <w:ind w:left="220"/>
              <w:spacing w:after="0"/>
              <w:rPr>
                <w:sz w:val="20"/>
                <w:szCs w:val="20"/>
                <w:color w:val="auto"/>
              </w:rPr>
            </w:pPr>
            <w:r>
              <w:rPr>
                <w:rFonts w:ascii="Arial" w:cs="Arial" w:eastAsia="Arial" w:hAnsi="Arial"/>
                <w:sz w:val="18"/>
                <w:szCs w:val="18"/>
                <w:color w:val="auto"/>
              </w:rPr>
              <w:t>Non-Solicitation by Youdao</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50"/>
              <w:spacing w:after="0"/>
              <w:rPr>
                <w:sz w:val="20"/>
                <w:szCs w:val="20"/>
                <w:color w:val="auto"/>
              </w:rPr>
            </w:pPr>
            <w:r>
              <w:rPr>
                <w:rFonts w:ascii="Arial" w:cs="Arial" w:eastAsia="Arial" w:hAnsi="Arial"/>
                <w:sz w:val="18"/>
                <w:szCs w:val="18"/>
                <w:color w:val="auto"/>
                <w:w w:val="96"/>
              </w:rPr>
              <w:t>ARTICLE 5</w:t>
            </w:r>
          </w:p>
        </w:tc>
        <w:tc>
          <w:tcPr>
            <w:tcW w:w="1960" w:type="dxa"/>
            <w:vAlign w:val="bottom"/>
          </w:tcPr>
          <w:p>
            <w:pPr>
              <w:spacing w:after="0"/>
              <w:rPr>
                <w:sz w:val="24"/>
                <w:szCs w:val="24"/>
                <w:color w:val="auto"/>
              </w:rPr>
            </w:pPr>
          </w:p>
        </w:tc>
      </w:tr>
      <w:tr>
        <w:trPr>
          <w:trHeight w:val="432"/>
        </w:trPr>
        <w:tc>
          <w:tcPr>
            <w:tcW w:w="1120" w:type="dxa"/>
            <w:vAlign w:val="bottom"/>
          </w:tcPr>
          <w:p>
            <w:pPr>
              <w:spacing w:after="0"/>
              <w:rPr>
                <w:sz w:val="24"/>
                <w:szCs w:val="24"/>
                <w:color w:val="auto"/>
              </w:rPr>
            </w:pPr>
          </w:p>
        </w:tc>
        <w:tc>
          <w:tcPr>
            <w:tcW w:w="6840" w:type="dxa"/>
            <w:vAlign w:val="bottom"/>
          </w:tcPr>
          <w:p>
            <w:pPr>
              <w:jc w:val="center"/>
              <w:ind w:left="770"/>
              <w:spacing w:after="0"/>
              <w:rPr>
                <w:sz w:val="20"/>
                <w:szCs w:val="20"/>
                <w:color w:val="auto"/>
              </w:rPr>
            </w:pPr>
            <w:r>
              <w:rPr>
                <w:rFonts w:ascii="Arial" w:cs="Arial" w:eastAsia="Arial" w:hAnsi="Arial"/>
                <w:sz w:val="18"/>
                <w:szCs w:val="18"/>
                <w:color w:val="auto"/>
                <w:w w:val="97"/>
              </w:rPr>
              <w:t>MISCELLANEOUS</w:t>
            </w:r>
          </w:p>
        </w:tc>
        <w:tc>
          <w:tcPr>
            <w:tcW w:w="1960" w:type="dxa"/>
            <w:vAlign w:val="bottom"/>
          </w:tcPr>
          <w:p>
            <w:pPr>
              <w:spacing w:after="0"/>
              <w:rPr>
                <w:sz w:val="24"/>
                <w:szCs w:val="24"/>
                <w:color w:val="auto"/>
              </w:rPr>
            </w:pPr>
          </w:p>
        </w:tc>
      </w:tr>
      <w:tr>
        <w:trPr>
          <w:trHeight w:val="418"/>
        </w:trPr>
        <w:tc>
          <w:tcPr>
            <w:tcW w:w="1120" w:type="dxa"/>
            <w:vAlign w:val="bottom"/>
          </w:tcPr>
          <w:p>
            <w:pPr>
              <w:spacing w:after="0"/>
              <w:rPr>
                <w:sz w:val="20"/>
                <w:szCs w:val="20"/>
                <w:color w:val="auto"/>
              </w:rPr>
            </w:pPr>
            <w:r>
              <w:rPr>
                <w:rFonts w:ascii="Arial" w:cs="Arial" w:eastAsia="Arial" w:hAnsi="Arial"/>
                <w:sz w:val="18"/>
                <w:szCs w:val="18"/>
                <w:color w:val="auto"/>
              </w:rPr>
              <w:t>Section 5.1</w:t>
            </w:r>
          </w:p>
        </w:tc>
        <w:tc>
          <w:tcPr>
            <w:tcW w:w="6840" w:type="dxa"/>
            <w:vAlign w:val="bottom"/>
          </w:tcPr>
          <w:p>
            <w:pPr>
              <w:ind w:left="220"/>
              <w:spacing w:after="0"/>
              <w:rPr>
                <w:sz w:val="20"/>
                <w:szCs w:val="20"/>
                <w:color w:val="auto"/>
              </w:rPr>
            </w:pPr>
            <w:r>
              <w:rPr>
                <w:rFonts w:ascii="Arial" w:cs="Arial" w:eastAsia="Arial" w:hAnsi="Arial"/>
                <w:sz w:val="18"/>
                <w:szCs w:val="18"/>
                <w:color w:val="auto"/>
              </w:rPr>
              <w:t>Consent</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5.2</w:t>
            </w:r>
          </w:p>
        </w:tc>
        <w:tc>
          <w:tcPr>
            <w:tcW w:w="684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9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5.3</w:t>
            </w:r>
          </w:p>
        </w:tc>
        <w:tc>
          <w:tcPr>
            <w:tcW w:w="684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5.4</w:t>
            </w:r>
          </w:p>
        </w:tc>
        <w:tc>
          <w:tcPr>
            <w:tcW w:w="684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5.5</w:t>
            </w:r>
          </w:p>
        </w:tc>
        <w:tc>
          <w:tcPr>
            <w:tcW w:w="68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5.6</w:t>
            </w:r>
          </w:p>
        </w:tc>
        <w:tc>
          <w:tcPr>
            <w:tcW w:w="6840" w:type="dxa"/>
            <w:vAlign w:val="bottom"/>
          </w:tcPr>
          <w:p>
            <w:pPr>
              <w:ind w:left="220"/>
              <w:spacing w:after="0"/>
              <w:rPr>
                <w:sz w:val="20"/>
                <w:szCs w:val="20"/>
                <w:color w:val="auto"/>
              </w:rPr>
            </w:pPr>
            <w:r>
              <w:rPr>
                <w:rFonts w:ascii="Arial" w:cs="Arial" w:eastAsia="Arial" w:hAnsi="Arial"/>
                <w:sz w:val="18"/>
                <w:szCs w:val="18"/>
                <w:color w:val="auto"/>
              </w:rPr>
              <w:t>Dispute Resolution</w:t>
            </w:r>
          </w:p>
        </w:tc>
        <w:tc>
          <w:tcPr>
            <w:tcW w:w="1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5.7</w:t>
            </w:r>
          </w:p>
        </w:tc>
        <w:tc>
          <w:tcPr>
            <w:tcW w:w="6840" w:type="dxa"/>
            <w:vAlign w:val="bottom"/>
          </w:tcPr>
          <w:p>
            <w:pPr>
              <w:ind w:left="220"/>
              <w:spacing w:after="0"/>
              <w:rPr>
                <w:sz w:val="20"/>
                <w:szCs w:val="20"/>
                <w:color w:val="auto"/>
              </w:rPr>
            </w:pPr>
            <w:r>
              <w:rPr>
                <w:rFonts w:ascii="Arial" w:cs="Arial" w:eastAsia="Arial" w:hAnsi="Arial"/>
                <w:sz w:val="18"/>
                <w:szCs w:val="18"/>
                <w:color w:val="auto"/>
              </w:rPr>
              <w:t>Authority</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5.8</w:t>
            </w:r>
          </w:p>
        </w:tc>
        <w:tc>
          <w:tcPr>
            <w:tcW w:w="6840" w:type="dxa"/>
            <w:vAlign w:val="bottom"/>
          </w:tcPr>
          <w:p>
            <w:pPr>
              <w:ind w:left="220"/>
              <w:spacing w:after="0"/>
              <w:rPr>
                <w:sz w:val="20"/>
                <w:szCs w:val="20"/>
                <w:color w:val="auto"/>
              </w:rPr>
            </w:pPr>
            <w:r>
              <w:rPr>
                <w:rFonts w:ascii="Arial" w:cs="Arial" w:eastAsia="Arial" w:hAnsi="Arial"/>
                <w:sz w:val="18"/>
                <w:szCs w:val="18"/>
                <w:color w:val="auto"/>
              </w:rPr>
              <w:t>Specific Performance</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5.9</w:t>
            </w:r>
          </w:p>
        </w:tc>
        <w:tc>
          <w:tcPr>
            <w:tcW w:w="6840" w:type="dxa"/>
            <w:vAlign w:val="bottom"/>
          </w:tcPr>
          <w:p>
            <w:pPr>
              <w:ind w:left="220"/>
              <w:spacing w:after="0"/>
              <w:rPr>
                <w:sz w:val="20"/>
                <w:szCs w:val="20"/>
                <w:color w:val="auto"/>
              </w:rPr>
            </w:pPr>
            <w:r>
              <w:rPr>
                <w:rFonts w:ascii="Arial" w:cs="Arial" w:eastAsia="Arial" w:hAnsi="Arial"/>
                <w:sz w:val="18"/>
                <w:szCs w:val="18"/>
                <w:color w:val="auto"/>
              </w:rPr>
              <w:t>Entire Agreement</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5.10</w:t>
            </w:r>
          </w:p>
        </w:tc>
        <w:tc>
          <w:tcPr>
            <w:tcW w:w="684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9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5.11</w:t>
            </w:r>
          </w:p>
        </w:tc>
        <w:tc>
          <w:tcPr>
            <w:tcW w:w="6840" w:type="dxa"/>
            <w:vAlign w:val="bottom"/>
          </w:tcPr>
          <w:p>
            <w:pPr>
              <w:ind w:left="220"/>
              <w:spacing w:after="0"/>
              <w:rPr>
                <w:sz w:val="20"/>
                <w:szCs w:val="20"/>
                <w:color w:val="auto"/>
              </w:rPr>
            </w:pPr>
            <w:r>
              <w:rPr>
                <w:rFonts w:ascii="Arial" w:cs="Arial" w:eastAsia="Arial" w:hAnsi="Arial"/>
                <w:sz w:val="18"/>
                <w:szCs w:val="18"/>
                <w:color w:val="auto"/>
              </w:rPr>
              <w:t>Failure or Indulgence not Waiver; Remedies Cumulative</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5.12</w:t>
            </w:r>
          </w:p>
        </w:tc>
        <w:tc>
          <w:tcPr>
            <w:tcW w:w="6840" w:type="dxa"/>
            <w:vAlign w:val="bottom"/>
          </w:tcPr>
          <w:p>
            <w:pPr>
              <w:ind w:left="220"/>
              <w:spacing w:after="0"/>
              <w:rPr>
                <w:sz w:val="20"/>
                <w:szCs w:val="20"/>
                <w:color w:val="auto"/>
              </w:rPr>
            </w:pPr>
            <w:r>
              <w:rPr>
                <w:rFonts w:ascii="Arial" w:cs="Arial" w:eastAsia="Arial" w:hAnsi="Arial"/>
                <w:sz w:val="18"/>
                <w:szCs w:val="18"/>
                <w:color w:val="auto"/>
              </w:rPr>
              <w:t>Binding Effect; Assignment</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5.13</w:t>
            </w:r>
          </w:p>
        </w:tc>
        <w:tc>
          <w:tcPr>
            <w:tcW w:w="6840" w:type="dxa"/>
            <w:vAlign w:val="bottom"/>
          </w:tcPr>
          <w:p>
            <w:pPr>
              <w:ind w:left="220"/>
              <w:spacing w:after="0"/>
              <w:rPr>
                <w:sz w:val="20"/>
                <w:szCs w:val="20"/>
                <w:color w:val="auto"/>
              </w:rPr>
            </w:pPr>
            <w:r>
              <w:rPr>
                <w:rFonts w:ascii="Arial" w:cs="Arial" w:eastAsia="Arial" w:hAnsi="Arial"/>
                <w:sz w:val="18"/>
                <w:szCs w:val="18"/>
                <w:color w:val="auto"/>
              </w:rPr>
              <w:t>Inconsistency</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5.14</w:t>
            </w:r>
          </w:p>
        </w:tc>
        <w:tc>
          <w:tcPr>
            <w:tcW w:w="6840" w:type="dxa"/>
            <w:vAlign w:val="bottom"/>
          </w:tcPr>
          <w:p>
            <w:pPr>
              <w:ind w:left="220"/>
              <w:spacing w:after="0"/>
              <w:rPr>
                <w:sz w:val="20"/>
                <w:szCs w:val="20"/>
                <w:color w:val="auto"/>
              </w:rPr>
            </w:pPr>
            <w:r>
              <w:rPr>
                <w:rFonts w:ascii="Arial" w:cs="Arial" w:eastAsia="Arial" w:hAnsi="Arial"/>
                <w:sz w:val="18"/>
                <w:szCs w:val="18"/>
                <w:color w:val="auto"/>
              </w:rPr>
              <w:t>Heading</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Section 5.15</w:t>
            </w:r>
          </w:p>
        </w:tc>
        <w:tc>
          <w:tcPr>
            <w:tcW w:w="6840" w:type="dxa"/>
            <w:vAlign w:val="bottom"/>
          </w:tcPr>
          <w:p>
            <w:pPr>
              <w:ind w:left="220"/>
              <w:spacing w:after="0"/>
              <w:rPr>
                <w:sz w:val="20"/>
                <w:szCs w:val="20"/>
                <w:color w:val="auto"/>
              </w:rPr>
            </w:pPr>
            <w:r>
              <w:rPr>
                <w:rFonts w:ascii="Arial" w:cs="Arial" w:eastAsia="Arial" w:hAnsi="Arial"/>
                <w:sz w:val="18"/>
                <w:szCs w:val="18"/>
                <w:color w:val="auto"/>
              </w:rPr>
              <w:t>Interpretation</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Section 5.16</w:t>
            </w:r>
          </w:p>
        </w:tc>
        <w:tc>
          <w:tcPr>
            <w:tcW w:w="68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196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6" w:name="page257"/>
    <w:bookmarkEnd w:id="256"/>
    <w:p>
      <w:pPr>
        <w:jc w:val="center"/>
        <w:ind w:right="-19"/>
        <w:spacing w:after="0"/>
        <w:rPr>
          <w:sz w:val="20"/>
          <w:szCs w:val="20"/>
          <w:color w:val="auto"/>
        </w:rPr>
      </w:pPr>
      <w:r>
        <w:rPr>
          <w:rFonts w:ascii="Arial" w:cs="Arial" w:eastAsia="Arial" w:hAnsi="Arial"/>
          <w:sz w:val="18"/>
          <w:szCs w:val="18"/>
          <w:b w:val="1"/>
          <w:bCs w:val="1"/>
          <w:color w:val="auto"/>
        </w:rPr>
        <w:t>NON-COMPETITION AGREEMENT</w:t>
      </w:r>
    </w:p>
    <w:p>
      <w:pPr>
        <w:spacing w:after="0" w:line="225" w:lineRule="exact"/>
        <w:rPr>
          <w:sz w:val="20"/>
          <w:szCs w:val="20"/>
          <w:color w:val="auto"/>
        </w:rPr>
      </w:pPr>
    </w:p>
    <w:p>
      <w:pPr>
        <w:ind w:right="60" w:firstLine="991"/>
        <w:spacing w:after="0" w:line="303" w:lineRule="auto"/>
        <w:rPr>
          <w:sz w:val="20"/>
          <w:szCs w:val="20"/>
          <w:color w:val="auto"/>
        </w:rPr>
      </w:pPr>
      <w:r>
        <w:rPr>
          <w:rFonts w:ascii="Arial" w:cs="Arial" w:eastAsia="Arial" w:hAnsi="Arial"/>
          <w:sz w:val="16"/>
          <w:szCs w:val="16"/>
          <w:color w:val="auto"/>
        </w:rPr>
        <w:t>This Non-Competition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September 27, 2019, by and between NetEase, Inc., a company incorporated under the laws of the Cayman Islands (“</w:t>
      </w:r>
      <w:r>
        <w:rPr>
          <w:rFonts w:ascii="Arial" w:cs="Arial" w:eastAsia="Arial" w:hAnsi="Arial"/>
          <w:sz w:val="16"/>
          <w:szCs w:val="16"/>
          <w:b w:val="1"/>
          <w:bCs w:val="1"/>
          <w:color w:val="auto"/>
        </w:rPr>
        <w:t>NetEase</w:t>
      </w:r>
      <w:r>
        <w:rPr>
          <w:rFonts w:ascii="Arial" w:cs="Arial" w:eastAsia="Arial" w:hAnsi="Arial"/>
          <w:sz w:val="16"/>
          <w:szCs w:val="16"/>
          <w:color w:val="auto"/>
        </w:rPr>
        <w:t>”), on behalf of itself and other members of the NetEase Group (as defined below), and Youdao, Inc., a company incorporated under the laws of the Cayman Islands (“</w:t>
      </w:r>
      <w:r>
        <w:rPr>
          <w:rFonts w:ascii="Arial" w:cs="Arial" w:eastAsia="Arial" w:hAnsi="Arial"/>
          <w:sz w:val="16"/>
          <w:szCs w:val="16"/>
          <w:b w:val="1"/>
          <w:bCs w:val="1"/>
          <w:color w:val="auto"/>
        </w:rPr>
        <w:t>Youdao</w:t>
      </w:r>
      <w:r>
        <w:rPr>
          <w:rFonts w:ascii="Arial" w:cs="Arial" w:eastAsia="Arial" w:hAnsi="Arial"/>
          <w:sz w:val="16"/>
          <w:szCs w:val="16"/>
          <w:color w:val="auto"/>
        </w:rPr>
        <w:t>”), on behalf of itself and other members of the Youdao Group (as defined below) (each of NetEase and Youdao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as of the date hereof, Youdao is Controlled by NetEase;</w:t>
      </w:r>
    </w:p>
    <w:p>
      <w:pPr>
        <w:spacing w:after="0" w:line="221" w:lineRule="exact"/>
        <w:rPr>
          <w:sz w:val="20"/>
          <w:szCs w:val="20"/>
          <w:color w:val="auto"/>
        </w:rPr>
      </w:pPr>
    </w:p>
    <w:p>
      <w:pPr>
        <w:ind w:right="100" w:firstLine="991"/>
        <w:spacing w:after="0" w:line="347" w:lineRule="auto"/>
        <w:rPr>
          <w:sz w:val="20"/>
          <w:szCs w:val="20"/>
          <w:color w:val="auto"/>
        </w:rPr>
      </w:pPr>
      <w:r>
        <w:rPr>
          <w:rFonts w:ascii="Arial" w:cs="Arial" w:eastAsia="Arial" w:hAnsi="Arial"/>
          <w:sz w:val="16"/>
          <w:szCs w:val="16"/>
          <w:color w:val="auto"/>
        </w:rPr>
        <w:t>WHEREAS, the Parties currently contemplate that Youdao will make an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pursuant to a Registration Statement on Form F-1 (as so filed, and as amended thereafter from time to time, the “</w:t>
      </w:r>
      <w:r>
        <w:rPr>
          <w:rFonts w:ascii="Arial" w:cs="Arial" w:eastAsia="Arial" w:hAnsi="Arial"/>
          <w:sz w:val="16"/>
          <w:szCs w:val="16"/>
          <w:b w:val="1"/>
          <w:bCs w:val="1"/>
          <w:color w:val="auto"/>
        </w:rPr>
        <w:t>IPO Registration Statement</w:t>
      </w:r>
      <w:r>
        <w:rPr>
          <w:rFonts w:ascii="Arial" w:cs="Arial" w:eastAsia="Arial" w:hAnsi="Arial"/>
          <w:sz w:val="16"/>
          <w:szCs w:val="16"/>
          <w:color w:val="auto"/>
        </w:rPr>
        <w:t>”); and</w:t>
      </w:r>
    </w:p>
    <w:p>
      <w:pPr>
        <w:spacing w:after="0" w:line="12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WHEREAS, the Parties intend in this Agreement to set forth the terms and conditions with respect to their agreement on non-competition, among other things, from and after the consummation of the IPO.</w:t>
      </w:r>
    </w:p>
    <w:p>
      <w:pPr>
        <w:spacing w:after="0" w:line="170" w:lineRule="exact"/>
        <w:rPr>
          <w:sz w:val="20"/>
          <w:szCs w:val="20"/>
          <w:color w:val="auto"/>
        </w:rPr>
      </w:pPr>
    </w:p>
    <w:p>
      <w:pPr>
        <w:ind w:right="720" w:firstLine="991"/>
        <w:spacing w:after="0" w:line="277" w:lineRule="auto"/>
        <w:rPr>
          <w:sz w:val="20"/>
          <w:szCs w:val="20"/>
          <w:color w:val="auto"/>
        </w:rPr>
      </w:pPr>
      <w:r>
        <w:rPr>
          <w:rFonts w:ascii="Arial" w:cs="Arial" w:eastAsia="Arial" w:hAnsi="Arial"/>
          <w:sz w:val="18"/>
          <w:szCs w:val="18"/>
          <w:color w:val="auto"/>
        </w:rPr>
        <w:t>NOW, THEREFORE, in consideration of the foregoing recitals, the mutual agreements, covenants and provisions contained in this Agreement, the Parties, intending to be legally bound, agree as follows: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and not otherwise defined herein will have the meanings ascribed to such terms in the Master Transaction Agreement. Capitalized terms used in the Schedules but not otherwise defined therein, will have the meaning ascribed to such word in this Agreement. For purposes of this Agreement, the following words and phrases will have the following meanings:</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ADSs</w:t>
      </w:r>
      <w:r>
        <w:rPr>
          <w:rFonts w:ascii="Arial" w:cs="Arial" w:eastAsia="Arial" w:hAnsi="Arial"/>
          <w:sz w:val="18"/>
          <w:szCs w:val="18"/>
          <w:color w:val="auto"/>
        </w:rPr>
        <w:t>” means American depositary shares representing ordinary shares of Youdao to be offered in the IPO.</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12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as used with respect to any Person, the possession, directly or indirectly, of the power to direct or cause the direction of the management and policies of such Person, whether through ownership of voting securities or other interests, by contract or otherwise; the terms “Controlled by” and “under common Control with” shall have correlative meanings.</w:t>
      </w:r>
    </w:p>
    <w:p>
      <w:pPr>
        <w:spacing w:after="0" w:line="158" w:lineRule="exact"/>
        <w:rPr>
          <w:sz w:val="20"/>
          <w:szCs w:val="20"/>
          <w:color w:val="auto"/>
        </w:rPr>
      </w:pPr>
    </w:p>
    <w:p>
      <w:pPr>
        <w:ind w:right="2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Ending Date</w:t>
      </w:r>
      <w:r>
        <w:rPr>
          <w:rFonts w:ascii="Arial" w:cs="Arial" w:eastAsia="Arial" w:hAnsi="Arial"/>
          <w:sz w:val="18"/>
          <w:szCs w:val="18"/>
          <w:color w:val="auto"/>
        </w:rPr>
        <w:t>” means the earlier of (i) the first date upon which members of the NetEase Group no longer collectively own at least twenty percent (20%) of the voting power of the then outstanding voting securities of Youdao and (ii) the first date upon which NetEase, collectively with the other members of the NetEase Group, ceases to be the largest beneficial owner of the then outstanding voting securities of Youdao.</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57" w:name="page258"/>
    <w:bookmarkEnd w:id="257"/>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4.6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has the meaning set forth in Section 4.6 of this Agreement.</w:t>
      </w:r>
    </w:p>
    <w:p>
      <w:pPr>
        <w:spacing w:after="0" w:line="225"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provincial, municipal or local government, administrative or regulatory body or department, court, tribunal, arbitrator or any body that exercises the function of a regulator.</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1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Completion Date</w:t>
      </w:r>
      <w:r>
        <w:rPr>
          <w:rFonts w:ascii="Arial" w:cs="Arial" w:eastAsia="Arial" w:hAnsi="Arial"/>
          <w:sz w:val="18"/>
          <w:szCs w:val="18"/>
          <w:color w:val="auto"/>
        </w:rPr>
        <w:t>” means the closing date of the IPO, on which the delivery of and payment for the securities offered by Youdao (excluding securities offered by Youdao upon underwriter(s)’ exercise of over-allotment option) in connection with the IPO will take place.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Registration Statement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Entities</w:t>
      </w:r>
      <w:r>
        <w:rPr>
          <w:rFonts w:ascii="Arial" w:cs="Arial" w:eastAsia="Arial" w:hAnsi="Arial"/>
          <w:sz w:val="18"/>
          <w:szCs w:val="18"/>
          <w:color w:val="auto"/>
        </w:rPr>
        <w:t>” means members of the NetEase Group that are (i) directly or indirectly beneficially jointly-owned by NetEase and Blizzard Entertainment, Inc., (ii) dedicated for the cooperation between NetEase and Mojang AB, (iii) directly or indirectly beneficially jointly-owned by NetEase and Niantic International Technology Limited, or (iv) any assignees or successors of the entities described in items (i), (ii) or (iii) above.</w:t>
      </w:r>
    </w:p>
    <w:p>
      <w:pPr>
        <w:spacing w:after="0" w:line="180"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means the Master Transaction Agreement between the Parties dated the date hereof, as the same may be amended and supplemented in accordance with the provisions thereof.</w:t>
      </w:r>
    </w:p>
    <w:p>
      <w:pPr>
        <w:spacing w:after="0" w:line="162"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Business</w:t>
      </w:r>
      <w:r>
        <w:rPr>
          <w:rFonts w:ascii="Arial" w:cs="Arial" w:eastAsia="Arial" w:hAnsi="Arial"/>
          <w:sz w:val="18"/>
          <w:szCs w:val="18"/>
          <w:color w:val="auto"/>
        </w:rPr>
        <w:t>” means any business that is conducted by the NetEase Group as of the date hereof and any business that is derived from the foregoing businesses; for the avoidance of doubt, “NetEase Business” shall not include the Online Learning Business.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Group</w:t>
      </w:r>
      <w:r>
        <w:rPr>
          <w:rFonts w:ascii="Arial" w:cs="Arial" w:eastAsia="Arial" w:hAnsi="Arial"/>
          <w:sz w:val="18"/>
          <w:szCs w:val="18"/>
          <w:color w:val="auto"/>
        </w:rPr>
        <w:t>” means NetEase and its Subsidiaries and VIEs, other than the Youdao Group.</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Non-Competition Period</w:t>
      </w:r>
      <w:r>
        <w:rPr>
          <w:rFonts w:ascii="Arial" w:cs="Arial" w:eastAsia="Arial" w:hAnsi="Arial"/>
          <w:sz w:val="17"/>
          <w:szCs w:val="17"/>
          <w:color w:val="auto"/>
        </w:rPr>
        <w:t>” means the period beginning from the IPO Completion Date and ending on the earlier of:</w:t>
      </w:r>
    </w:p>
    <w:p>
      <w:pPr>
        <w:spacing w:after="0" w:line="241" w:lineRule="exact"/>
        <w:rPr>
          <w:sz w:val="20"/>
          <w:szCs w:val="20"/>
          <w:color w:val="auto"/>
        </w:rPr>
      </w:pPr>
    </w:p>
    <w:p>
      <w:pPr>
        <w:ind w:left="1000"/>
        <w:spacing w:after="0"/>
        <w:tabs>
          <w:tab w:leader="none" w:pos="1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five (5) years after the Control Ending Date;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58" w:name="page259"/>
    <w:bookmarkEnd w:id="258"/>
    <w:p>
      <w:pPr>
        <w:ind w:firstLine="999"/>
        <w:spacing w:after="0" w:line="277" w:lineRule="auto"/>
        <w:tabs>
          <w:tab w:leader="none" w:pos="13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date on which the ADSs cease to be listed on the Nasdaq Global Market or the New York Stock Exchange (except for temporary suspension of trading of the ADSs); and</w:t>
      </w:r>
    </w:p>
    <w:p>
      <w:pPr>
        <w:spacing w:after="0" w:line="170" w:lineRule="exact"/>
        <w:rPr>
          <w:rFonts w:ascii="Arial" w:cs="Arial" w:eastAsia="Arial" w:hAnsi="Arial"/>
          <w:sz w:val="18"/>
          <w:szCs w:val="18"/>
          <w:color w:val="auto"/>
        </w:rPr>
      </w:pPr>
    </w:p>
    <w:p>
      <w:pPr>
        <w:ind w:left="1380" w:hanging="381"/>
        <w:spacing w:after="0"/>
        <w:tabs>
          <w:tab w:leader="none" w:pos="13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tenth (10</w:t>
      </w:r>
      <w:r>
        <w:rPr>
          <w:rFonts w:ascii="Arial" w:cs="Arial" w:eastAsia="Arial" w:hAnsi="Arial"/>
          <w:sz w:val="15"/>
          <w:szCs w:val="15"/>
          <w:color w:val="auto"/>
        </w:rPr>
        <w:t>th</w:t>
      </w:r>
      <w:r>
        <w:rPr>
          <w:rFonts w:ascii="Arial" w:cs="Arial" w:eastAsia="Arial" w:hAnsi="Arial"/>
          <w:sz w:val="18"/>
          <w:szCs w:val="18"/>
          <w:color w:val="auto"/>
        </w:rPr>
        <w:t>) anniversary of the IPO Completion Date.</w:t>
      </w:r>
    </w:p>
    <w:p>
      <w:pPr>
        <w:spacing w:after="0" w:line="221"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Online Learning Business</w:t>
      </w:r>
      <w:r>
        <w:rPr>
          <w:rFonts w:ascii="Arial" w:cs="Arial" w:eastAsia="Arial" w:hAnsi="Arial"/>
          <w:sz w:val="17"/>
          <w:szCs w:val="17"/>
          <w:color w:val="auto"/>
        </w:rPr>
        <w:t>” means the provision of online learning products (including online knowledge tools and smart devices) and online learning services (including online courses and interactive learning apps) by the Youdao Group as of the date hereof, as more completely described in the IPO Registration Statement; for the avoidance of doubt, “Online Learning Business” shall not include development and operation of online games, emails, e-commerce business, FinTech services, music applications, online reading, news and information, information security, SaaS, NetEase open online courses, the K-12 curriculum course offered by the NetEase Group as of the date hereof, films, and television programs.</w:t>
      </w:r>
    </w:p>
    <w:p>
      <w:pPr>
        <w:spacing w:after="0" w:line="173" w:lineRule="exact"/>
        <w:rPr>
          <w:sz w:val="20"/>
          <w:szCs w:val="20"/>
          <w:color w:val="auto"/>
        </w:rPr>
      </w:pPr>
    </w:p>
    <w:p>
      <w:pPr>
        <w:ind w:right="30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a Governmental Authority or any department, agency or political subdivision thereof.</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given Person, any Person of which the given Person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Controls.</w:t>
      </w:r>
    </w:p>
    <w:p>
      <w:pPr>
        <w:spacing w:after="0" w:line="207" w:lineRule="exact"/>
        <w:rPr>
          <w:sz w:val="20"/>
          <w:szCs w:val="20"/>
          <w:color w:val="auto"/>
        </w:rPr>
      </w:pPr>
    </w:p>
    <w:p>
      <w:pPr>
        <w:jc w:val="both"/>
        <w:ind w:right="34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w:t>
      </w:r>
      <w:r>
        <w:rPr>
          <w:rFonts w:ascii="Arial" w:cs="Arial" w:eastAsia="Arial" w:hAnsi="Arial"/>
          <w:sz w:val="18"/>
          <w:szCs w:val="18"/>
          <w:color w:val="auto"/>
        </w:rPr>
        <w:t>” of any Person means any entity that is Controlled by such Person and is deemed to be a variable interest entity consolidated with such Person for purposes of generally accepted accounting principles in the United States as in effect from time to time.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Group</w:t>
      </w:r>
      <w:r>
        <w:rPr>
          <w:rFonts w:ascii="Arial" w:cs="Arial" w:eastAsia="Arial" w:hAnsi="Arial"/>
          <w:sz w:val="18"/>
          <w:szCs w:val="18"/>
          <w:color w:val="auto"/>
        </w:rPr>
        <w:t>” means Youdao and its Subsidiaries and VIEs.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NON-COMPETITION</w:t>
      </w:r>
    </w:p>
    <w:p>
      <w:pPr>
        <w:spacing w:after="0" w:line="229"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Undertaking of the NetEase Group</w:t>
      </w:r>
      <w:r>
        <w:rPr>
          <w:rFonts w:ascii="Arial" w:cs="Arial" w:eastAsia="Arial" w:hAnsi="Arial"/>
          <w:sz w:val="18"/>
          <w:szCs w:val="18"/>
          <w:color w:val="auto"/>
        </w:rPr>
        <w:t>. Subject to Section 3.1, during the Non-Competition Period, NetEase will not, and will cause each of the other members of the NetEase Group (other than the JV Entities) not to, other than through the Youdao Group, directly or indirectly be engaged, invest, participate or otherwise be interested in, whether on its own account or with each other or in conjunction with or on behalf of any Person, the Online Learning Business. Notwithstanding the foregoing, any member of the NetEase Group shall not be prohibited from:</w:t>
      </w:r>
    </w:p>
    <w:p>
      <w:pPr>
        <w:spacing w:after="0" w:line="188" w:lineRule="exact"/>
        <w:rPr>
          <w:sz w:val="20"/>
          <w:szCs w:val="20"/>
          <w:color w:val="auto"/>
        </w:rPr>
      </w:pPr>
    </w:p>
    <w:p>
      <w:pPr>
        <w:ind w:left="1820" w:hanging="380"/>
        <w:spacing w:after="0"/>
        <w:tabs>
          <w:tab w:leader="none" w:pos="18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being engaged in the Online Learning Business through contracts, engagements with or on behalf of any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Youdao Group;</w:t>
      </w:r>
    </w:p>
    <w:p>
      <w:pPr>
        <w:spacing w:after="0" w:line="211" w:lineRule="exact"/>
        <w:rPr>
          <w:sz w:val="20"/>
          <w:szCs w:val="20"/>
          <w:color w:val="auto"/>
        </w:rPr>
      </w:pPr>
    </w:p>
    <w:p>
      <w:pPr>
        <w:ind w:left="1840" w:hanging="400"/>
        <w:spacing w:after="0"/>
        <w:tabs>
          <w:tab w:leader="none" w:pos="18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continue to engage in the NetEase Business;</w:t>
      </w:r>
    </w:p>
    <w:p>
      <w:pPr>
        <w:spacing w:after="0" w:line="225" w:lineRule="exact"/>
        <w:rPr>
          <w:rFonts w:ascii="Arial" w:cs="Arial" w:eastAsia="Arial" w:hAnsi="Arial"/>
          <w:sz w:val="18"/>
          <w:szCs w:val="18"/>
          <w:color w:val="auto"/>
        </w:rPr>
      </w:pPr>
    </w:p>
    <w:p>
      <w:pPr>
        <w:ind w:right="80" w:firstLine="1440"/>
        <w:spacing w:after="0" w:line="255" w:lineRule="auto"/>
        <w:tabs>
          <w:tab w:leader="none" w:pos="181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holding shares, investing or otherwise being interested in, beneficially or of record, no more than 50% (calculated on an aggregate basis combining any such ownership by any other members of the NetEase Group) of the equity or its equivalent of any company (other than Youdao) that engages in any business that is of the same nature as the Online Learning Business; provided that the NetEase Group does not have the ability to appoint or remove a majority of the directors of the board (or equivalent governing body) or members of senior management (or the right to control the votes at a meeting of the board (or equivalent governing body)) of such company; or</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59" w:name="page260"/>
    <w:bookmarkEnd w:id="259"/>
    <w:p>
      <w:pPr>
        <w:ind w:left="1440"/>
        <w:spacing w:after="0"/>
        <w:tabs>
          <w:tab w:leader="none" w:pos="18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engaging in any other business that both Parties may agree from time to time.</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Undertaking of the Youdao Group</w:t>
      </w:r>
      <w:r>
        <w:rPr>
          <w:rFonts w:ascii="Arial" w:cs="Arial" w:eastAsia="Arial" w:hAnsi="Arial"/>
          <w:sz w:val="18"/>
          <w:szCs w:val="18"/>
          <w:color w:val="auto"/>
        </w:rPr>
        <w:t>. Subject to Section 3.2, during the Non-Competition Period, Youdao will not, and will cause each of the other members of the Youdao Group not to, directly or indirectly be engaged, invest, participate or otherwise be interested in, whether on its own account or with each other or in conjunction with or on behalf of any Person, (i) the NetEase Business or (ii) any business that is of the similar nature as the NetEase Business. Notwithstanding the foregoing, any member of the Youdao Group shall not be prohibited from:</w:t>
      </w:r>
    </w:p>
    <w:p>
      <w:pPr>
        <w:spacing w:after="0" w:line="188" w:lineRule="exact"/>
        <w:rPr>
          <w:sz w:val="20"/>
          <w:szCs w:val="20"/>
          <w:color w:val="auto"/>
        </w:rPr>
      </w:pPr>
    </w:p>
    <w:p>
      <w:pPr>
        <w:ind w:right="460" w:firstLine="1440"/>
        <w:spacing w:after="0" w:line="277" w:lineRule="auto"/>
        <w:tabs>
          <w:tab w:leader="none" w:pos="181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being engaged in the NetEase Business or any business that is of the same nature as the NetEase Business through contracts, engagements with or on behalf of any member of the NetEase Group;</w:t>
      </w:r>
    </w:p>
    <w:p>
      <w:pPr>
        <w:spacing w:after="0" w:line="170" w:lineRule="exact"/>
        <w:rPr>
          <w:rFonts w:ascii="Arial" w:cs="Arial" w:eastAsia="Arial" w:hAnsi="Arial"/>
          <w:sz w:val="18"/>
          <w:szCs w:val="18"/>
          <w:color w:val="auto"/>
        </w:rPr>
      </w:pPr>
    </w:p>
    <w:p>
      <w:pPr>
        <w:ind w:left="1840" w:hanging="400"/>
        <w:spacing w:after="0"/>
        <w:tabs>
          <w:tab w:leader="none" w:pos="18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continue to engage in any business that it operates as of the date hereof;</w:t>
      </w:r>
    </w:p>
    <w:p>
      <w:pPr>
        <w:spacing w:after="0" w:line="225" w:lineRule="exact"/>
        <w:rPr>
          <w:rFonts w:ascii="Arial" w:cs="Arial" w:eastAsia="Arial" w:hAnsi="Arial"/>
          <w:sz w:val="18"/>
          <w:szCs w:val="18"/>
          <w:color w:val="auto"/>
        </w:rPr>
      </w:pPr>
    </w:p>
    <w:p>
      <w:pPr>
        <w:ind w:right="60" w:firstLine="1440"/>
        <w:spacing w:after="0" w:line="296" w:lineRule="auto"/>
        <w:tabs>
          <w:tab w:leader="none" w:pos="1812" w:val="left"/>
        </w:tabs>
        <w:numPr>
          <w:ilvl w:val="0"/>
          <w:numId w:val="173"/>
        </w:numPr>
        <w:rPr>
          <w:rFonts w:ascii="Arial" w:cs="Arial" w:eastAsia="Arial" w:hAnsi="Arial"/>
          <w:sz w:val="16"/>
          <w:szCs w:val="16"/>
          <w:color w:val="auto"/>
        </w:rPr>
      </w:pPr>
      <w:r>
        <w:rPr>
          <w:rFonts w:ascii="Arial" w:cs="Arial" w:eastAsia="Arial" w:hAnsi="Arial"/>
          <w:sz w:val="16"/>
          <w:szCs w:val="16"/>
          <w:color w:val="auto"/>
        </w:rPr>
        <w:t>holding shares, investing or otherwise being interested in, beneficially or of record, no more than 50% (calculated on an aggregate basis combining any such ownership by any other members of the Youdao Group) of the equity or its equivalent of any company that engages in any business that is of the same nature as the NetEase Business; provided that the Youdao Group does not have the ability to appoint or remove a majority of the directors of the board (or equivalent governing body) or members of senior management (or the right to control the votes at a meeting of the board (or equivalent governing body)) of such company; or</w:t>
      </w:r>
    </w:p>
    <w:p>
      <w:pPr>
        <w:spacing w:after="0" w:line="161" w:lineRule="exact"/>
        <w:rPr>
          <w:rFonts w:ascii="Arial" w:cs="Arial" w:eastAsia="Arial" w:hAnsi="Arial"/>
          <w:sz w:val="16"/>
          <w:szCs w:val="16"/>
          <w:color w:val="auto"/>
        </w:rPr>
      </w:pPr>
    </w:p>
    <w:p>
      <w:pPr>
        <w:ind w:left="1840" w:hanging="400"/>
        <w:spacing w:after="0"/>
        <w:tabs>
          <w:tab w:leader="none" w:pos="18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engaging in any other business that both Parties may agree from time to time.</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Interpretation</w:t>
      </w:r>
      <w:r>
        <w:rPr>
          <w:rFonts w:ascii="Arial" w:cs="Arial" w:eastAsia="Arial" w:hAnsi="Arial"/>
          <w:sz w:val="18"/>
          <w:szCs w:val="18"/>
          <w:color w:val="auto"/>
        </w:rPr>
        <w:t>. Should there be any ambiguity or lack of clarify in the scope of business subject to the non-competition restrictions under this Article, the interpretations of NetEase shall prevail.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BUSINESS OPPORTUNITIES</w:t>
      </w:r>
    </w:p>
    <w:p>
      <w:pPr>
        <w:spacing w:after="0" w:line="229"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Youdao’s Right</w:t>
      </w:r>
      <w:r>
        <w:rPr>
          <w:rFonts w:ascii="Arial" w:cs="Arial" w:eastAsia="Arial" w:hAnsi="Arial"/>
          <w:sz w:val="16"/>
          <w:szCs w:val="16"/>
          <w:color w:val="auto"/>
        </w:rPr>
        <w:t>.</w:t>
      </w:r>
    </w:p>
    <w:p>
      <w:pPr>
        <w:spacing w:after="0" w:line="225" w:lineRule="exact"/>
        <w:rPr>
          <w:sz w:val="20"/>
          <w:szCs w:val="20"/>
          <w:color w:val="auto"/>
        </w:rPr>
      </w:pPr>
    </w:p>
    <w:p>
      <w:pPr>
        <w:ind w:firstLine="1440"/>
        <w:spacing w:after="0" w:line="275" w:lineRule="auto"/>
        <w:tabs>
          <w:tab w:leader="none" w:pos="1812" w:val="left"/>
        </w:tabs>
        <w:numPr>
          <w:ilvl w:val="1"/>
          <w:numId w:val="174"/>
        </w:numPr>
        <w:rPr>
          <w:rFonts w:ascii="Arial" w:cs="Arial" w:eastAsia="Arial" w:hAnsi="Arial"/>
          <w:sz w:val="17"/>
          <w:szCs w:val="17"/>
          <w:color w:val="auto"/>
        </w:rPr>
      </w:pPr>
      <w:r>
        <w:rPr>
          <w:rFonts w:ascii="Arial" w:cs="Arial" w:eastAsia="Arial" w:hAnsi="Arial"/>
          <w:sz w:val="17"/>
          <w:szCs w:val="17"/>
          <w:color w:val="auto"/>
        </w:rPr>
        <w:t>NetEase hereby irrevocably and unconditionally undertakes with Youdao that during the Non-Competition Period, in the event any member of the NetEase Group (other than the JV Entities) has any business opportunity that relates to the Online Learning Business, except those opportunities relating to the exceptions set forth in Section 2.1(a) to Section 2.1(d), NetEase shall and shall procure other members of NetEase Group (other than the JV Entities) to inform Youdao of such opportunity in writing with all available information as soon as practicable and shall assist Youdao Group in obtaining such opportunity.</w:t>
      </w:r>
    </w:p>
    <w:p>
      <w:pPr>
        <w:spacing w:after="0" w:line="176" w:lineRule="exact"/>
        <w:rPr>
          <w:rFonts w:ascii="Arial" w:cs="Arial" w:eastAsia="Arial" w:hAnsi="Arial"/>
          <w:sz w:val="17"/>
          <w:szCs w:val="17"/>
          <w:color w:val="auto"/>
        </w:rPr>
      </w:pPr>
    </w:p>
    <w:p>
      <w:pPr>
        <w:ind w:right="20" w:firstLine="1440"/>
        <w:spacing w:after="0" w:line="287" w:lineRule="auto"/>
        <w:tabs>
          <w:tab w:leader="none" w:pos="1822"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In the event that the board of directors of Youdao (excluding any directors with positions at the NetEase Group) or the representative duly authorized by the board of directors of Youdao decides not to or otherwise fails to timely notify NetEase in writing that any member of the Youdao Group intends to take up such opportunity as referred to in the foregoing Section within thirty</w:t>
      </w:r>
    </w:p>
    <w:p>
      <w:pPr>
        <w:spacing w:after="0" w:line="2" w:lineRule="exact"/>
        <w:rPr>
          <w:rFonts w:ascii="Arial" w:cs="Arial" w:eastAsia="Arial" w:hAnsi="Arial"/>
          <w:sz w:val="16"/>
          <w:szCs w:val="16"/>
          <w:color w:val="auto"/>
        </w:rPr>
      </w:pPr>
    </w:p>
    <w:p>
      <w:pPr>
        <w:ind w:right="240" w:firstLine="9"/>
        <w:spacing w:after="0" w:line="290" w:lineRule="auto"/>
        <w:tabs>
          <w:tab w:leader="none" w:pos="34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calendar days of being so informed, the NetEase Group may take up such opportunity and the involvement by any member of the NetEase Group in the business derived from such opportunity shall not be regarded as a breach of this Agreement.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60" w:name="page261"/>
    <w:bookmarkEnd w:id="260"/>
    <w:p>
      <w:pPr>
        <w:ind w:right="40" w:firstLine="1440"/>
        <w:spacing w:after="0" w:line="288" w:lineRule="auto"/>
        <w:tabs>
          <w:tab w:leader="none" w:pos="1812"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NetEase further irrevocably and unconditionally undertakes with Youdao that during the Non-Competition Period, in the event any member of the NetEase Group (other than the JV Entities) has the opportunity to acquire interests in a company (other than Youdao) that engages in any business that is of the same nature as the Online Learning Business, except for the businesses set forth in Section 2.1(b) and Section 2.1(d), such that it will have an aggregate interest exceeding 50% of the equity or its equivalent of such company or will acquire the right to appoint or remove a majority of the directors of the board (or equivalent governing body) or members of senior management (or the right to control the votes at a meeting of the board (or equivalent governing body)) of such company, NetEase shall and shall procure other members of NetEase Group (other than the JV Entities) to first offer the right to acquire such interests to Youdao. In the event that Youdao elects not to or otherwise fails to timely notify NetEase in writing that any member of the Youdao Group intends to take up such right within thirty (30) calendar days of being so offered, the NetEase Group may proceed to acquire such interests and such acquisition by any member of the NetEase Group shall not be regarded as a breach of this Agreement.</w:t>
      </w:r>
    </w:p>
    <w:p>
      <w:pPr>
        <w:spacing w:after="0" w:line="168"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NetEase’s Right</w:t>
      </w:r>
      <w:r>
        <w:rPr>
          <w:rFonts w:ascii="Arial" w:cs="Arial" w:eastAsia="Arial" w:hAnsi="Arial"/>
          <w:sz w:val="16"/>
          <w:szCs w:val="16"/>
          <w:color w:val="auto"/>
        </w:rPr>
        <w:t>.</w:t>
      </w:r>
    </w:p>
    <w:p>
      <w:pPr>
        <w:spacing w:after="0" w:line="225" w:lineRule="exact"/>
        <w:rPr>
          <w:sz w:val="20"/>
          <w:szCs w:val="20"/>
          <w:color w:val="auto"/>
        </w:rPr>
      </w:pPr>
    </w:p>
    <w:p>
      <w:pPr>
        <w:ind w:right="60" w:firstLine="1440"/>
        <w:spacing w:after="0" w:line="296" w:lineRule="auto"/>
        <w:tabs>
          <w:tab w:leader="none" w:pos="180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Youdao hereby irrevocably and unconditionally undertakes with NetEase that during the Non-Competition Period, in the event any member of the Youdao Group has any business opportunity that (i) relates to the NetEase Business or (ii) relates to any business that is of the similar nature as the NetEase Business, except those opportunities relating to the exceptions set forth in Section 2.2(a) to Section 2.2(d), Youdao shall and shall procure other members of the Youdao Group to inform NetEase of such opportunity in writing with all available information as soon as practicable and shall assist NetEase Group in obtaining such opportunity.</w:t>
      </w:r>
    </w:p>
    <w:p>
      <w:pPr>
        <w:spacing w:after="0" w:line="161" w:lineRule="exact"/>
        <w:rPr>
          <w:rFonts w:ascii="Arial" w:cs="Arial" w:eastAsia="Arial" w:hAnsi="Arial"/>
          <w:sz w:val="16"/>
          <w:szCs w:val="16"/>
          <w:color w:val="auto"/>
        </w:rPr>
      </w:pPr>
    </w:p>
    <w:p>
      <w:pPr>
        <w:ind w:firstLine="1440"/>
        <w:spacing w:after="0" w:line="296" w:lineRule="auto"/>
        <w:tabs>
          <w:tab w:leader="none" w:pos="186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In the event that the board of directors of NetEase (excluding any directors with positions at the Youdao Group with conflicted interests) or the representative duly authorized by the board of directors of NetEase decides not to or otherwise fails to timely notify Youdao in writing that any member of the NetEase Group intends to take up such opportunity as referred to in the foregoing Section within thirty (30) calendar days of being so informed, the Youdao Group may take up such opportunity and the involvement by any member of the Youdao Group in the business derived from such opportunity shall not be regarded as a breach of this Agreement.</w:t>
      </w:r>
    </w:p>
    <w:p>
      <w:pPr>
        <w:spacing w:after="0" w:line="161" w:lineRule="exact"/>
        <w:rPr>
          <w:rFonts w:ascii="Arial" w:cs="Arial" w:eastAsia="Arial" w:hAnsi="Arial"/>
          <w:sz w:val="16"/>
          <w:szCs w:val="16"/>
          <w:color w:val="auto"/>
        </w:rPr>
      </w:pPr>
    </w:p>
    <w:p>
      <w:pPr>
        <w:ind w:right="20" w:firstLine="1440"/>
        <w:spacing w:after="0" w:line="269" w:lineRule="auto"/>
        <w:tabs>
          <w:tab w:leader="none" w:pos="180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Youdao further irrevocably and unconditionally undertakes with NetEase that during the Non-Competition Period, in the event any member of the Youdao Group has the opportunity to acquire interests in a company that engages in any business that is of the same nature as the NetEase Business except for the businesses set forth in Section 2.2(b) and Section 2.2(d), such that it will have an aggregate interest exceeding 50% of the equity or its equivalent of such company or will acquire the right to appoint or remove a majority of the directors of the board (or equivalent governing body) or members of senior management (or the right to control the votes at a meeting of the board (or equivalent governing body)) of such company, Youdao shall and shall procure other members of the Youdao Group to first offer the right to acquire such interests to NetEase. In the event that NetEase elects not to or otherwise fails to timely notify Youdao in writing that any member of the NetEase Group intends to take up such right within thirty (30) calendar days of being so offered, the Youdao Group may proceed to acquire such interests and such acquisition by any member of the Youdao Group shall not be regarded as a breach of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61" w:name="page262"/>
    <w:bookmarkEnd w:id="261"/>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NON-SOLICITATION</w:t>
      </w:r>
    </w:p>
    <w:p>
      <w:pPr>
        <w:spacing w:after="0" w:line="229"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Non-Solicitation by NetEase</w:t>
      </w:r>
      <w:r>
        <w:rPr>
          <w:rFonts w:ascii="Arial" w:cs="Arial" w:eastAsia="Arial" w:hAnsi="Arial"/>
          <w:sz w:val="16"/>
          <w:szCs w:val="16"/>
          <w:color w:val="auto"/>
        </w:rPr>
        <w:t>. During the Non-Competition Period, NetEase will not, and will cause each other member of the NetEase Group (other than the JV Entities) not to, directly or indirectly, hire, or solicit for hire, any active employees of or individuals providing consulting services to any member of the Youdao Group, or any former employees of or individuals providing consulting services to any member of the Youdao Group within six months of the termination of their employment with or consulting services to the member of the Youdao Group, without Youdao’s consent; provided that the foregoing shall not prohibit any solicitation activities through generalized non-targeted advertisement not directed to such employees or individuals that do not result in the hiring of any such employees or individuals by the NetEase Group within the Non-Competition Period. In addition, during the Non-Competition Period, NetEase will not, and will cause each other member of the NetEase Group (other than the JV Entities) not to, directly or indirectly, solicit business within the scope of the Online Learning Business, except for the businesses set forth in</w:t>
      </w:r>
    </w:p>
    <w:p>
      <w:pPr>
        <w:spacing w:after="0" w:line="6"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Section 2.1(a), Section 2.1(b) and Section 2.1(d), from any customer, supplier, distributor of, or a Person in a similar commercial relationship with any member of the Youdao Group.</w:t>
      </w:r>
    </w:p>
    <w:p>
      <w:pPr>
        <w:spacing w:after="0" w:line="18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Non-Solicitation by Youdao</w:t>
      </w:r>
      <w:r>
        <w:rPr>
          <w:rFonts w:ascii="Arial" w:cs="Arial" w:eastAsia="Arial" w:hAnsi="Arial"/>
          <w:sz w:val="17"/>
          <w:szCs w:val="17"/>
          <w:color w:val="auto"/>
        </w:rPr>
        <w:t>. During the Non-Competition Period, Youdao will not, and will cause each other member of the Youdao Group not to, directly or indirectly, solicit or hire any active employees of or individuals providing consulting services to any member of the NetEase Group, or any former employees of or individuals providing consulting services to any member of the NetEase Group within six months of the termination of their employment with or consulting to the member of the NetEase Group, without NetEase’s consent; provided that the foregoing shall not prohibit any solicitation activities through generalized non-targeted advertisement not directed to such employees or individuals that do not result in the hiring of any such employees or individuals by the Youdao Group within the Non-Competition Period. In addition, during the Non-Competition Period, Youdao will not, and will cause each other member of the Youdao Group not to, directly or indirectly, solicit business within the scope of the NetEase Business, except for the businesses set forth in Section 2.2(a), Section 2.2(b) and Section 2.2(d), from any customer, supplier, distributor of, or a Person in a similar commercial relationship with any member of NetEase Group.</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Consent</w:t>
      </w:r>
      <w:r>
        <w:rPr>
          <w:rFonts w:ascii="Arial" w:cs="Arial" w:eastAsia="Arial" w:hAnsi="Arial"/>
          <w:sz w:val="16"/>
          <w:szCs w:val="16"/>
          <w:color w:val="auto"/>
        </w:rPr>
        <w:t>. Any consent of a Party pursuant to this Agreement shall not be effective unless it is in writing and evidenced by the signature of the Chief Executive Officer or Chief Financial Officer of such Party (or such other person that the Chief Executive Officer, Chief Financial Officer or board of directors of such Party has specifically authorized in writing to give such consent).</w:t>
      </w:r>
    </w:p>
    <w:p>
      <w:pPr>
        <w:spacing w:after="0" w:line="149"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by mutual written consent of the Parties, evidenced by an instrument in writing signed on behalf of each of the Parties. This Agreement shall automatically terminate upon the expiration of the Non-Competition Period.</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62" w:name="page263"/>
    <w:bookmarkEnd w:id="262"/>
    <w:p>
      <w:pPr>
        <w:ind w:right="320" w:firstLine="991"/>
        <w:spacing w:after="0" w:line="277"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except by an instrument in writing executed by a duly authorized representative of each Party.</w:t>
      </w:r>
    </w:p>
    <w:p>
      <w:pPr>
        <w:spacing w:after="0" w:line="170"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Notices, offers, requests or other communications required or permitted to be given by a Party pursuant to the terms of this Agreement shall be given in writing to the other Party to the addresses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to such other address, facsimile number or email address as the Party to whom notice is given may have previously furnished to the other in writing as provided herein. Any notice involving non-performance or termination shall be sent by hand delivery or recognized courier. All other notices may also be sent by facsimile or email, confirmed by mail. All notices shall be deemed to have been given when received, if hand delivered; when transmitted, if transmitted by facsimile or email; upon confirmation of delivery, if sent by recognized courier; and upon receipt if mailed.</w:t>
      </w:r>
    </w:p>
    <w:p>
      <w:pPr>
        <w:spacing w:after="0" w:line="19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New York, U.S.A.</w:t>
      </w:r>
    </w:p>
    <w:p>
      <w:pPr>
        <w:spacing w:after="0" w:line="170"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Dispute Resolution</w:t>
      </w:r>
      <w:r>
        <w:rPr>
          <w:rFonts w:ascii="Arial" w:cs="Arial" w:eastAsia="Arial" w:hAnsi="Arial"/>
          <w:sz w:val="18"/>
          <w:szCs w:val="18"/>
          <w:color w:val="auto"/>
        </w:rPr>
        <w:t>. Any dispute, controversy, difference or claim arising out of or relating to this Agreement, including the existence, validity, interpretation, performance, breach or termination thereof or any dispute regarding non-contractual obligations arising out of or relating to it (“</w:t>
      </w:r>
      <w:r>
        <w:rPr>
          <w:rFonts w:ascii="Arial" w:cs="Arial" w:eastAsia="Arial" w:hAnsi="Arial"/>
          <w:sz w:val="18"/>
          <w:szCs w:val="18"/>
          <w:b w:val="1"/>
          <w:bCs w:val="1"/>
          <w:color w:val="auto"/>
        </w:rPr>
        <w:t>Dispute</w:t>
      </w:r>
      <w:r>
        <w:rPr>
          <w:rFonts w:ascii="Arial" w:cs="Arial" w:eastAsia="Arial" w:hAnsi="Arial"/>
          <w:sz w:val="18"/>
          <w:szCs w:val="18"/>
          <w:color w:val="auto"/>
        </w:rPr>
        <w:t>”) which arises between the Parties shall first be negotiated between appropriate senior executives of each Party who shall have the authority to resolve the matter. Such executives shall meet to attempt in good faith to negotiate a resolution of the Dispute prior to pursuing other available remedies, within ten (10) calendar days of receipt by a Party of written notice of a Dispute, which date of receipt shall be referred to herein as the “</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Discussions and correspondence relating to trying to resolve such Dispute shall be conducted on a without prejudice basis, treated as Confidential Information, shall be exempt from discovery or production, and shall not be admissible in any subsequent proceeding between the Parties.</w:t>
      </w:r>
    </w:p>
    <w:p>
      <w:pPr>
        <w:spacing w:after="0" w:line="196" w:lineRule="exact"/>
        <w:rPr>
          <w:sz w:val="20"/>
          <w:szCs w:val="20"/>
          <w:color w:val="auto"/>
        </w:rPr>
      </w:pPr>
    </w:p>
    <w:p>
      <w:pPr>
        <w:ind w:right="220" w:firstLine="1440"/>
        <w:spacing w:after="0" w:line="259" w:lineRule="auto"/>
        <w:tabs>
          <w:tab w:leader="none" w:pos="181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the senior executives are unable to resolve the Dispute within sixty (60) calendar days from the Dispute Resolution Commencement Date, the exclusive means of continuing to pursue resolution of the Dispute is to submit the Dispute to the boards of directors of NetEase and Youdao. Representatives of each board of directors shall meet as soon as practicable to attempt in good faith to negotiate a resolution of the Dispute.</w:t>
      </w:r>
    </w:p>
    <w:p>
      <w:pPr>
        <w:spacing w:after="0" w:line="186" w:lineRule="exact"/>
        <w:rPr>
          <w:rFonts w:ascii="Arial" w:cs="Arial" w:eastAsia="Arial" w:hAnsi="Arial"/>
          <w:sz w:val="18"/>
          <w:szCs w:val="18"/>
          <w:color w:val="auto"/>
        </w:rPr>
      </w:pPr>
    </w:p>
    <w:p>
      <w:pPr>
        <w:ind w:firstLine="1440"/>
        <w:spacing w:after="0" w:line="272" w:lineRule="auto"/>
        <w:tabs>
          <w:tab w:leader="none" w:pos="182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representatives of the two boards of directors are unable to resolve the Dispute within 120 calendar days from the Dispute Resolution Commencement Date, the exclusive means of continuing to pursue resolution of the Dispute is for any Party to initiate mediation pursuant to the Commercial Mediation Procedures of the American Arbitration Association, which shall apply to the conduct of the mediation, including the method of appointment of a mediator. Both Parties will share the administrative costs of the mediation and the mediator’s fees and expenses equally, and each Party shall bear all of its other costs and expenses related to the mediation, including but not limited to attorney’s fees, witness fees, and travel expenses. The mediation shall take place in English in Beijing, China or in whatever alternative forum on which the Parties may agree.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63" w:name="page264"/>
    <w:bookmarkEnd w:id="263"/>
    <w:p>
      <w:pPr>
        <w:ind w:right="20" w:firstLine="1440"/>
        <w:spacing w:after="0" w:line="270" w:lineRule="auto"/>
        <w:tabs>
          <w:tab w:leader="none" w:pos="1812"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 Parties cannot resolve any Dispute through mediation within forty-five (45) calendar days after the appointment of the mediator (or the earlier withdrawal thereof), the exclusive means of pursuing final resolution of the Dispute is for any Party to commence an arbitration administered by the Hong Kong International Arbitration Centre under the Hong Kong International Arbitration Centre Administered Arbitration Rules (the “</w:t>
      </w:r>
      <w:r>
        <w:rPr>
          <w:rFonts w:ascii="Arial" w:cs="Arial" w:eastAsia="Arial" w:hAnsi="Arial"/>
          <w:sz w:val="17"/>
          <w:szCs w:val="17"/>
          <w:b w:val="1"/>
          <w:bCs w:val="1"/>
          <w:color w:val="auto"/>
        </w:rPr>
        <w:t>HKIAC Rules</w:t>
      </w:r>
      <w:r>
        <w:rPr>
          <w:rFonts w:ascii="Arial" w:cs="Arial" w:eastAsia="Arial" w:hAnsi="Arial"/>
          <w:sz w:val="17"/>
          <w:szCs w:val="17"/>
          <w:color w:val="auto"/>
        </w:rPr>
        <w:t>”) in force at the time when the notice of arbitration is submitted. There shall be three (3) arbitrators selected pursuant to the HKIAC Rules. The presiding arbitrator shall be qualified to practice law in New York. The place and seat of arbitration shall be Hong Kong. The law of this arbitration clause shall be Hong Kong law. The award of the arbitral tribunal shall be final and binding upon the parties thereto, and the prevailing party may apply to a court of competent jurisdiction for enforcement of such award. Nothing contained herein shall preclude any Party from seeking provisional, interim or conservatory measures (including injunctive relief) from any court of competent jurisdiction.</w:t>
      </w:r>
    </w:p>
    <w:p>
      <w:pPr>
        <w:spacing w:after="0" w:line="181" w:lineRule="exact"/>
        <w:rPr>
          <w:sz w:val="20"/>
          <w:szCs w:val="20"/>
          <w:color w:val="auto"/>
        </w:rPr>
      </w:pPr>
    </w:p>
    <w:p>
      <w:pPr>
        <w:jc w:val="both"/>
        <w:ind w:right="40" w:firstLine="991"/>
        <w:spacing w:after="0" w:line="263" w:lineRule="auto"/>
        <w:rPr>
          <w:sz w:val="20"/>
          <w:szCs w:val="20"/>
          <w:color w:val="auto"/>
        </w:rPr>
      </w:pPr>
      <w:r>
        <w:rPr>
          <w:rFonts w:ascii="Arial" w:cs="Arial" w:eastAsia="Arial" w:hAnsi="Arial"/>
          <w:sz w:val="18"/>
          <w:szCs w:val="18"/>
          <w:color w:val="auto"/>
        </w:rPr>
        <w:t>Unless otherwise agreed in writing, the Parties will continue to provide service and honor all other commitments under this Agreement during the course of dispute resolution pursuant to the provisions of this Section 4.6 with respect to all matters not subject to such Dispute, controversy or claim.</w:t>
      </w:r>
    </w:p>
    <w:p>
      <w:pPr>
        <w:spacing w:after="0" w:line="184"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Authority</w:t>
      </w:r>
      <w:r>
        <w:rPr>
          <w:rFonts w:ascii="Arial" w:cs="Arial" w:eastAsia="Arial" w:hAnsi="Arial"/>
          <w:sz w:val="18"/>
          <w:szCs w:val="18"/>
          <w:color w:val="auto"/>
        </w:rPr>
        <w:t>. Each of the Parties hereto represents to the others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92"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hereto agree that irreparable damage would occur if any provisions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87"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together with all the Schedules attached hereto, constitute the entire agreement between the Parties with respect to the subject matter hereof and thereof and supersede all previous agreements, negotiations, discussions, writings, understandings, commitments and conversations with respect to the subject matter hereof and thereof..</w:t>
      </w:r>
    </w:p>
    <w:p>
      <w:pPr>
        <w:spacing w:after="0" w:line="149"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of this Agreement or the Schedules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64" w:name="page265"/>
    <w:bookmarkEnd w:id="264"/>
    <w:p>
      <w:pPr>
        <w:ind w:right="60" w:firstLine="991"/>
        <w:spacing w:after="0" w:line="275"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Failure or Indulgence not Waiver; Remedies Cumulative</w:t>
      </w:r>
      <w:r>
        <w:rPr>
          <w:rFonts w:ascii="Arial" w:cs="Arial" w:eastAsia="Arial" w:hAnsi="Arial"/>
          <w:sz w:val="17"/>
          <w:szCs w:val="17"/>
          <w:color w:val="auto"/>
        </w:rPr>
        <w:t>.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Schedules attached hereto are cumulative to, and not exclusive of, any rights or remedies otherwise available.</w:t>
      </w:r>
    </w:p>
    <w:p>
      <w:pPr>
        <w:spacing w:after="0" w:line="17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xml:space="preserve">. This Agreement shall inure to the benefit of and be binding upon the Parties hereto and their respective legal representatives, successors and permitted assigns, and nothing in this Agreement, express or implied, is intended to confer upon any other Person any rights or remedies of any nature whatsoever under or by reason of this Agreement. No Party may assign this Agreement or any rights or obligations hereunder, without the prior written consent of the other Party, and any such assignment without such consent shall be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each Party may assign this Agreement to a successor entity in conjunction with such Party’s reincorporation in another jurisdiction or into another business form.</w:t>
      </w:r>
    </w:p>
    <w:p>
      <w:pPr>
        <w:spacing w:after="0" w:line="164"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Inconsistency</w:t>
      </w:r>
      <w:r>
        <w:rPr>
          <w:rFonts w:ascii="Arial" w:cs="Arial" w:eastAsia="Arial" w:hAnsi="Arial"/>
          <w:sz w:val="17"/>
          <w:szCs w:val="17"/>
          <w:color w:val="auto"/>
        </w:rPr>
        <w:t>. Neither the making nor the acceptance of this Agreement will enlarge, restrict or otherwise modify the terms of the Master Transaction Agreement or constitute a waiver or release by any Party of any liabilities, obligations or commitments imposed upon them by the terms of the Master Transaction Agreement, including the representations, warranties, covenants, agreements and other provisions of the Master Transaction Agreement. In the event of any conflict between the terms of this Agreement, on the one hand, and the terms of the Master Transaction Agreement, on the other hand, with respect to the subject matters of this Agreement, the terms of this Agreement will control.</w:t>
      </w:r>
    </w:p>
    <w:p>
      <w:pPr>
        <w:spacing w:after="0" w:line="178"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Heading</w:t>
      </w:r>
      <w:r>
        <w:rPr>
          <w:rFonts w:ascii="Arial" w:cs="Arial" w:eastAsia="Arial" w:hAnsi="Arial"/>
          <w:sz w:val="18"/>
          <w:szCs w:val="18"/>
          <w:color w:val="auto"/>
        </w:rPr>
        <w:t>. The headings contained in this Agreement or in the Schedules attached hereto and in the table of contents to this Agreement are for reference purposes only and shall not in any way limit or affect the meaning or interpretation of any of the terms in this Agreement.</w:t>
      </w:r>
    </w:p>
    <w:p>
      <w:pPr>
        <w:spacing w:after="0" w:line="184"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5.15 </w:t>
      </w:r>
      <w:r>
        <w:rPr>
          <w:rFonts w:ascii="Arial" w:cs="Arial" w:eastAsia="Arial" w:hAnsi="Arial"/>
          <w:sz w:val="17"/>
          <w:szCs w:val="17"/>
          <w:u w:val="single" w:color="auto"/>
          <w:color w:val="auto"/>
        </w:rPr>
        <w:t>Interpretation</w:t>
      </w:r>
      <w:r>
        <w:rPr>
          <w:rFonts w:ascii="Arial" w:cs="Arial" w:eastAsia="Arial" w:hAnsi="Arial"/>
          <w:sz w:val="17"/>
          <w:szCs w:val="17"/>
          <w:color w:val="auto"/>
        </w:rPr>
        <w:t>. For all purposes of this Agreement: (i) all references in this Agreement to designated “Sections” and other subdivisions are to the designated Sections and other subdivisions of the body of this Agreement unless otherwise indicated; (ii) the words “herein”, “hereof” and “hereunder” and other words of similar import refer to this Agreement as a whole and not to any particular Section or other subdivision; (iii) “or” is not exclusive; (iv) “including” and “includes” will be deemed to be followed by “but not limited to” and “but is not limited to”, respectively; (v) any definition of, or reference to, any law, agreement, instrument or other document herein will be construed as referring to such law, agreement, instrument or other document as from time to time amended, supplemented or otherwise modified; and (vi) any definition of, or reference to, any statute will be construed as referring also to any rules and regulations promulgated thereunder.</w:t>
      </w:r>
    </w:p>
    <w:p>
      <w:pPr>
        <w:spacing w:after="0" w:line="17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of this Agreement by facsimile or other electronic imaging means will be effective as delivery of a manually executed counterpart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65" w:name="page266"/>
    <w:bookmarkEnd w:id="265"/>
    <w:p>
      <w:pPr>
        <w:ind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each acting under due and proper authority, have executed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month and year first above written.</w:t>
      </w:r>
    </w:p>
    <w:p>
      <w:pPr>
        <w:spacing w:after="0" w:line="20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NetEase,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Name:William Lei Ding</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 and Chief Executive Officer</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Youdao,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Name:Feng Zhou</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Executive Officer, Director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Non-Competition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641985</wp:posOffset>
            </wp:positionV>
            <wp:extent cx="629221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4.55</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COOPERATION FRAMEWORK AGREEMENT</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YOUDAO,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788670</wp:posOffset>
            </wp:positionV>
            <wp:extent cx="6292215"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68" w:name="page269"/>
    <w:bookmarkEnd w:id="268"/>
    <w:tbl>
      <w:tblPr>
        <w:tblLayout w:type="fixed"/>
        <w:tblInd w:w="0" w:type="dxa"/>
        <w:tblCellMar>
          <w:top w:w="0" w:type="dxa"/>
          <w:left w:w="0" w:type="dxa"/>
          <w:bottom w:w="0" w:type="dxa"/>
          <w:right w:w="0" w:type="dxa"/>
        </w:tblCellMar>
      </w:tblPr>
      <w:tr>
        <w:trPr>
          <w:trHeight w:val="234"/>
        </w:trPr>
        <w:tc>
          <w:tcPr>
            <w:tcW w:w="788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2040" w:type="dxa"/>
            <w:vAlign w:val="bottom"/>
          </w:tcPr>
          <w:p>
            <w:pPr>
              <w:spacing w:after="0"/>
              <w:rPr>
                <w:sz w:val="20"/>
                <w:szCs w:val="20"/>
                <w:color w:val="auto"/>
              </w:rPr>
            </w:pPr>
          </w:p>
        </w:tc>
      </w:tr>
      <w:tr>
        <w:trPr>
          <w:trHeight w:val="418"/>
        </w:trPr>
        <w:tc>
          <w:tcPr>
            <w:tcW w:w="7880" w:type="dxa"/>
            <w:vAlign w:val="bottom"/>
          </w:tcPr>
          <w:p>
            <w:pPr>
              <w:spacing w:after="0"/>
              <w:rPr>
                <w:sz w:val="20"/>
                <w:szCs w:val="20"/>
                <w:color w:val="auto"/>
              </w:rPr>
            </w:pPr>
            <w:r>
              <w:rPr>
                <w:rFonts w:ascii="Arial" w:cs="Arial" w:eastAsia="Arial" w:hAnsi="Arial"/>
                <w:sz w:val="18"/>
                <w:szCs w:val="18"/>
                <w:color w:val="auto"/>
              </w:rPr>
              <w:t>ARTICLE 1 DEFINITIONS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2 COOPERATION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3 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4 TERM</w:t>
            </w:r>
          </w:p>
        </w:tc>
        <w:tc>
          <w:tcPr>
            <w:tcW w:w="2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5 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6 DEFAULTING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ARTICLE 7 FORCE MAJEURE</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ARTICLE 8 MISCELLANEOUS</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9" w:name="page270"/>
    <w:bookmarkEnd w:id="269"/>
    <w:p>
      <w:pPr>
        <w:jc w:val="center"/>
        <w:ind w:right="-79"/>
        <w:spacing w:after="0"/>
        <w:rPr>
          <w:sz w:val="20"/>
          <w:szCs w:val="20"/>
          <w:color w:val="auto"/>
        </w:rPr>
      </w:pPr>
      <w:r>
        <w:rPr>
          <w:rFonts w:ascii="Arial" w:cs="Arial" w:eastAsia="Arial" w:hAnsi="Arial"/>
          <w:sz w:val="18"/>
          <w:szCs w:val="18"/>
          <w:b w:val="1"/>
          <w:bCs w:val="1"/>
          <w:color w:val="auto"/>
        </w:rPr>
        <w:t>COOPERATION FRAMEWORK AGREEMENT</w:t>
      </w:r>
    </w:p>
    <w:p>
      <w:pPr>
        <w:spacing w:after="0" w:line="225" w:lineRule="exact"/>
        <w:rPr>
          <w:sz w:val="20"/>
          <w:szCs w:val="20"/>
          <w:color w:val="auto"/>
        </w:rPr>
      </w:pPr>
    </w:p>
    <w:p>
      <w:pPr>
        <w:ind w:right="20" w:firstLine="985"/>
        <w:spacing w:after="0" w:line="303" w:lineRule="auto"/>
        <w:rPr>
          <w:sz w:val="20"/>
          <w:szCs w:val="20"/>
          <w:color w:val="auto"/>
        </w:rPr>
      </w:pPr>
      <w:r>
        <w:rPr>
          <w:rFonts w:ascii="Arial" w:cs="Arial" w:eastAsia="Arial" w:hAnsi="Arial"/>
          <w:sz w:val="16"/>
          <w:szCs w:val="16"/>
          <w:color w:val="auto"/>
        </w:rPr>
        <w:t>This Cooperation Framework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dated as of September 27, 2019, by and between NetEase, Inc., a company incorporated under the laws of the Cayman Islands (“</w:t>
      </w:r>
      <w:r>
        <w:rPr>
          <w:rFonts w:ascii="Arial" w:cs="Arial" w:eastAsia="Arial" w:hAnsi="Arial"/>
          <w:sz w:val="16"/>
          <w:szCs w:val="16"/>
          <w:b w:val="1"/>
          <w:bCs w:val="1"/>
          <w:color w:val="auto"/>
        </w:rPr>
        <w:t>NetEase</w:t>
      </w:r>
      <w:r>
        <w:rPr>
          <w:rFonts w:ascii="Arial" w:cs="Arial" w:eastAsia="Arial" w:hAnsi="Arial"/>
          <w:sz w:val="16"/>
          <w:szCs w:val="16"/>
          <w:color w:val="auto"/>
        </w:rPr>
        <w:t>”), on behalf of itself and other members of the NetEase Group (as defined below), and Youdao, Inc., a company incorporated under the laws of the Cayman Islands (“</w:t>
      </w:r>
      <w:r>
        <w:rPr>
          <w:rFonts w:ascii="Arial" w:cs="Arial" w:eastAsia="Arial" w:hAnsi="Arial"/>
          <w:sz w:val="16"/>
          <w:szCs w:val="16"/>
          <w:b w:val="1"/>
          <w:bCs w:val="1"/>
          <w:color w:val="auto"/>
        </w:rPr>
        <w:t>Youdao</w:t>
      </w:r>
      <w:r>
        <w:rPr>
          <w:rFonts w:ascii="Arial" w:cs="Arial" w:eastAsia="Arial" w:hAnsi="Arial"/>
          <w:sz w:val="16"/>
          <w:szCs w:val="16"/>
          <w:color w:val="auto"/>
        </w:rPr>
        <w:t>”), on behalf of itself and other members of the Youdao Group (as defined below) (each of NetEase and Youdao a “</w:t>
      </w:r>
      <w:r>
        <w:rPr>
          <w:rFonts w:ascii="Arial" w:cs="Arial" w:eastAsia="Arial" w:hAnsi="Arial"/>
          <w:sz w:val="16"/>
          <w:szCs w:val="16"/>
          <w:b w:val="1"/>
          <w:bCs w:val="1"/>
          <w:color w:val="auto"/>
        </w:rPr>
        <w:t>Party</w:t>
      </w:r>
      <w:r>
        <w:rPr>
          <w:rFonts w:ascii="Arial" w:cs="Arial" w:eastAsia="Arial" w:hAnsi="Arial"/>
          <w:sz w:val="16"/>
          <w:szCs w:val="16"/>
          <w:color w:val="auto"/>
        </w:rPr>
        <w:t>” and, together,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as of the date hereof, Youdao is Controlled by NetEase;</w:t>
      </w:r>
    </w:p>
    <w:p>
      <w:pPr>
        <w:spacing w:after="0" w:line="221" w:lineRule="exact"/>
        <w:rPr>
          <w:sz w:val="20"/>
          <w:szCs w:val="20"/>
          <w:color w:val="auto"/>
        </w:rPr>
      </w:pPr>
    </w:p>
    <w:p>
      <w:pPr>
        <w:ind w:right="160" w:firstLine="985"/>
        <w:spacing w:after="0" w:line="282" w:lineRule="auto"/>
        <w:rPr>
          <w:sz w:val="20"/>
          <w:szCs w:val="20"/>
          <w:color w:val="auto"/>
        </w:rPr>
      </w:pPr>
      <w:r>
        <w:rPr>
          <w:rFonts w:ascii="Arial" w:cs="Arial" w:eastAsia="Arial" w:hAnsi="Arial"/>
          <w:sz w:val="18"/>
          <w:szCs w:val="18"/>
          <w:color w:val="auto"/>
        </w:rPr>
        <w:t>WHEREAS, the Parties currently contemplate that Youdao will make an initial public offering (the “</w:t>
      </w:r>
      <w:r>
        <w:rPr>
          <w:rFonts w:ascii="Arial" w:cs="Arial" w:eastAsia="Arial" w:hAnsi="Arial"/>
          <w:sz w:val="18"/>
          <w:szCs w:val="18"/>
          <w:b w:val="1"/>
          <w:bCs w:val="1"/>
          <w:color w:val="auto"/>
        </w:rPr>
        <w:t>IPO</w:t>
      </w:r>
      <w:r>
        <w:rPr>
          <w:rFonts w:ascii="Arial" w:cs="Arial" w:eastAsia="Arial" w:hAnsi="Arial"/>
          <w:sz w:val="18"/>
          <w:szCs w:val="18"/>
          <w:color w:val="auto"/>
        </w:rPr>
        <w:t>”) pursuant to a Registration Statement on Form F-1;</w:t>
      </w:r>
    </w:p>
    <w:p>
      <w:pPr>
        <w:spacing w:after="0" w:line="166" w:lineRule="exact"/>
        <w:rPr>
          <w:sz w:val="20"/>
          <w:szCs w:val="20"/>
          <w:color w:val="auto"/>
        </w:rPr>
      </w:pPr>
    </w:p>
    <w:p>
      <w:pPr>
        <w:ind w:firstLine="985"/>
        <w:spacing w:after="0" w:line="263" w:lineRule="auto"/>
        <w:rPr>
          <w:sz w:val="20"/>
          <w:szCs w:val="20"/>
          <w:color w:val="auto"/>
        </w:rPr>
      </w:pPr>
      <w:r>
        <w:rPr>
          <w:rFonts w:ascii="Arial" w:cs="Arial" w:eastAsia="Arial" w:hAnsi="Arial"/>
          <w:sz w:val="18"/>
          <w:szCs w:val="18"/>
          <w:color w:val="auto"/>
        </w:rPr>
        <w:t>WHEREAS, NetEase and Youdao have entered into that certain Master Transaction Agreement, dated as of the date hereof (the “</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which sets forth the principal arrangements between NetEase and Youdao regarding their relationship from and after the consummation of the IPO; and</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the Parties desire to continue to cooperate with each other in various aspects of their businesses.</w:t>
      </w:r>
    </w:p>
    <w:p>
      <w:pPr>
        <w:spacing w:after="0" w:line="225" w:lineRule="exact"/>
        <w:rPr>
          <w:sz w:val="20"/>
          <w:szCs w:val="20"/>
          <w:color w:val="auto"/>
        </w:rPr>
      </w:pPr>
    </w:p>
    <w:p>
      <w:pPr>
        <w:ind w:right="360" w:firstLine="985"/>
        <w:spacing w:after="0" w:line="263" w:lineRule="auto"/>
        <w:rPr>
          <w:sz w:val="20"/>
          <w:szCs w:val="20"/>
          <w:color w:val="auto"/>
        </w:rPr>
      </w:pPr>
      <w:r>
        <w:rPr>
          <w:rFonts w:ascii="Arial" w:cs="Arial" w:eastAsia="Arial" w:hAnsi="Arial"/>
          <w:sz w:val="18"/>
          <w:szCs w:val="18"/>
          <w:color w:val="auto"/>
        </w:rPr>
        <w:t>NOW, THEREFORE, in consideration of the foregoing recitals, the mutual agreements, covenants and provisions contained in this Agreement and the transactions contemplated by the Master Transaction Agreement, the receipt and sufficiency of which are acknowledged, the Parties, intending to be legally bound, agree as follows: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firstLine="985"/>
        <w:spacing w:after="0" w:line="263" w:lineRule="auto"/>
        <w:rPr>
          <w:sz w:val="20"/>
          <w:szCs w:val="20"/>
          <w:color w:val="auto"/>
        </w:rPr>
      </w:pPr>
      <w:r>
        <w:rPr>
          <w:rFonts w:ascii="Arial" w:cs="Arial" w:eastAsia="Arial" w:hAnsi="Arial"/>
          <w:sz w:val="18"/>
          <w:szCs w:val="18"/>
          <w:color w:val="auto"/>
        </w:rPr>
        <w:t>Section 1.1 Capitalized terms used and not otherwise defined herein will have the meanings ascribed to such terms in the Master Transaction Agreement. Unless otherwise specified in this Agreement, in this Agreement, the following terms shall have the meanings prescribed thereto below.</w:t>
      </w:r>
    </w:p>
    <w:p>
      <w:pPr>
        <w:spacing w:after="0" w:line="180" w:lineRule="exact"/>
        <w:rPr>
          <w:sz w:val="20"/>
          <w:szCs w:val="20"/>
          <w:color w:val="auto"/>
        </w:rPr>
      </w:pPr>
    </w:p>
    <w:p>
      <w:pPr>
        <w:ind w:right="180" w:firstLine="98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any Person means a Person that Controls, is Controlled by, or is under common Control with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under this Agreement, “Affiliate” of any member of the NetEase Group excludes members of the Youdao Group,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any member of the Youdao Group excludes members of the NetEase Group.</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60" w:firstLine="985"/>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as used with respect to any Person, the possession, directly or indirectly, of the power to direct or cause the direction of the management and policies of such Person, whether through ownership of voting securities or other interests, by contract or otherwise; the terms “Controlled by” and “under common Control with” shall have correlative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270" w:name="page271"/>
    <w:bookmarkEnd w:id="270"/>
    <w:p>
      <w:pPr>
        <w:ind w:right="160" w:firstLine="985"/>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Ending Date</w:t>
      </w:r>
      <w:r>
        <w:rPr>
          <w:rFonts w:ascii="Arial" w:cs="Arial" w:eastAsia="Arial" w:hAnsi="Arial"/>
          <w:sz w:val="18"/>
          <w:szCs w:val="18"/>
          <w:color w:val="auto"/>
        </w:rPr>
        <w:t>” means the earlier of (i) the first date upon which members of the NetEase Group no longer collectively own at least twenty percent (20%) of the voting power of the then outstanding voting securities of Youdao and (ii) the first date upon which NetEase, collectively with the other members of the NetEase Group, ceases to be the largest beneficial owner of the then outstanding voting securities of Youdao.</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8.4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has the meaning set forth in Section 9.4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prescribed thereto in Section 4.1 hereof.</w:t>
      </w:r>
    </w:p>
    <w:p>
      <w:pPr>
        <w:spacing w:after="0" w:line="225" w:lineRule="exact"/>
        <w:rPr>
          <w:sz w:val="20"/>
          <w:szCs w:val="20"/>
          <w:color w:val="auto"/>
        </w:rPr>
      </w:pPr>
    </w:p>
    <w:p>
      <w:pPr>
        <w:ind w:right="140" w:firstLine="985"/>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provincial, municipal or local government, administrative or regulatory body or department, court, tribunal, arbitrator or any body that exercises the function of a regulator.</w:t>
      </w:r>
    </w:p>
    <w:p>
      <w:pPr>
        <w:spacing w:after="0" w:line="1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Group</w:t>
      </w:r>
      <w:r>
        <w:rPr>
          <w:rFonts w:ascii="Arial" w:cs="Arial" w:eastAsia="Arial" w:hAnsi="Arial"/>
          <w:sz w:val="18"/>
          <w:szCs w:val="18"/>
          <w:color w:val="auto"/>
        </w:rPr>
        <w:t>” means NetEase and its Subsidiaries and VIEs, other than the Youdao Group.</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given Person, any Person of which the given Person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Controls.</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4.1 of this Agreement.</w:t>
      </w:r>
    </w:p>
    <w:p>
      <w:pPr>
        <w:spacing w:after="0" w:line="225" w:lineRule="exact"/>
        <w:rPr>
          <w:sz w:val="20"/>
          <w:szCs w:val="20"/>
          <w:color w:val="auto"/>
        </w:rPr>
      </w:pPr>
    </w:p>
    <w:p>
      <w:pPr>
        <w:jc w:val="both"/>
        <w:ind w:right="320" w:firstLine="985"/>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w:t>
      </w:r>
      <w:r>
        <w:rPr>
          <w:rFonts w:ascii="Arial" w:cs="Arial" w:eastAsia="Arial" w:hAnsi="Arial"/>
          <w:sz w:val="18"/>
          <w:szCs w:val="18"/>
          <w:color w:val="auto"/>
        </w:rPr>
        <w:t>” of any Person means any entity that is Controlled by such Person and is deemed to be a variable interest entity consolidated with such Person for purposes of generally accepted accounting principles in the United States as in effect from time to time.</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Group</w:t>
      </w:r>
      <w:r>
        <w:rPr>
          <w:rFonts w:ascii="Arial" w:cs="Arial" w:eastAsia="Arial" w:hAnsi="Arial"/>
          <w:sz w:val="18"/>
          <w:szCs w:val="18"/>
          <w:color w:val="auto"/>
        </w:rPr>
        <w:t>” means Youdao and its Subsidiaries and VIEs.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COOPERATION</w:t>
      </w:r>
    </w:p>
    <w:p>
      <w:pPr>
        <w:spacing w:after="0" w:line="229" w:lineRule="exact"/>
        <w:rPr>
          <w:sz w:val="20"/>
          <w:szCs w:val="20"/>
          <w:color w:val="auto"/>
        </w:rPr>
      </w:pPr>
    </w:p>
    <w:p>
      <w:pPr>
        <w:ind w:right="20" w:firstLine="985"/>
        <w:spacing w:after="0" w:line="259" w:lineRule="auto"/>
        <w:rPr>
          <w:sz w:val="20"/>
          <w:szCs w:val="20"/>
          <w:color w:val="auto"/>
        </w:rPr>
      </w:pPr>
      <w:r>
        <w:rPr>
          <w:rFonts w:ascii="Arial" w:cs="Arial" w:eastAsia="Arial" w:hAnsi="Arial"/>
          <w:sz w:val="18"/>
          <w:szCs w:val="18"/>
          <w:color w:val="auto"/>
        </w:rPr>
        <w:t>Section 2.1 The Parties agree to cooperate with each other in the marketing and promotion of each other’s products on their own platforms, including but not limited to NetEase’s media, email, games, e-commerce and music business and Youdao’s learning services and products and online marketing businesses, through means including but not limited to joint marketing and promotional activities, advertisement placement and display of links.</w:t>
      </w:r>
    </w:p>
    <w:p>
      <w:pPr>
        <w:spacing w:after="0" w:line="187" w:lineRule="exact"/>
        <w:rPr>
          <w:sz w:val="20"/>
          <w:szCs w:val="20"/>
          <w:color w:val="auto"/>
        </w:rPr>
      </w:pPr>
    </w:p>
    <w:p>
      <w:pPr>
        <w:ind w:firstLine="985"/>
        <w:spacing w:after="0" w:line="291" w:lineRule="auto"/>
        <w:rPr>
          <w:sz w:val="20"/>
          <w:szCs w:val="20"/>
          <w:color w:val="auto"/>
        </w:rPr>
      </w:pPr>
      <w:r>
        <w:rPr>
          <w:rFonts w:ascii="Arial" w:cs="Arial" w:eastAsia="Arial" w:hAnsi="Arial"/>
          <w:sz w:val="16"/>
          <w:szCs w:val="16"/>
          <w:color w:val="auto"/>
        </w:rPr>
        <w:t>Section 2.2 NetEase agrees to purchase translation services provided by the Youdao Group. Youdao covenants that it will use its best efforts, skill and experience in rendering such translation services in accordance with any specifications, guidelines or procedures requested by NetEase. Youdao further covenants that it shall perform such translation services in a timely, professional and workmanlike manner in accordance with industry-leading practices and standards. If NetEase advises Youdao that any translation services are not being performed satisfactorily, or that any of its specifications, guidelines, or procedures are not being followed, Youdao shall promptly take such steps as are necessary and appropriate to remedy such performance issues. If, after being so advised, Youdao is unable to remedy such performance issues, NetEase shall be entitled to seek and engage alternative providers of translation services.</w:t>
      </w: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271" w:name="page272"/>
    <w:bookmarkEnd w:id="271"/>
    <w:p>
      <w:pPr>
        <w:ind w:right="180" w:firstLine="985"/>
        <w:spacing w:after="0" w:line="286" w:lineRule="auto"/>
        <w:rPr>
          <w:sz w:val="20"/>
          <w:szCs w:val="20"/>
          <w:color w:val="auto"/>
        </w:rPr>
      </w:pPr>
      <w:r>
        <w:rPr>
          <w:rFonts w:ascii="Arial" w:cs="Arial" w:eastAsia="Arial" w:hAnsi="Arial"/>
          <w:sz w:val="17"/>
          <w:szCs w:val="17"/>
          <w:color w:val="auto"/>
        </w:rPr>
        <w:t>Section 2.3 Youdao agrees to (i) purchase from the NetEase Group certain products and services, including but not limited to online payment, copyrights in works on cloud reading, cloud-base security solutions and procurement of certain inventory or fixed assets, and (ii) lease from the NetEase Group real properties, in each case where Youdao deems appropriate.</w:t>
      </w:r>
    </w:p>
    <w:p>
      <w:pPr>
        <w:spacing w:after="0" w:line="165" w:lineRule="exact"/>
        <w:rPr>
          <w:sz w:val="20"/>
          <w:szCs w:val="20"/>
          <w:color w:val="auto"/>
        </w:rPr>
      </w:pPr>
    </w:p>
    <w:p>
      <w:pPr>
        <w:ind w:right="80" w:firstLine="985"/>
        <w:spacing w:after="0" w:line="277" w:lineRule="auto"/>
        <w:rPr>
          <w:sz w:val="20"/>
          <w:szCs w:val="20"/>
          <w:color w:val="auto"/>
        </w:rPr>
      </w:pPr>
      <w:r>
        <w:rPr>
          <w:rFonts w:ascii="Arial" w:cs="Arial" w:eastAsia="Arial" w:hAnsi="Arial"/>
          <w:sz w:val="18"/>
          <w:szCs w:val="18"/>
          <w:color w:val="auto"/>
        </w:rPr>
        <w:t>Section 2.4 NetEase hereby agrees to allow the NetEase Group’s users to log on the Youdao Group’s platforms with their NetEase passports.</w:t>
      </w:r>
    </w:p>
    <w:p>
      <w:pPr>
        <w:spacing w:after="0" w:line="170" w:lineRule="exact"/>
        <w:rPr>
          <w:sz w:val="20"/>
          <w:szCs w:val="20"/>
          <w:color w:val="auto"/>
        </w:rPr>
      </w:pPr>
    </w:p>
    <w:p>
      <w:pPr>
        <w:ind w:right="240" w:firstLine="985"/>
        <w:spacing w:after="0" w:line="311" w:lineRule="auto"/>
        <w:rPr>
          <w:sz w:val="20"/>
          <w:szCs w:val="20"/>
          <w:color w:val="auto"/>
        </w:rPr>
      </w:pPr>
      <w:r>
        <w:rPr>
          <w:rFonts w:ascii="Arial" w:cs="Arial" w:eastAsia="Arial" w:hAnsi="Arial"/>
          <w:sz w:val="16"/>
          <w:szCs w:val="16"/>
          <w:color w:val="auto"/>
        </w:rPr>
        <w:t>Section 2.5 With respect to the foregoing aspects of cooperation, the Parties will enter into and will procure each of its Subsidiaries and VIEs to enter into separate specific agreements from time to time as necessary and appropriate for the purpose of cooperation. Terms and conditions of such specific agreements will be subject to the consultation and mutual agreement of the Parties.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color w:val="auto"/>
        </w:rPr>
        <w:t>Each Party represents and warrants to the other Party that:</w:t>
      </w:r>
    </w:p>
    <w:p>
      <w:pPr>
        <w:spacing w:after="0" w:line="225" w:lineRule="exact"/>
        <w:rPr>
          <w:sz w:val="20"/>
          <w:szCs w:val="20"/>
          <w:color w:val="auto"/>
        </w:rPr>
      </w:pPr>
    </w:p>
    <w:p>
      <w:pPr>
        <w:ind w:right="600" w:firstLine="1434"/>
        <w:spacing w:after="0" w:line="277" w:lineRule="auto"/>
        <w:tabs>
          <w:tab w:leader="none" w:pos="18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is a limited liability company lawfully incorporated and validly existing under the laws of the Cayman Islands, having independent legal person status;</w:t>
      </w:r>
    </w:p>
    <w:p>
      <w:pPr>
        <w:spacing w:after="0" w:line="170" w:lineRule="exact"/>
        <w:rPr>
          <w:rFonts w:ascii="Arial" w:cs="Arial" w:eastAsia="Arial" w:hAnsi="Arial"/>
          <w:sz w:val="18"/>
          <w:szCs w:val="18"/>
          <w:color w:val="auto"/>
        </w:rPr>
      </w:pPr>
    </w:p>
    <w:p>
      <w:pPr>
        <w:ind w:right="200" w:firstLine="1434"/>
        <w:spacing w:after="0" w:line="277" w:lineRule="auto"/>
        <w:tabs>
          <w:tab w:leader="none" w:pos="18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has full and independent legal status and legal capacity to execute, deliver and perform this Agreement, and may be an independent party to a lawsuit;</w:t>
      </w:r>
    </w:p>
    <w:p>
      <w:pPr>
        <w:spacing w:after="0" w:line="170" w:lineRule="exact"/>
        <w:rPr>
          <w:rFonts w:ascii="Arial" w:cs="Arial" w:eastAsia="Arial" w:hAnsi="Arial"/>
          <w:sz w:val="18"/>
          <w:szCs w:val="18"/>
          <w:color w:val="auto"/>
        </w:rPr>
      </w:pPr>
    </w:p>
    <w:p>
      <w:pPr>
        <w:ind w:right="420" w:firstLine="1434"/>
        <w:spacing w:after="0" w:line="263" w:lineRule="auto"/>
        <w:tabs>
          <w:tab w:leader="none" w:pos="18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 has full internal corporate power and authorization to execute and deliver this Agreement and all other documents related to the transaction contemplated by this Agreement and to be executed by it; it has full power and authorization to consummate the transaction contemplated by this Agreement;</w:t>
      </w:r>
    </w:p>
    <w:p>
      <w:pPr>
        <w:spacing w:after="0" w:line="183" w:lineRule="exact"/>
        <w:rPr>
          <w:rFonts w:ascii="Arial" w:cs="Arial" w:eastAsia="Arial" w:hAnsi="Arial"/>
          <w:sz w:val="18"/>
          <w:szCs w:val="18"/>
          <w:color w:val="auto"/>
        </w:rPr>
      </w:pPr>
    </w:p>
    <w:p>
      <w:pPr>
        <w:ind w:right="400" w:firstLine="1434"/>
        <w:spacing w:after="0" w:line="277" w:lineRule="auto"/>
        <w:tabs>
          <w:tab w:leader="none" w:pos="18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this Agreement is lawfully and duly executed and delivered by it; this Agreement constitutes its lawful and binding obligations, enforceable against it according to the terms of this Agreement;</w:t>
      </w:r>
    </w:p>
    <w:p>
      <w:pPr>
        <w:spacing w:after="0" w:line="170" w:lineRule="exact"/>
        <w:rPr>
          <w:rFonts w:ascii="Arial" w:cs="Arial" w:eastAsia="Arial" w:hAnsi="Arial"/>
          <w:sz w:val="18"/>
          <w:szCs w:val="18"/>
          <w:color w:val="auto"/>
        </w:rPr>
      </w:pPr>
    </w:p>
    <w:p>
      <w:pPr>
        <w:jc w:val="both"/>
        <w:ind w:right="340" w:firstLine="1434"/>
        <w:spacing w:after="0" w:line="263" w:lineRule="auto"/>
        <w:tabs>
          <w:tab w:leader="none" w:pos="180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its execution, delivery and performance of this Agreement do not (i) violate its articles of association or any other constitutional documents, (ii) conflict with any agreement or contract or other document to which it is a party or its property is subject, or (iii) violate or conflict with any applicable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w:t>
      </w:r>
    </w:p>
    <w:p>
      <w:pPr>
        <w:spacing w:after="0" w:line="225" w:lineRule="exact"/>
        <w:rPr>
          <w:sz w:val="20"/>
          <w:szCs w:val="20"/>
          <w:color w:val="auto"/>
        </w:rPr>
      </w:pPr>
    </w:p>
    <w:p>
      <w:pPr>
        <w:ind w:firstLine="985"/>
        <w:spacing w:after="0" w:line="255" w:lineRule="auto"/>
        <w:rPr>
          <w:sz w:val="20"/>
          <w:szCs w:val="20"/>
          <w:color w:val="auto"/>
        </w:rPr>
      </w:pPr>
      <w:r>
        <w:rPr>
          <w:rFonts w:ascii="Arial" w:cs="Arial" w:eastAsia="Arial" w:hAnsi="Arial"/>
          <w:sz w:val="18"/>
          <w:szCs w:val="18"/>
          <w:color w:val="auto"/>
        </w:rPr>
        <w:t>Section 4.1 This Agreement shall come into effect on the closing date of the IPO (the “</w:t>
      </w:r>
      <w:r>
        <w:rPr>
          <w:rFonts w:ascii="Arial" w:cs="Arial" w:eastAsia="Arial" w:hAnsi="Arial"/>
          <w:sz w:val="18"/>
          <w:szCs w:val="18"/>
          <w:b w:val="1"/>
          <w:bCs w:val="1"/>
          <w:color w:val="auto"/>
        </w:rPr>
        <w:t>Effective Date</w:t>
      </w:r>
      <w:r>
        <w:rPr>
          <w:rFonts w:ascii="Arial" w:cs="Arial" w:eastAsia="Arial" w:hAnsi="Arial"/>
          <w:sz w:val="18"/>
          <w:szCs w:val="18"/>
          <w:color w:val="auto"/>
        </w:rPr>
        <w:t>”), on which the delivery of and payment for the securities offered by Youdao in connection with the IPO (excluding securities offered by Youdao upon underwriter(s)’ exercise of over-allotment option(s)) will take place. Unless this Agreement is terminated pursuant to the express provisions of this Agreement or as agreed by the Parties in writing, the valid term of this Agreement shall end on the earlier of (i) the fifteenth (15</w:t>
      </w:r>
      <w:r>
        <w:rPr>
          <w:rFonts w:ascii="Arial" w:cs="Arial" w:eastAsia="Arial" w:hAnsi="Arial"/>
          <w:sz w:val="15"/>
          <w:szCs w:val="15"/>
          <w:color w:val="auto"/>
        </w:rPr>
        <w:t>th</w:t>
      </w:r>
      <w:r>
        <w:rPr>
          <w:rFonts w:ascii="Arial" w:cs="Arial" w:eastAsia="Arial" w:hAnsi="Arial"/>
          <w:sz w:val="18"/>
          <w:szCs w:val="18"/>
          <w:color w:val="auto"/>
        </w:rPr>
        <w:t>) anniversary of the Effective Date, or (ii) five (5) years after the Control Ending Date (the “</w:t>
      </w:r>
      <w:r>
        <w:rPr>
          <w:rFonts w:ascii="Arial" w:cs="Arial" w:eastAsia="Arial" w:hAnsi="Arial"/>
          <w:sz w:val="18"/>
          <w:szCs w:val="18"/>
          <w:b w:val="1"/>
          <w:bCs w:val="1"/>
          <w:color w:val="auto"/>
        </w:rPr>
        <w:t>Term</w:t>
      </w:r>
      <w:r>
        <w:rPr>
          <w:rFonts w:ascii="Arial" w:cs="Arial" w:eastAsia="Arial" w:hAnsi="Arial"/>
          <w:sz w:val="18"/>
          <w:szCs w:val="18"/>
          <w:color w:val="auto"/>
        </w:rPr>
        <w:t>”). At least one (1) month prior to the expiration of the Term set forth above, the Parties shall consult each other on the extension of the Term, which may be mutually agreed to by the Parties in writing.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2" w:name="page273"/>
    <w:bookmarkEnd w:id="272"/>
    <w:p>
      <w:pPr>
        <w:ind w:right="240" w:firstLine="985"/>
        <w:spacing w:after="0" w:line="277" w:lineRule="auto"/>
        <w:rPr>
          <w:sz w:val="20"/>
          <w:szCs w:val="20"/>
          <w:color w:val="auto"/>
        </w:rPr>
      </w:pPr>
      <w:r>
        <w:rPr>
          <w:rFonts w:ascii="Arial" w:cs="Arial" w:eastAsia="Arial" w:hAnsi="Arial"/>
          <w:sz w:val="18"/>
          <w:szCs w:val="18"/>
          <w:color w:val="auto"/>
        </w:rPr>
        <w:t>Section 4.2 The Parties shall complete the approval formalities to extend the business term three (3) months before the expiration of their respective business term, so as to enable the Term to continue.</w:t>
      </w:r>
    </w:p>
    <w:p>
      <w:pPr>
        <w:spacing w:after="0" w:line="170" w:lineRule="exact"/>
        <w:rPr>
          <w:sz w:val="20"/>
          <w:szCs w:val="20"/>
          <w:color w:val="auto"/>
        </w:rPr>
      </w:pPr>
    </w:p>
    <w:p>
      <w:pPr>
        <w:ind w:right="320" w:firstLine="985"/>
        <w:spacing w:after="0" w:line="277" w:lineRule="auto"/>
        <w:rPr>
          <w:sz w:val="20"/>
          <w:szCs w:val="20"/>
          <w:color w:val="auto"/>
        </w:rPr>
      </w:pPr>
      <w:r>
        <w:rPr>
          <w:rFonts w:ascii="Arial" w:cs="Arial" w:eastAsia="Arial" w:hAnsi="Arial"/>
          <w:sz w:val="18"/>
          <w:szCs w:val="18"/>
          <w:color w:val="auto"/>
        </w:rPr>
        <w:t>Section 4.3 Within one (1) year after termination of this Agreement, the Parties shall still comply with the obligations under Section 4.5 of the Master Transaction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ind w:firstLine="985"/>
        <w:spacing w:after="0" w:line="254" w:lineRule="auto"/>
        <w:rPr>
          <w:sz w:val="20"/>
          <w:szCs w:val="20"/>
          <w:color w:val="auto"/>
        </w:rPr>
      </w:pPr>
      <w:r>
        <w:rPr>
          <w:rFonts w:ascii="Arial" w:cs="Arial" w:eastAsia="Arial" w:hAnsi="Arial"/>
          <w:sz w:val="18"/>
          <w:szCs w:val="18"/>
          <w:color w:val="auto"/>
        </w:rPr>
        <w:t xml:space="preserve">Section 5.1 Notices, offers, requests or other communications required or permitted to be given by a Party pursuant to the terms of this Agreement shall be given in writing to the other Party to the addresses set forth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or to such other address, facsimile number or email address as the Party to whom notice is given may have previously furnished to the other in writing as provided herein. Any notice involving non-performance or termination shall be sent by hand delivery or recognized courier. All other notices may also be sent by facsimile or email, confirmed by mail. All notices shall be deemed to have been given when received, if hand delivered; when transmitted, if transmitted by facsimile or email; upon confirmation of delivery, if sent by recognized courier; and upon receipt if mailed.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DEFAULTING LIABILITY</w:t>
      </w:r>
    </w:p>
    <w:p>
      <w:pPr>
        <w:spacing w:after="0" w:line="225" w:lineRule="exact"/>
        <w:rPr>
          <w:sz w:val="20"/>
          <w:szCs w:val="20"/>
          <w:color w:val="auto"/>
        </w:rPr>
      </w:pPr>
    </w:p>
    <w:p>
      <w:pPr>
        <w:ind w:right="260" w:firstLine="985"/>
        <w:spacing w:after="0" w:line="274" w:lineRule="auto"/>
        <w:rPr>
          <w:sz w:val="20"/>
          <w:szCs w:val="20"/>
          <w:color w:val="auto"/>
        </w:rPr>
      </w:pPr>
      <w:r>
        <w:rPr>
          <w:rFonts w:ascii="Arial" w:cs="Arial" w:eastAsia="Arial" w:hAnsi="Arial"/>
          <w:sz w:val="17"/>
          <w:szCs w:val="17"/>
          <w:color w:val="auto"/>
        </w:rPr>
        <w:t>Section 6.1 The Parties agree and confirm that, if any Party (the “</w:t>
      </w:r>
      <w:r>
        <w:rPr>
          <w:rFonts w:ascii="Arial" w:cs="Arial" w:eastAsia="Arial" w:hAnsi="Arial"/>
          <w:sz w:val="17"/>
          <w:szCs w:val="17"/>
          <w:b w:val="1"/>
          <w:bCs w:val="1"/>
          <w:color w:val="auto"/>
        </w:rPr>
        <w:t>Defaulting Party</w:t>
      </w:r>
      <w:r>
        <w:rPr>
          <w:rFonts w:ascii="Arial" w:cs="Arial" w:eastAsia="Arial" w:hAnsi="Arial"/>
          <w:sz w:val="17"/>
          <w:szCs w:val="17"/>
          <w:color w:val="auto"/>
        </w:rPr>
        <w:t>”) substantially violates any agreement herein or substantially fails to perform or delays performance of any of the obligations hereunder, such violation, failure or delay shall constitute a default under this Agreement. The non-defaulting Party shall have the right to request the Defaulting Party to rectify or take remedial actions within a reasonable period. If the Defaulting Party fails to rectify or take remedial actions within such reasonable period or within fifteen (15) calendar days after the non-defaulting Party notifies the Defaulting Party in writing requiring rectification, then the non-defaulting Party is entitled to decide at its own discretion to:</w:t>
      </w:r>
    </w:p>
    <w:p>
      <w:pPr>
        <w:spacing w:after="0" w:line="177" w:lineRule="exact"/>
        <w:rPr>
          <w:sz w:val="20"/>
          <w:szCs w:val="20"/>
          <w:color w:val="auto"/>
        </w:rPr>
      </w:pPr>
    </w:p>
    <w:p>
      <w:pPr>
        <w:ind w:left="1820" w:hanging="386"/>
        <w:spacing w:after="0"/>
        <w:tabs>
          <w:tab w:leader="none" w:pos="18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terminate this Agreement and require the Defaulting Party to indemnify all of its damages; or</w:t>
      </w:r>
    </w:p>
    <w:p>
      <w:pPr>
        <w:spacing w:after="0" w:line="225" w:lineRule="exact"/>
        <w:rPr>
          <w:rFonts w:ascii="Arial" w:cs="Arial" w:eastAsia="Arial" w:hAnsi="Arial"/>
          <w:sz w:val="18"/>
          <w:szCs w:val="18"/>
          <w:color w:val="auto"/>
        </w:rPr>
      </w:pPr>
    </w:p>
    <w:p>
      <w:pPr>
        <w:ind w:right="40" w:firstLine="1434"/>
        <w:spacing w:after="0" w:line="277" w:lineRule="auto"/>
        <w:tabs>
          <w:tab w:leader="none" w:pos="181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request the Defaulting Party to perform its obligations under this Agreement and require the Defaulting Party to indemnify all of its damages.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FORCE MAJEURE</w:t>
      </w:r>
    </w:p>
    <w:p>
      <w:pPr>
        <w:spacing w:after="0" w:line="229" w:lineRule="exact"/>
        <w:rPr>
          <w:sz w:val="20"/>
          <w:szCs w:val="20"/>
          <w:color w:val="auto"/>
        </w:rPr>
      </w:pPr>
    </w:p>
    <w:p>
      <w:pPr>
        <w:ind w:right="120" w:firstLine="985"/>
        <w:spacing w:after="0" w:line="284" w:lineRule="auto"/>
        <w:rPr>
          <w:sz w:val="20"/>
          <w:szCs w:val="20"/>
          <w:color w:val="auto"/>
        </w:rPr>
      </w:pPr>
      <w:r>
        <w:rPr>
          <w:rFonts w:ascii="Arial" w:cs="Arial" w:eastAsia="Arial" w:hAnsi="Arial"/>
          <w:sz w:val="16"/>
          <w:szCs w:val="16"/>
          <w:color w:val="auto"/>
        </w:rPr>
        <w:t>If the performance by one Party of this Agreement is directly affected or if one Party cannot perform this Agreement in accordance with the agreed conditions due to any unforeseeable force majeure event or an force majeure event whose consequences cannot be prevented or avoided, including earthquakes, typhoons, floods, fires, wars, computer viruses, design loopholes in software tools, hacker attacks on the Internet, changes to policies or laws, etc., the affected Party shall immediately give a notice by fax to the other Party and shall within fifteen (15) calendar days provide the other Party with supporting documents released by the relevant government authorities or a reliable third-party source describing the details of the force majeure event, and explain the reason why this Agreement cannot be performed or why the performance needs to be postponed. If the force majeure event lasts more than thirty</w:t>
      </w:r>
    </w:p>
    <w:p>
      <w:pPr>
        <w:spacing w:after="0" w:line="2" w:lineRule="exact"/>
        <w:rPr>
          <w:sz w:val="20"/>
          <w:szCs w:val="20"/>
          <w:color w:val="auto"/>
        </w:rPr>
      </w:pPr>
    </w:p>
    <w:p>
      <w:pPr>
        <w:ind w:right="60" w:firstLine="9"/>
        <w:spacing w:after="0" w:line="295" w:lineRule="auto"/>
        <w:tabs>
          <w:tab w:leader="none" w:pos="34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calendar days, the Parties hereto shall negotiate amicably and as soon as possible determine whether or not part of this Agreement shall be released from performance or whether or not the performance of this Agreement shall be postponed, depending on the degree of impact of this force majeure event on the performance of this Agreement. Each Party shall not be held liable for any economic losses of the other Party caused by such Party’s failure to perform this Agreement completely due to a force majeure event.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100" w:firstLine="985"/>
        <w:spacing w:after="0" w:line="263" w:lineRule="auto"/>
        <w:rPr>
          <w:sz w:val="20"/>
          <w:szCs w:val="20"/>
          <w:color w:val="auto"/>
        </w:rPr>
      </w:pPr>
      <w:r>
        <w:rPr>
          <w:rFonts w:ascii="Arial" w:cs="Arial" w:eastAsia="Arial" w:hAnsi="Arial"/>
          <w:sz w:val="18"/>
          <w:szCs w:val="18"/>
          <w:color w:val="auto"/>
        </w:rPr>
        <w:t>Section 8.1 Each Party shall pay its own costs and expenses incurred in connection with the negotiation, preparation and execution of this Agreement. Each Party shall be responsible for all taxes payable by it under applicable laws incurred from the execution, performance and consummation of transactions as contemplated hereby.</w:t>
      </w:r>
    </w:p>
    <w:p>
      <w:pPr>
        <w:spacing w:after="0" w:line="184" w:lineRule="exact"/>
        <w:rPr>
          <w:sz w:val="20"/>
          <w:szCs w:val="20"/>
          <w:color w:val="auto"/>
        </w:rPr>
      </w:pPr>
    </w:p>
    <w:p>
      <w:pPr>
        <w:ind w:right="500" w:firstLine="985"/>
        <w:spacing w:after="0" w:line="277" w:lineRule="auto"/>
        <w:rPr>
          <w:sz w:val="20"/>
          <w:szCs w:val="20"/>
          <w:color w:val="auto"/>
        </w:rPr>
      </w:pPr>
      <w:r>
        <w:rPr>
          <w:rFonts w:ascii="Arial" w:cs="Arial" w:eastAsia="Arial" w:hAnsi="Arial"/>
          <w:sz w:val="18"/>
          <w:szCs w:val="18"/>
          <w:color w:val="auto"/>
        </w:rPr>
        <w:t>Section 8.2 This Agreement may not be amended except by an instrument in writing executed by a duly authorized representative of each party.</w:t>
      </w:r>
    </w:p>
    <w:p>
      <w:pPr>
        <w:spacing w:after="0" w:line="170" w:lineRule="exact"/>
        <w:rPr>
          <w:sz w:val="20"/>
          <w:szCs w:val="20"/>
          <w:color w:val="auto"/>
        </w:rPr>
      </w:pPr>
    </w:p>
    <w:p>
      <w:pPr>
        <w:ind w:left="1000"/>
        <w:spacing w:after="0"/>
        <w:tabs>
          <w:tab w:leader="none" w:pos="196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color w:val="auto"/>
        </w:rPr>
        <w:t>This Agreement shall be governed by, and construed in accordance with, the laws of the State of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firstLine="985"/>
        <w:spacing w:after="0" w:line="253" w:lineRule="auto"/>
        <w:rPr>
          <w:sz w:val="20"/>
          <w:szCs w:val="20"/>
          <w:color w:val="auto"/>
        </w:rPr>
      </w:pPr>
      <w:r>
        <w:rPr>
          <w:rFonts w:ascii="Arial" w:cs="Arial" w:eastAsia="Arial" w:hAnsi="Arial"/>
          <w:sz w:val="18"/>
          <w:szCs w:val="18"/>
          <w:color w:val="auto"/>
        </w:rPr>
        <w:t>Section 8.4 Any dispute, controversy, difference or claim arising out of or relating to this Agreement, including the existence, validity, interpretation, performance, breach or termination thereof or any dispute regarding non-contractual obligations arising out of or relating to it (“</w:t>
      </w:r>
      <w:r>
        <w:rPr>
          <w:rFonts w:ascii="Arial" w:cs="Arial" w:eastAsia="Arial" w:hAnsi="Arial"/>
          <w:sz w:val="18"/>
          <w:szCs w:val="18"/>
          <w:b w:val="1"/>
          <w:bCs w:val="1"/>
          <w:color w:val="auto"/>
        </w:rPr>
        <w:t>Dispute</w:t>
      </w:r>
      <w:r>
        <w:rPr>
          <w:rFonts w:ascii="Arial" w:cs="Arial" w:eastAsia="Arial" w:hAnsi="Arial"/>
          <w:sz w:val="18"/>
          <w:szCs w:val="18"/>
          <w:color w:val="auto"/>
        </w:rPr>
        <w:t>”) which arises between the Parties shall first be negotiated between appropriate senior executives of each Party who shall have the authority to resolve the matter. Such executives shall meet to attempt in good faith to negotiate a resolution of the Dispute prior to pursuing other available remedies, within ten (10) calendar days of receipt by a Party of written notice of a Dispute, which date of receipt shall be referred to herein as the “</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Discussions and correspondence relating to trying to resolve such Dispute shall be conducted on a without prejudice basis, treated as Confidential Information, shall be exempt from discovery or production, and shall not be admissible in any subsequent proceeding between the Parties.</w:t>
      </w:r>
    </w:p>
    <w:p>
      <w:pPr>
        <w:spacing w:after="0" w:line="196" w:lineRule="exact"/>
        <w:rPr>
          <w:sz w:val="20"/>
          <w:szCs w:val="20"/>
          <w:color w:val="auto"/>
        </w:rPr>
      </w:pPr>
    </w:p>
    <w:p>
      <w:pPr>
        <w:ind w:right="60" w:firstLine="1991"/>
        <w:spacing w:after="0" w:line="259" w:lineRule="auto"/>
        <w:tabs>
          <w:tab w:leader="none" w:pos="236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If the senior executives are unable to resolve the Dispute within sixty (60) calendar days from the Dispute Resolution Commencement Date, the exclusive means of continuing to pursue resolution of the the Dispute is to submit the Dispute to the boards of directors of NetEase and Youdao. Representatives of each board of directors shall meet as soon as practicable to attempt in good faith to negotiate a resolution of the Dispute.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74" w:name="page275"/>
    <w:bookmarkEnd w:id="274"/>
    <w:p>
      <w:pPr>
        <w:ind w:right="20" w:firstLine="1991"/>
        <w:spacing w:after="0" w:line="272" w:lineRule="auto"/>
        <w:tabs>
          <w:tab w:leader="none" w:pos="237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representatives of the two boards of directors are unable to resolve the Dispute within 120 calendar days from the Dispute Resolution Commencement Date, the exclusive means of continuing to pursue resolution of the Dispute is for any Party to initiate mediation pursuant to the Commercial Mediation Procedures of the American Arbitration Association, which shall apply to the conduct of the mediation, including the method of appointment of a mediator. Both Parties will share the administrative costs of the mediation and the mediator’s fees and expenses equally, and each Party shall bear all of its other costs and expenses related to the mediation, including but not limited to attorney’s fees, witness fees, and travel expenses. The mediation shall take place in English in Beijing, China or in whatever alternative forum on which the Parties may agree.</w:t>
      </w:r>
    </w:p>
    <w:p>
      <w:pPr>
        <w:spacing w:after="0" w:line="177" w:lineRule="exact"/>
        <w:rPr>
          <w:rFonts w:ascii="Arial" w:cs="Arial" w:eastAsia="Arial" w:hAnsi="Arial"/>
          <w:sz w:val="17"/>
          <w:szCs w:val="17"/>
          <w:color w:val="auto"/>
        </w:rPr>
      </w:pPr>
    </w:p>
    <w:p>
      <w:pPr>
        <w:ind w:firstLine="1991"/>
        <w:spacing w:after="0" w:line="270" w:lineRule="auto"/>
        <w:tabs>
          <w:tab w:leader="none" w:pos="236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If the Parties cannot resolve any Dispute through mediation within forty-five (45) calendar days after the appointment of the mediator (or the earlier withdrawal thereof), the exclusive means of pursuing final resolution of the Dispute is for any Party to commence an arbitration administered by the Hong Kong International Arbitration Centre under the Hong Kong International Arbitration Centre Administered Arbitration Rules (the “</w:t>
      </w:r>
      <w:r>
        <w:rPr>
          <w:rFonts w:ascii="Arial" w:cs="Arial" w:eastAsia="Arial" w:hAnsi="Arial"/>
          <w:sz w:val="17"/>
          <w:szCs w:val="17"/>
          <w:b w:val="1"/>
          <w:bCs w:val="1"/>
          <w:color w:val="auto"/>
        </w:rPr>
        <w:t>HKIAC Rules</w:t>
      </w:r>
      <w:r>
        <w:rPr>
          <w:rFonts w:ascii="Arial" w:cs="Arial" w:eastAsia="Arial" w:hAnsi="Arial"/>
          <w:sz w:val="17"/>
          <w:szCs w:val="17"/>
          <w:color w:val="auto"/>
        </w:rPr>
        <w:t>”) in force at the time when the notice of arbitration is submitted. There shall be three (3) arbitrators selected pursuant to the HKIAC Rules. The presiding arbitrator shall be qualified to practice law in New York. The place and seat of arbitration shall be Hong Kong. The law of this arbitration clause shall be Hong Kong law. The award of the arbitral tribunal shall be final and binding upon the parties thereto, and the prevailing party may apply to a court of competent jurisdiction for enforcement of such award. Nothing contained herein shall preclude any Party from seeking provisional, interim or conservatory measures (including injunctive relief) from any court of competent jurisdiction.</w:t>
      </w:r>
    </w:p>
    <w:p>
      <w:pPr>
        <w:spacing w:after="0" w:line="181" w:lineRule="exact"/>
        <w:rPr>
          <w:sz w:val="20"/>
          <w:szCs w:val="20"/>
          <w:color w:val="auto"/>
        </w:rPr>
      </w:pPr>
    </w:p>
    <w:p>
      <w:pPr>
        <w:jc w:val="both"/>
        <w:ind w:right="60" w:firstLine="985"/>
        <w:spacing w:after="0" w:line="263" w:lineRule="auto"/>
        <w:rPr>
          <w:sz w:val="20"/>
          <w:szCs w:val="20"/>
          <w:color w:val="auto"/>
        </w:rPr>
      </w:pPr>
      <w:r>
        <w:rPr>
          <w:rFonts w:ascii="Arial" w:cs="Arial" w:eastAsia="Arial" w:hAnsi="Arial"/>
          <w:sz w:val="18"/>
          <w:szCs w:val="18"/>
          <w:color w:val="auto"/>
        </w:rPr>
        <w:t>Unless otherwise agreed in writing, the Parties will continue to provide service and honor all other commitments under this Agreement during the course of dispute resolution pursuant to the provisions of this Section 8.4 with respect to all matters not subject to such Dispute, controversy or claim.</w:t>
      </w:r>
    </w:p>
    <w:p>
      <w:pPr>
        <w:spacing w:after="0" w:line="184" w:lineRule="exact"/>
        <w:rPr>
          <w:sz w:val="20"/>
          <w:szCs w:val="20"/>
          <w:color w:val="auto"/>
        </w:rPr>
      </w:pPr>
    </w:p>
    <w:p>
      <w:pPr>
        <w:ind w:right="80" w:firstLine="985"/>
        <w:spacing w:after="0" w:line="259" w:lineRule="auto"/>
        <w:rPr>
          <w:sz w:val="20"/>
          <w:szCs w:val="20"/>
          <w:color w:val="auto"/>
        </w:rPr>
      </w:pPr>
      <w:r>
        <w:rPr>
          <w:rFonts w:ascii="Arial" w:cs="Arial" w:eastAsia="Arial" w:hAnsi="Arial"/>
          <w:sz w:val="18"/>
          <w:szCs w:val="18"/>
          <w:color w:val="auto"/>
        </w:rPr>
        <w:t>Section 8.5 The Parties hereto agree that irreparable damage would occur if any provisions of this Agreement were not performed in accordance with the terms hereof and that the Parties shall be entitled to an injunction or injunctions to prevent breaches of this Agreement or to enforce specifically the performance of the terms and provisions hereof, in addition to any other remedy to which they are entitled at law or in equity.</w:t>
      </w:r>
    </w:p>
    <w:p>
      <w:pPr>
        <w:spacing w:after="0" w:line="187" w:lineRule="exact"/>
        <w:rPr>
          <w:sz w:val="20"/>
          <w:szCs w:val="20"/>
          <w:color w:val="auto"/>
        </w:rPr>
      </w:pPr>
    </w:p>
    <w:p>
      <w:pPr>
        <w:ind w:right="20" w:firstLine="985"/>
        <w:spacing w:after="0" w:line="254" w:lineRule="auto"/>
        <w:rPr>
          <w:sz w:val="20"/>
          <w:szCs w:val="20"/>
          <w:color w:val="auto"/>
        </w:rPr>
      </w:pPr>
      <w:r>
        <w:rPr>
          <w:rFonts w:ascii="Arial" w:cs="Arial" w:eastAsia="Arial" w:hAnsi="Arial"/>
          <w:sz w:val="18"/>
          <w:szCs w:val="18"/>
          <w:color w:val="auto"/>
        </w:rPr>
        <w:t>Section 8.6 If any term of this Agreement or the Schedule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75" w:name="page276"/>
    <w:bookmarkEnd w:id="275"/>
    <w:p>
      <w:pPr>
        <w:jc w:val="both"/>
        <w:ind w:firstLine="985"/>
        <w:spacing w:after="0" w:line="263" w:lineRule="auto"/>
        <w:rPr>
          <w:sz w:val="20"/>
          <w:szCs w:val="20"/>
          <w:color w:val="auto"/>
        </w:rPr>
      </w:pPr>
      <w:r>
        <w:rPr>
          <w:rFonts w:ascii="Arial" w:cs="Arial" w:eastAsia="Arial" w:hAnsi="Arial"/>
          <w:sz w:val="18"/>
          <w:szCs w:val="18"/>
          <w:color w:val="auto"/>
        </w:rPr>
        <w:t>Section 8.7 This Agreement shall inure to the benefit of and be binding upon the Parties hereto and their respective legal representatives and successors, and nothing in this Agreement, express or implied, is intended to confer upon any other Person any rights or remedies of any nature whatsoever under or by reason of this Agreement.</w:t>
      </w:r>
    </w:p>
    <w:p>
      <w:pPr>
        <w:spacing w:after="0" w:line="184" w:lineRule="exact"/>
        <w:rPr>
          <w:sz w:val="20"/>
          <w:szCs w:val="20"/>
          <w:color w:val="auto"/>
        </w:rPr>
      </w:pPr>
    </w:p>
    <w:p>
      <w:pPr>
        <w:ind w:right="60" w:firstLine="985"/>
        <w:spacing w:after="0" w:line="275" w:lineRule="auto"/>
        <w:rPr>
          <w:sz w:val="20"/>
          <w:szCs w:val="20"/>
          <w:color w:val="auto"/>
        </w:rPr>
      </w:pPr>
      <w:r>
        <w:rPr>
          <w:rFonts w:ascii="Arial" w:cs="Arial" w:eastAsia="Arial" w:hAnsi="Arial"/>
          <w:sz w:val="17"/>
          <w:szCs w:val="17"/>
          <w:color w:val="auto"/>
        </w:rPr>
        <w:t xml:space="preserve">Section 8.8 No Party may assign this Agreement or any rights or obligations hereunder, without the prior written consent of the other Party, and any such assignment shall be void; </w:t>
      </w:r>
      <w:r>
        <w:rPr>
          <w:rFonts w:ascii="Arial" w:cs="Arial" w:eastAsia="Arial" w:hAnsi="Arial"/>
          <w:sz w:val="17"/>
          <w:szCs w:val="17"/>
          <w:i w:val="1"/>
          <w:iCs w:val="1"/>
          <w:color w:val="auto"/>
        </w:rPr>
        <w:t>provided</w:t>
      </w:r>
      <w:r>
        <w:rPr>
          <w:rFonts w:ascii="Arial" w:cs="Arial" w:eastAsia="Arial" w:hAnsi="Arial"/>
          <w:sz w:val="17"/>
          <w:szCs w:val="17"/>
          <w:color w:val="auto"/>
        </w:rPr>
        <w:t>, however, that each Party may assign this Agreement to an Affiliate. Subject to the foregoing, this Agreement shall inure to the benefit of and be binding upon the Parties hereto and their respective legal representatives, successors and permitted assigns, and nothing in this Agreement, express or implied, is intended to confer upon any other Person any rights or remedies of any nature whatsoever under or by reason of this Agreement.</w:t>
      </w:r>
    </w:p>
    <w:p>
      <w:pPr>
        <w:spacing w:after="0" w:line="176" w:lineRule="exact"/>
        <w:rPr>
          <w:sz w:val="20"/>
          <w:szCs w:val="20"/>
          <w:color w:val="auto"/>
        </w:rPr>
      </w:pPr>
    </w:p>
    <w:p>
      <w:pPr>
        <w:jc w:val="both"/>
        <w:ind w:right="120" w:firstLine="985"/>
        <w:spacing w:after="0" w:line="263" w:lineRule="auto"/>
        <w:rPr>
          <w:sz w:val="20"/>
          <w:szCs w:val="20"/>
          <w:color w:val="auto"/>
        </w:rPr>
      </w:pPr>
      <w:r>
        <w:rPr>
          <w:rFonts w:ascii="Arial" w:cs="Arial" w:eastAsia="Arial" w:hAnsi="Arial"/>
          <w:sz w:val="18"/>
          <w:szCs w:val="18"/>
          <w:color w:val="auto"/>
        </w:rPr>
        <w:t>Section 8.9 The headings contained in this Agreement or in the Schedule attached hereto and in the table of contents to this Agreement are for reference purposes only and shall not in any way limit or affect the meaning or interpretation of any of the terms in this Agreement.</w:t>
      </w:r>
    </w:p>
    <w:p>
      <w:pPr>
        <w:spacing w:after="0" w:line="184" w:lineRule="exact"/>
        <w:rPr>
          <w:sz w:val="20"/>
          <w:szCs w:val="20"/>
          <w:color w:val="auto"/>
        </w:rPr>
      </w:pPr>
    </w:p>
    <w:p>
      <w:pPr>
        <w:ind w:right="340" w:firstLine="985"/>
        <w:spacing w:after="0" w:line="259" w:lineRule="auto"/>
        <w:rPr>
          <w:sz w:val="20"/>
          <w:szCs w:val="20"/>
          <w:color w:val="auto"/>
        </w:rPr>
      </w:pPr>
      <w:r>
        <w:rPr>
          <w:rFonts w:ascii="Arial" w:cs="Arial" w:eastAsia="Arial" w:hAnsi="Arial"/>
          <w:sz w:val="18"/>
          <w:szCs w:val="18"/>
          <w:color w:val="auto"/>
        </w:rPr>
        <w:t>Section 8.10 This Agreement may be executed in one or more counterparts, each of which shall be deemed to be an original but all of which shall constitute one and the same agreement. Delivery of an executed counterpart of a signature page of this Agreement by facsimile or other electronic imaging means will be effective as delivery of a manually executed counterpart of this Agreement.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276" w:name="page277"/>
    <w:bookmarkEnd w:id="276"/>
    <w:p>
      <w:pPr>
        <w:ind w:right="100"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each acting under due and proper authority, have executed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month and year first above written.</w:t>
      </w:r>
    </w:p>
    <w:p>
      <w:pPr>
        <w:spacing w:after="0" w:line="162"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NetEase, Inc.</w:t>
      </w:r>
    </w:p>
    <w:p>
      <w:pPr>
        <w:spacing w:after="0" w:line="229" w:lineRule="exact"/>
        <w:rPr>
          <w:sz w:val="20"/>
          <w:szCs w:val="20"/>
          <w:color w:val="auto"/>
        </w:rPr>
      </w:pPr>
    </w:p>
    <w:tbl>
      <w:tblPr>
        <w:tblLayout w:type="fixed"/>
        <w:tblInd w:w="49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bl>
    <w:p>
      <w:pPr>
        <w:spacing w:after="0" w:line="19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Youdao, Inc.</w:t>
      </w:r>
    </w:p>
    <w:p>
      <w:pPr>
        <w:spacing w:after="0" w:line="229"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27857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6">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Feng Zhou</w:t>
      </w:r>
    </w:p>
    <w:p>
      <w:pPr>
        <w:spacing w:after="0" w:line="23" w:lineRule="exact"/>
        <w:rPr>
          <w:sz w:val="20"/>
          <w:szCs w:val="20"/>
          <w:color w:val="auto"/>
        </w:rPr>
      </w:pPr>
    </w:p>
    <w:p>
      <w:pPr>
        <w:ind w:left="496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Cooperation Framework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779145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4.56</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NETEASE,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b w:val="1"/>
          <w:bCs w:val="1"/>
          <w:color w:val="auto"/>
        </w:rPr>
        <w:t>YOUDAO, INC.</w:t>
      </w:r>
    </w:p>
    <w:p>
      <w:pPr>
        <w:spacing w:after="0" w:line="225"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Dated as of September 27,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79" w:name="page280"/>
    <w:bookmarkEnd w:id="279"/>
    <w:tbl>
      <w:tblPr>
        <w:tblLayout w:type="fixed"/>
        <w:tblInd w:w="0" w:type="dxa"/>
        <w:tblCellMar>
          <w:top w:w="0" w:type="dxa"/>
          <w:left w:w="0" w:type="dxa"/>
          <w:bottom w:w="0" w:type="dxa"/>
          <w:right w:w="0" w:type="dxa"/>
        </w:tblCellMar>
      </w:tblPr>
      <w:tr>
        <w:trPr>
          <w:trHeight w:val="234"/>
        </w:trPr>
        <w:tc>
          <w:tcPr>
            <w:tcW w:w="7920" w:type="dxa"/>
            <w:vAlign w:val="bottom"/>
          </w:tcPr>
          <w:p>
            <w:pPr>
              <w:ind w:left="400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20"/>
                <w:szCs w:val="20"/>
                <w:color w:val="auto"/>
              </w:rPr>
            </w:pPr>
          </w:p>
        </w:tc>
      </w:tr>
      <w:tr>
        <w:trPr>
          <w:trHeight w:val="441"/>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1 DEFINITIONS</w:t>
            </w: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2 GRANT AND SCOPE OF LICENSE</w:t>
            </w: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3 AGREEMENT ON SHARING OF INFORMATION AND DATA</w:t>
            </w:r>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4 MAINTENANCE AND SUPPORT</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5 IMPROVEMENTS; DELIVERY</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6 TERM AND TERMINATION</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7 DISCLAIMER</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8 LIMITATION OF LIABILITY</w:t>
            </w:r>
          </w:p>
        </w:tc>
        <w:tc>
          <w:tcPr>
            <w:tcW w:w="2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4"/>
        </w:trPr>
        <w:tc>
          <w:tcPr>
            <w:tcW w:w="7920" w:type="dxa"/>
            <w:vAlign w:val="bottom"/>
          </w:tcPr>
          <w:p>
            <w:pPr>
              <w:spacing w:after="0"/>
              <w:rPr>
                <w:sz w:val="20"/>
                <w:szCs w:val="20"/>
                <w:color w:val="auto"/>
              </w:rPr>
            </w:pPr>
            <w:r>
              <w:rPr>
                <w:rFonts w:ascii="Arial" w:cs="Arial" w:eastAsia="Arial" w:hAnsi="Arial"/>
                <w:sz w:val="18"/>
                <w:szCs w:val="18"/>
                <w:b w:val="1"/>
                <w:bCs w:val="1"/>
                <w:color w:val="auto"/>
              </w:rPr>
              <w:t>ARTICLE 9 MISCELLANEOUS</w:t>
            </w:r>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776"/>
        </w:trPr>
        <w:tc>
          <w:tcPr>
            <w:tcW w:w="79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80" w:name="page281"/>
    <w:bookmarkEnd w:id="280"/>
    <w:p>
      <w:pPr>
        <w:jc w:val="center"/>
        <w:ind w:right="-39"/>
        <w:spacing w:after="0"/>
        <w:rPr>
          <w:sz w:val="20"/>
          <w:szCs w:val="20"/>
          <w:color w:val="auto"/>
        </w:rPr>
      </w:pPr>
      <w:r>
        <w:rPr>
          <w:rFonts w:ascii="Arial" w:cs="Arial" w:eastAsia="Arial" w:hAnsi="Arial"/>
          <w:sz w:val="18"/>
          <w:szCs w:val="18"/>
          <w:b w:val="1"/>
          <w:bCs w:val="1"/>
          <w:color w:val="auto"/>
        </w:rPr>
        <w:t>INTELLECTUAL PROPERTY LICENSE AGREEMENT</w:t>
      </w:r>
    </w:p>
    <w:p>
      <w:pPr>
        <w:spacing w:after="0" w:line="225"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This Intellectual Property License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September 27, 2019, by and between NetEase, Inc., a company incorporated under the laws of the Cayman Islands (“</w:t>
      </w:r>
      <w:r>
        <w:rPr>
          <w:rFonts w:ascii="Arial" w:cs="Arial" w:eastAsia="Arial" w:hAnsi="Arial"/>
          <w:sz w:val="18"/>
          <w:szCs w:val="18"/>
          <w:b w:val="1"/>
          <w:bCs w:val="1"/>
          <w:color w:val="auto"/>
        </w:rPr>
        <w:t>NetEase</w:t>
      </w:r>
      <w:r>
        <w:rPr>
          <w:rFonts w:ascii="Arial" w:cs="Arial" w:eastAsia="Arial" w:hAnsi="Arial"/>
          <w:sz w:val="18"/>
          <w:szCs w:val="18"/>
          <w:color w:val="auto"/>
        </w:rPr>
        <w:t>”), on behalf of itself and other members of the NetEase Group (as defined below), and Youdao, Inc., a company incorporated under the laws of the Cayman Islands (“</w:t>
      </w:r>
      <w:r>
        <w:rPr>
          <w:rFonts w:ascii="Arial" w:cs="Arial" w:eastAsia="Arial" w:hAnsi="Arial"/>
          <w:sz w:val="18"/>
          <w:szCs w:val="18"/>
          <w:b w:val="1"/>
          <w:bCs w:val="1"/>
          <w:color w:val="auto"/>
        </w:rPr>
        <w:t>Youdao</w:t>
      </w:r>
      <w:r>
        <w:rPr>
          <w:rFonts w:ascii="Arial" w:cs="Arial" w:eastAsia="Arial" w:hAnsi="Arial"/>
          <w:sz w:val="18"/>
          <w:szCs w:val="18"/>
          <w:color w:val="auto"/>
        </w:rPr>
        <w:t>”), on behalf of itself and other members of the Youdao Group (as defined below), (each of NetEase and Youdao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as of the date hereof, Youdao is Controlled by NetEase;</w:t>
      </w:r>
    </w:p>
    <w:p>
      <w:pPr>
        <w:spacing w:after="0" w:line="221" w:lineRule="exact"/>
        <w:rPr>
          <w:sz w:val="20"/>
          <w:szCs w:val="20"/>
          <w:color w:val="auto"/>
        </w:rPr>
      </w:pPr>
    </w:p>
    <w:p>
      <w:pPr>
        <w:ind w:right="200" w:firstLine="991"/>
        <w:spacing w:after="0" w:line="347" w:lineRule="auto"/>
        <w:rPr>
          <w:sz w:val="20"/>
          <w:szCs w:val="20"/>
          <w:color w:val="auto"/>
        </w:rPr>
      </w:pPr>
      <w:r>
        <w:rPr>
          <w:rFonts w:ascii="Arial" w:cs="Arial" w:eastAsia="Arial" w:hAnsi="Arial"/>
          <w:sz w:val="16"/>
          <w:szCs w:val="16"/>
          <w:color w:val="auto"/>
        </w:rPr>
        <w:t>WHEREAS, the Parties currently contemplate that Youdao will make an initial public offering (the “</w:t>
      </w:r>
      <w:r>
        <w:rPr>
          <w:rFonts w:ascii="Arial" w:cs="Arial" w:eastAsia="Arial" w:hAnsi="Arial"/>
          <w:sz w:val="16"/>
          <w:szCs w:val="16"/>
          <w:b w:val="1"/>
          <w:bCs w:val="1"/>
          <w:color w:val="auto"/>
        </w:rPr>
        <w:t>IPO</w:t>
      </w:r>
      <w:r>
        <w:rPr>
          <w:rFonts w:ascii="Arial" w:cs="Arial" w:eastAsia="Arial" w:hAnsi="Arial"/>
          <w:sz w:val="16"/>
          <w:szCs w:val="16"/>
          <w:color w:val="auto"/>
        </w:rPr>
        <w:t>”) pursuant to a Registration Statement on Form F-1 (as so filed, and as amended thereafter from time to time, the “</w:t>
      </w:r>
      <w:r>
        <w:rPr>
          <w:rFonts w:ascii="Arial" w:cs="Arial" w:eastAsia="Arial" w:hAnsi="Arial"/>
          <w:sz w:val="16"/>
          <w:szCs w:val="16"/>
          <w:b w:val="1"/>
          <w:bCs w:val="1"/>
          <w:color w:val="auto"/>
        </w:rPr>
        <w:t>IPO Registration Statement</w:t>
      </w:r>
      <w:r>
        <w:rPr>
          <w:rFonts w:ascii="Arial" w:cs="Arial" w:eastAsia="Arial" w:hAnsi="Arial"/>
          <w:sz w:val="16"/>
          <w:szCs w:val="16"/>
          <w:color w:val="auto"/>
        </w:rPr>
        <w:t>”);</w:t>
      </w:r>
    </w:p>
    <w:p>
      <w:pPr>
        <w:spacing w:after="0" w:line="12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NetEase and Youdao have entered into that certain Master Transaction Agreement, dated as of the date hereof (the “</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which sets forth the principal arrangements between NetEase and Youdao regarding their relationship from and after the consummation of the IPO; and</w:t>
      </w:r>
    </w:p>
    <w:p>
      <w:pPr>
        <w:spacing w:after="0" w:line="184"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WHEREAS, each Party is willing to enter into this Agreement and grant the licenses contemplated herein on the terms and conditions set forth herein.</w:t>
      </w:r>
    </w:p>
    <w:p>
      <w:pPr>
        <w:spacing w:after="0" w:line="170" w:lineRule="exact"/>
        <w:rPr>
          <w:sz w:val="20"/>
          <w:szCs w:val="20"/>
          <w:color w:val="auto"/>
        </w:rPr>
      </w:pPr>
    </w:p>
    <w:p>
      <w:pPr>
        <w:ind w:right="400" w:firstLine="991"/>
        <w:spacing w:after="0" w:line="263" w:lineRule="auto"/>
        <w:rPr>
          <w:sz w:val="20"/>
          <w:szCs w:val="20"/>
          <w:color w:val="auto"/>
        </w:rPr>
      </w:pPr>
      <w:r>
        <w:rPr>
          <w:rFonts w:ascii="Arial" w:cs="Arial" w:eastAsia="Arial" w:hAnsi="Arial"/>
          <w:sz w:val="18"/>
          <w:szCs w:val="18"/>
          <w:color w:val="auto"/>
        </w:rPr>
        <w:t>NOW, THEREFORE, in consideration of the foregoing recitals, the mutual agreements, covenants and provisions contained in this Agreement and the transactions contemplated by the Master Transaction Agreement, the receipt and sufficiency of which are acknowledged, the Parties, intending to be legally bound, agree as follows: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Section 1.1. Capitalized terms used and not otherwise defined herein will have the meanings ascribed to such terms in the Master Transaction Agreement. Capitalized terms used in the Schedules but not otherwise defined therein, will have the meaning ascribed to such word in this Agreement. For purposes of this Agreement, the following words and phrases will have the following meanings:</w:t>
      </w:r>
    </w:p>
    <w:p>
      <w:pPr>
        <w:spacing w:after="0" w:line="183"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any Person means a Person that Controls, is Controlled by, or is under common Control with such Person; </w:t>
      </w:r>
      <w:r>
        <w:rPr>
          <w:rFonts w:ascii="Arial" w:cs="Arial" w:eastAsia="Arial" w:hAnsi="Arial"/>
          <w:sz w:val="18"/>
          <w:szCs w:val="18"/>
          <w:i w:val="1"/>
          <w:iCs w:val="1"/>
          <w:color w:val="auto"/>
        </w:rPr>
        <w:t>provided that</w:t>
      </w:r>
      <w:r>
        <w:rPr>
          <w:rFonts w:ascii="Arial" w:cs="Arial" w:eastAsia="Arial" w:hAnsi="Arial"/>
          <w:sz w:val="18"/>
          <w:szCs w:val="18"/>
          <w:color w:val="auto"/>
        </w:rPr>
        <w:t>, under this Agreement, “Affiliate” of any member of the NetEase Group excludes members of the Youdao Group, and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of any member of the Youdao Group excludes members of the NetEase Group.</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 of this Agreement.</w:t>
      </w:r>
    </w:p>
    <w:p>
      <w:pPr>
        <w:spacing w:after="0" w:line="225" w:lineRule="exact"/>
        <w:rPr>
          <w:sz w:val="20"/>
          <w:szCs w:val="20"/>
          <w:color w:val="auto"/>
        </w:rPr>
      </w:pPr>
    </w:p>
    <w:p>
      <w:pPr>
        <w:ind w:right="100" w:firstLine="99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as used with respect to any Person, the possession, directly or indirectly, of the power to direct or cause the direction of the management and policies of such Person, whether through ownership of voting securities or other interests, by contract or otherwise; the terms “Controlled by” and “under common Control with”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591820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81" w:name="page282"/>
    <w:bookmarkEnd w:id="281"/>
    <w:p>
      <w:pPr>
        <w:ind w:right="20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Ending Date</w:t>
      </w:r>
      <w:r>
        <w:rPr>
          <w:rFonts w:ascii="Arial" w:cs="Arial" w:eastAsia="Arial" w:hAnsi="Arial"/>
          <w:sz w:val="18"/>
          <w:szCs w:val="18"/>
          <w:color w:val="auto"/>
        </w:rPr>
        <w:t>” means the earlier of (i) the first date upon which members of the NetEase Group no longer collectively own at least twenty percent (20%) of the voting power of the then outstanding voting securities of Youdao and (ii) the first date upon which NetEase, collectively with the other members of the NetEase Group, ceases to be the largest beneficial owner of the then outstanding voting securities of Youdao.</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9.6 of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has the meaning set forth in Section 9.6 of this Agreement.</w:t>
      </w:r>
    </w:p>
    <w:p>
      <w:pPr>
        <w:spacing w:after="0" w:line="225"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national, provincial, municipal or local government, administrative or regulatory body or department, court, tribunal, arbitrator or any body that exercises the function of a regulator.</w:t>
      </w:r>
    </w:p>
    <w:p>
      <w:pPr>
        <w:spacing w:after="0" w:line="162" w:lineRule="exact"/>
        <w:rPr>
          <w:sz w:val="20"/>
          <w:szCs w:val="20"/>
          <w:color w:val="auto"/>
        </w:rPr>
      </w:pPr>
    </w:p>
    <w:p>
      <w:pPr>
        <w:ind w:right="1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Improvement</w:t>
      </w:r>
      <w:r>
        <w:rPr>
          <w:rFonts w:ascii="Arial" w:cs="Arial" w:eastAsia="Arial" w:hAnsi="Arial"/>
          <w:sz w:val="18"/>
          <w:szCs w:val="18"/>
          <w:color w:val="auto"/>
        </w:rPr>
        <w:t>” means any improvement, modification, translation, update, upgrade, new version, enhancement or other derivative work.</w:t>
      </w:r>
    </w:p>
    <w:p>
      <w:pPr>
        <w:spacing w:after="0" w:line="162"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any and all tangible and intangible intellectual property and similar proprietary rights in any jurisdiction of the world, including all (i) inventions, patents and patent applications; (ii) trademarks, service marks, trade names, trade dress, service names, brand names, Internet domain names, logos, designs, symbols, social media accounts and identifiers and other source indicators, together with the goodwill associated therewith; (iii) copyrights, works of authorship, mask work rights, Software, websites; (iv) registrations and applications for registration of any of the foregoing in (i) – (iii); (v) trade secrets, know-how and proprietary or confidential information; and (vi) all other intellectual property rights (of every kind and nature however designated, including data rights, database rights, privacy rights, publicity rights and other intangible rights) whether arising by operation of law, treaty, contract, license, or otherwise.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Registration Statement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Entities</w:t>
      </w:r>
      <w:r>
        <w:rPr>
          <w:rFonts w:ascii="Arial" w:cs="Arial" w:eastAsia="Arial" w:hAnsi="Arial"/>
          <w:sz w:val="18"/>
          <w:szCs w:val="18"/>
          <w:color w:val="auto"/>
        </w:rPr>
        <w:t>” means members of the NetEase Group that are (i) directly or indirectly beneficially jointly-owned by NetEase and Blizzard Entertainment, Inc., (ii) dedicated for the cooperation between NetEase and Mojang AB, (iii) directly or indirectly beneficially jointly-owned by NetEase and Niantic International Technology Limited, or (iv) any assignees or successors of the entities described in items (i), (ii) or (iii) above.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82" w:name="page283"/>
    <w:bookmarkEnd w:id="282"/>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Transaction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Business</w:t>
      </w:r>
      <w:r>
        <w:rPr>
          <w:rFonts w:ascii="Arial" w:cs="Arial" w:eastAsia="Arial" w:hAnsi="Arial"/>
          <w:sz w:val="18"/>
          <w:szCs w:val="18"/>
          <w:color w:val="auto"/>
        </w:rPr>
        <w:t>” means any business that is conducted by the NetEase Group as of the date hereof and any business that is derived from the foregoing businesses; for the avoidance of doubt, “NetEase Business” shall not include the Online Learning Business.</w:t>
      </w:r>
    </w:p>
    <w:p>
      <w:pPr>
        <w:spacing w:after="0" w:line="176" w:lineRule="exact"/>
        <w:rPr>
          <w:sz w:val="20"/>
          <w:szCs w:val="20"/>
          <w:color w:val="auto"/>
        </w:rPr>
      </w:pPr>
    </w:p>
    <w:p>
      <w:pPr>
        <w:ind w:right="600" w:firstLine="99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NetEase Field of Use</w:t>
      </w:r>
      <w:r>
        <w:rPr>
          <w:rFonts w:ascii="Arial" w:cs="Arial" w:eastAsia="Arial" w:hAnsi="Arial"/>
          <w:sz w:val="16"/>
          <w:szCs w:val="16"/>
          <w:color w:val="auto"/>
        </w:rPr>
        <w:t>” means all current and future products, activities and services related to the operation of the NetEase Business by the NetEase Group, in all current and future forms, and any natural evolutions or extensions thereof.</w:t>
      </w:r>
    </w:p>
    <w:p>
      <w:pPr>
        <w:spacing w:after="0" w:line="11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Group</w:t>
      </w:r>
      <w:r>
        <w:rPr>
          <w:rFonts w:ascii="Arial" w:cs="Arial" w:eastAsia="Arial" w:hAnsi="Arial"/>
          <w:sz w:val="18"/>
          <w:szCs w:val="18"/>
          <w:color w:val="auto"/>
        </w:rPr>
        <w:t>” means NetEase and its Subsidiaries and VIEs, other than the Youdao Group.</w:t>
      </w:r>
    </w:p>
    <w:p>
      <w:pPr>
        <w:spacing w:after="0" w:line="225"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NetEase Owned Intellectual Property</w:t>
      </w:r>
      <w:r>
        <w:rPr>
          <w:rFonts w:ascii="Arial" w:cs="Arial" w:eastAsia="Arial" w:hAnsi="Arial"/>
          <w:sz w:val="18"/>
          <w:szCs w:val="18"/>
          <w:color w:val="auto"/>
        </w:rPr>
        <w:t>” means any and all Intellectual Property owned by NetEase or any other member of the NetEase Group.</w:t>
      </w:r>
    </w:p>
    <w:p>
      <w:pPr>
        <w:spacing w:after="0" w:line="162"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Non-Competition Agreement</w:t>
      </w:r>
      <w:r>
        <w:rPr>
          <w:rFonts w:ascii="Arial" w:cs="Arial" w:eastAsia="Arial" w:hAnsi="Arial"/>
          <w:sz w:val="18"/>
          <w:szCs w:val="18"/>
          <w:color w:val="auto"/>
        </w:rPr>
        <w:t>” means the non-competition agreement by and between NetEase and Youdao dated September 27, 2019.</w:t>
      </w:r>
    </w:p>
    <w:p>
      <w:pPr>
        <w:spacing w:after="0" w:line="162"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 xml:space="preserve">“Online Learning Business” </w:t>
      </w:r>
      <w:r>
        <w:rPr>
          <w:rFonts w:ascii="Arial" w:cs="Arial" w:eastAsia="Arial" w:hAnsi="Arial"/>
          <w:sz w:val="17"/>
          <w:szCs w:val="17"/>
          <w:color w:val="auto"/>
        </w:rPr>
        <w:t>means the provision of online learning products (including online knowledge tools and smart</w:t>
      </w:r>
      <w:r>
        <w:rPr>
          <w:rFonts w:ascii="Arial" w:cs="Arial" w:eastAsia="Arial" w:hAnsi="Arial"/>
          <w:sz w:val="17"/>
          <w:szCs w:val="17"/>
          <w:b w:val="1"/>
          <w:bCs w:val="1"/>
          <w:color w:val="auto"/>
        </w:rPr>
        <w:t xml:space="preserve"> </w:t>
      </w:r>
      <w:r>
        <w:rPr>
          <w:rFonts w:ascii="Arial" w:cs="Arial" w:eastAsia="Arial" w:hAnsi="Arial"/>
          <w:sz w:val="17"/>
          <w:szCs w:val="17"/>
          <w:color w:val="auto"/>
        </w:rPr>
        <w:t>devices) and online learning services (including online courses and interactive learning apps) by the Youdao Group as of the date hereof, as more completely described in the IPO Registration Statement; for the avoidance of doubt, “Online Learning Business” shall not include development and operation of online games, emails, e-commerce business, FinTech services, music applications, online reading, news and information, information security, SaaS, NetEase open online courses, the K-12 curriculum course offered by the NetEase Group as of the date hereof, films, and television programs.</w:t>
      </w:r>
    </w:p>
    <w:p>
      <w:pPr>
        <w:spacing w:after="0" w:line="173"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a Governmental Authority or any department, agency or political subdivision thereof.</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Software</w:t>
      </w:r>
      <w:r>
        <w:rPr>
          <w:rFonts w:ascii="Arial" w:cs="Arial" w:eastAsia="Arial" w:hAnsi="Arial"/>
          <w:sz w:val="17"/>
          <w:szCs w:val="17"/>
          <w:color w:val="auto"/>
        </w:rPr>
        <w:t>” means any and all computer programs, firmware, middleware, systems, applications, specifications, databases, APIs, web widgets, code and software (in object code and source code), and embedded versions thereof, including all software implementations of algorithms, models and methodologies, any and all development and design tools, applets, compilers and assemblers (whether in object code or source code), and all files, media, documentation and all other embodiments thereof.</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given Person, any Person of which the given Person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Controls.</w:t>
      </w:r>
    </w:p>
    <w:p>
      <w:pPr>
        <w:spacing w:after="0" w:line="2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Article 6 of this Agreement.</w:t>
      </w:r>
    </w:p>
    <w:p>
      <w:pPr>
        <w:spacing w:after="0" w:line="225" w:lineRule="exact"/>
        <w:rPr>
          <w:sz w:val="20"/>
          <w:szCs w:val="20"/>
          <w:color w:val="auto"/>
        </w:rPr>
      </w:pPr>
    </w:p>
    <w:p>
      <w:pPr>
        <w:jc w:val="both"/>
        <w:ind w:right="360"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VIE</w:t>
      </w:r>
      <w:r>
        <w:rPr>
          <w:rFonts w:ascii="Arial" w:cs="Arial" w:eastAsia="Arial" w:hAnsi="Arial"/>
          <w:sz w:val="18"/>
          <w:szCs w:val="18"/>
          <w:color w:val="auto"/>
        </w:rPr>
        <w:t>” of any Person means any entity that is Controlled by such Person and is deemed to be a variable interest entity consolidated with such Person for purposes of generally accepted accounting principles in the United States as in effect from time to time.</w:t>
      </w:r>
    </w:p>
    <w:p>
      <w:pPr>
        <w:spacing w:after="0" w:line="176" w:lineRule="exact"/>
        <w:rPr>
          <w:sz w:val="20"/>
          <w:szCs w:val="20"/>
          <w:color w:val="auto"/>
        </w:rPr>
      </w:pPr>
    </w:p>
    <w:p>
      <w:pPr>
        <w:ind w:right="100" w:firstLine="991"/>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Youdao Field of Use</w:t>
      </w:r>
      <w:r>
        <w:rPr>
          <w:rFonts w:ascii="Arial" w:cs="Arial" w:eastAsia="Arial" w:hAnsi="Arial"/>
          <w:sz w:val="17"/>
          <w:szCs w:val="17"/>
          <w:color w:val="auto"/>
        </w:rPr>
        <w:t>” means all current and future products, activities and services related to the operation of the Online Learning Business by the Youdao Group, in all current and future forms, and any natural evolutions or extensions thereof.</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Group</w:t>
      </w:r>
      <w:r>
        <w:rPr>
          <w:rFonts w:ascii="Arial" w:cs="Arial" w:eastAsia="Arial" w:hAnsi="Arial"/>
          <w:sz w:val="18"/>
          <w:szCs w:val="18"/>
          <w:color w:val="auto"/>
        </w:rPr>
        <w:t>” means Youdao and its Subsidiaries and VIEs.</w:t>
      </w:r>
    </w:p>
    <w:p>
      <w:pPr>
        <w:spacing w:after="0" w:line="225"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Youdao Owned Intellectual Property</w:t>
      </w:r>
      <w:r>
        <w:rPr>
          <w:rFonts w:ascii="Arial" w:cs="Arial" w:eastAsia="Arial" w:hAnsi="Arial"/>
          <w:sz w:val="18"/>
          <w:szCs w:val="18"/>
          <w:color w:val="auto"/>
        </w:rPr>
        <w:t>” means any and all Intellectual Property owned by Youdao or any other member of the Youdao Group.</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GRANT AND SCOPE OF LICENSE</w:t>
      </w:r>
    </w:p>
    <w:p>
      <w:pPr>
        <w:spacing w:after="0" w:line="211"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Section 2.1. Subject to the terms and conditions herein, NetEase, on behalf of itself and other members of the NetEase Group, hereby grants to Youdao and other members of the Youdao Group a worldwide (other than, with respect to any applicable NeatEase Owned Intellectual Property, any jurisdiction in which neither NetEase nor a member of the NetEase Group has registered or otherwisecommon law rights (including through international treaties and conventions) to such Intellectual Property), fully paid-up (except as set forth below in Article 4), non-sublicensable (except as set forth below in Section 2.3), non-transferable (except as set forth below in Section 9.10), limited and non-exclusive license for a royalty as agreed by the Parties solely to use, reproduce, modify, prepare derivative works of, perform, display, or otherwise exploit within the Youdao Field of Use (i) the NetEase Owned Intellectual Property that as of the date of this Agreement is used by any member of the Youdao Group, including without limitation the Intellectual Property set forth on Schedule A (but excluding the NetEase Owned Intellectual Property used exclusively for the businesses related to the JV Entities), and (ii) any Improvements to the foregoing (i) in accordance with Section 5.1 during the Term of this Agreement.</w:t>
      </w:r>
    </w:p>
    <w:p>
      <w:pPr>
        <w:spacing w:after="0" w:line="16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Section 2.2. Subject to the terms and conditions herein, Youdao, on behalf of itself and other members of the Youdao Group, hereby grants to NetEase and other members of the NetEase Group a worldwide (other than, with respect to any applicable Youdao Owned Intellectual Property, any jurisdiction in which neither Youdao nor a member of the Youdao Group has registered or otherwise common law rights (including through international treaties and conventions) to such Intellectual Property), fully paid-up (except as set forth below in Article 4), non-sublicensable (except as set forth below in Section 2.3), non-transferable (except as set forth below in Section 9.10), limited and non-exclusive license for a royalty as agreed by the Parties solely to use, reproduce, modify, prepare derivative works of, perform, display, or otherwise exploit within the NetEase Field of Use (i) the Youdao Owned Intellectual Property that as of the date of this Agreement is used by any member of the NetEase Group, including without limitation the Intellectual Property set forth on Schedule B, (ii) the Youdao Owned Intellectual Property that is or will be needed by any member of the NetEase Group for the NetEase Business, and (iii) any Improvements to the foregoing (i) and (ii) in accordance with Section 5.2, in each instance, during the Term of this Agreement.</w:t>
      </w:r>
    </w:p>
    <w:p>
      <w:pPr>
        <w:spacing w:after="0" w:line="182"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2.3. Each licensed Party hereunder may sublicense the licenses received herein solely (a) to its vendors, consultants, contractors, partners, suppliers, Subsidiaries or VIEs, solely in connection with their services provided to the NetEase Group, on the one hand, or the Youdao Group, on the other hand, as the case may be; and (b) to its distributors and customers, solely in connection with the distribution, licensing, offering and sale of their current and future products related to each of their businesses, as applicable, but not for any independent or unrelated use of any such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grant of sublicenses pursuant to this section by Youdao or any of the other members of the Youdao Group (other than grant of sublicenses by Youdao to its Subsidiaries or VIEs) shall be subject to the prior consent of NetEase. Each licensed Party hereunder shall be liable to the other Party for any breaches of the terms of this Agreement by any of its sublicensees. Any sublicense granted by a licensed Party hereunder shall automatically terminate upon the termination or expiration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4" w:name="page285"/>
    <w:bookmarkEnd w:id="284"/>
    <w:p>
      <w:pPr>
        <w:ind w:right="20" w:firstLine="991"/>
        <w:spacing w:after="0" w:line="288" w:lineRule="auto"/>
        <w:rPr>
          <w:sz w:val="20"/>
          <w:szCs w:val="20"/>
          <w:color w:val="auto"/>
        </w:rPr>
      </w:pPr>
      <w:r>
        <w:rPr>
          <w:rFonts w:ascii="Arial" w:cs="Arial" w:eastAsia="Arial" w:hAnsi="Arial"/>
          <w:sz w:val="16"/>
          <w:szCs w:val="16"/>
          <w:color w:val="auto"/>
        </w:rPr>
        <w:t>Section 2.4. As between the Parties, the NetEase Group retains sole and exclusive ownership of and all right, title and interest in and to the NetEase Owned Intellectual Property, and does not convey any right, license or proprietary interest therein to Youdao Group other than the licenses granted, or as otherwise expressly specified, herein. All right, title and interest in and to the NetEase Owned Intellectual Property not expressly granted herein are hereby reserved exclusively by the NetEase Group. Youdao Group shall reasonably cooperate and provide reasonable assistance as may be necessary to verify the NetEase Group’s ownership rights in accordance with the foregoing. As between the Parties, Youdao retains sole and exclusive ownership of and all right, title and interest in and to the Youdao Owned Intellectual Property, and does not convey any right, license or proprietary interest therein to the NetEase Group other than the licenses granted, or as otherwise expressly specified, herein. All right, title and interest in and to the Youdao Owned Intellectual Property not expressly granted herein are hereby reserved exclusively by Youdao. The NetEase Group shall reasonably cooperate and provide reasonable assistance as may be necessary to verify Youdao’s ownership rights in accordance with the foregoing.</w:t>
      </w:r>
    </w:p>
    <w:p>
      <w:pPr>
        <w:spacing w:after="0" w:line="168" w:lineRule="exact"/>
        <w:rPr>
          <w:sz w:val="20"/>
          <w:szCs w:val="20"/>
          <w:color w:val="auto"/>
        </w:rPr>
      </w:pPr>
    </w:p>
    <w:p>
      <w:pPr>
        <w:jc w:val="both"/>
        <w:ind w:right="220" w:firstLine="991"/>
        <w:spacing w:after="0" w:line="286" w:lineRule="auto"/>
        <w:rPr>
          <w:sz w:val="20"/>
          <w:szCs w:val="20"/>
          <w:color w:val="auto"/>
        </w:rPr>
      </w:pPr>
      <w:r>
        <w:rPr>
          <w:rFonts w:ascii="Arial" w:cs="Arial" w:eastAsia="Arial" w:hAnsi="Arial"/>
          <w:sz w:val="17"/>
          <w:szCs w:val="17"/>
          <w:color w:val="auto"/>
        </w:rPr>
        <w:t>Section 2.5. Each Party acknowledges and agrees that, except as set forth in Section 2.6, Article 4 and Article 5 hereof, neither Party has any obligations under this Agreement with respect to delivery, training, registration, maintenance, policing, support, notification of infringements or renewal with respect to any Intellectual Property licensed herein.</w:t>
      </w:r>
    </w:p>
    <w:p>
      <w:pPr>
        <w:spacing w:after="0" w:line="16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Section 2.6. As between the Parties, each Party shall have sole and exclusive discretion and control with respect to prosecuting, obtaining, maintaining, enforcing, renewing and protecting Intellectual Property, including any applications and registrations for any Intellectual Property, it owns and shall do so at its own costs and expenses during the Term of this Agreement, except as otherwise provided herein. Each Party shall notify the other Party promptly in writing in the event such Party becomes aware of any third-party infringement or threatened infringement of any Intellectual Property owned by the other Party or such Party’s Subsidiaries or VIEs.</w:t>
      </w:r>
    </w:p>
    <w:p>
      <w:pPr>
        <w:spacing w:after="0" w:line="192"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color w:val="auto"/>
        </w:rPr>
        <w:t>In order to preserve the inherent value of the NetEase Owned Intellectual Property, including, for the</w:t>
      </w:r>
    </w:p>
    <w:p>
      <w:pPr>
        <w:spacing w:after="0" w:line="23"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avoidance of doubt, “ ” “ ,” “NetEase,” “163” and “ </w:t>
      </w:r>
      <w:r>
        <w:rPr>
          <w:sz w:val="1"/>
          <w:szCs w:val="1"/>
          <w:color w:val="auto"/>
        </w:rPr>
        <w:drawing>
          <wp:inline distT="0" distB="0" distL="0" distR="0">
            <wp:extent cx="282575" cy="11176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4">
                      <a:extLst>
                        <a:ext uri="{28A0092B-C50C-407E-A947-70E740481C1C}"/>
                      </a:extLst>
                    </a:blip>
                    <a:srcRect/>
                    <a:stretch>
                      <a:fillRect/>
                    </a:stretch>
                  </pic:blipFill>
                  <pic:spPr bwMode="auto">
                    <a:xfrm>
                      <a:off x="0" y="0"/>
                      <a:ext cx="282575" cy="111760"/>
                    </a:xfrm>
                    <a:prstGeom prst="rect">
                      <a:avLst/>
                    </a:prstGeom>
                    <a:noFill/>
                    <a:ln>
                      <a:noFill/>
                    </a:ln>
                  </pic:spPr>
                </pic:pic>
              </a:graphicData>
            </a:graphic>
          </wp:inline>
        </w:drawing>
      </w:r>
      <w:r>
        <w:rPr>
          <w:rFonts w:ascii="Arial" w:cs="Arial" w:eastAsia="Arial" w:hAnsi="Arial"/>
          <w:sz w:val="16"/>
          <w:szCs w:val="16"/>
          <w:color w:val="auto"/>
        </w:rPr>
        <w:t xml:space="preserve"> ” (collectively, the “</w:t>
      </w:r>
      <w:r>
        <w:rPr>
          <w:rFonts w:ascii="Arial" w:cs="Arial" w:eastAsia="Arial" w:hAnsi="Arial"/>
          <w:sz w:val="16"/>
          <w:szCs w:val="16"/>
          <w:b w:val="1"/>
          <w:bCs w:val="1"/>
          <w:color w:val="auto"/>
        </w:rPr>
        <w:t>Key NetEase Owned Intellectual Property</w:t>
      </w:r>
      <w:r>
        <w:rPr>
          <w:rFonts w:ascii="Arial" w:cs="Arial" w:eastAsia="Arial" w:hAnsi="Arial"/>
          <w:sz w:val="16"/>
          <w:szCs w:val="16"/>
          <w:color w:val="auto"/>
        </w:rPr>
        <w:t>”), Youdao shall ensure that the nature and quality of any products, activities, applications or services in connection with which any member of the Youdao Group uses the NetEase Owned Intellectual Property shall continue to be at least equal to the nature and quality of the products, activities, applications or services offered in connection with the Online Learning Business immediately prior to the date hereof. Youdao agrees to use the NetEase Owned Intellectual Property only in accordance with such branding and style guidelines as used by the Online Learning Business immediately prior to the date hereof or as otherwise may be reasonably established by NetEase in connection with its own business and communicated in writing to Youdao from time to time or as may otherwise be agreed to by the Parties from time to time. In the event that NetEase reasonably determines that any use by any member of the Youdao Group of the NetEase Owned Intellectual Property is in violation of this Section 2.7, Youdao shall remedy such non-conforming use as soon as reasonably practicable and if, in the reasonable determination of NetEase, the use poses a threat to the validity or enforceability of the NetEase Owned Intellectual Property or harm to the NetEase Business, or its reputation or goodwill, Youdao shall, as soon as reasonably practicable following receipt of notice from NetEase, cease and desist all such non-conforming uses.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5" w:name="page286"/>
    <w:bookmarkEnd w:id="285"/>
    <w:p>
      <w:pPr>
        <w:ind w:right="160" w:firstLine="991"/>
        <w:spacing w:after="0" w:line="291" w:lineRule="auto"/>
        <w:rPr>
          <w:sz w:val="20"/>
          <w:szCs w:val="20"/>
          <w:color w:val="auto"/>
        </w:rPr>
      </w:pPr>
      <w:r>
        <w:rPr>
          <w:rFonts w:ascii="Arial" w:cs="Arial" w:eastAsia="Arial" w:hAnsi="Arial"/>
          <w:sz w:val="16"/>
          <w:szCs w:val="16"/>
          <w:color w:val="auto"/>
        </w:rPr>
        <w:t>Section 2.8. All goodwill and improved reputation generated by any member of the Youdao Group’s use of the NetEase Owned Intellectual Property shall inure solely to the benefit of NetEase. Youdao shall not, without NetEase’s prior written consent,</w:t>
      </w:r>
    </w:p>
    <w:p>
      <w:pPr>
        <w:ind w:firstLine="9"/>
        <w:spacing w:after="0" w:line="285" w:lineRule="auto"/>
        <w:tabs>
          <w:tab w:leader="none" w:pos="24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use the NetEase Owned Intellectual Property in any manner that tarnishes, degrades, disparages or reflects adversely on NetEase, the NetEase Business or its reputation, or which otherwise harms the value, reputation, or distinctiveness of the NetEase Owned Intellectual Property or the goodwill therein, (b) in any jurisdiction, file applications to register any Intellectual Property that consist of, in whole or in part, or are confusingly similar to, the NetEase Owned Intellectual Property, including, for the avoidance of doubt, the Key NetEase Owned Intellectual Property, (c) contest, challenge or otherwise make any claim or take any action adverse to NetEase’s ownership of or interest in the NetEase Owned Intellectual Property, (d) register any domain names, trademarks or trade names that consist of, in whole or in part, or are confusingly similar to NetEase Owned Intellectual Property, (e) use, associate or link, in any manner, NetEase Owned Intellectual Property in connection with any illegal materials, pornographic, obscene or sexually explicit materials, materials of a violent nature, or politically sensitive materials (provided that, with respect to user generated content, this requirement will be fulfilled if Youdao uses commercially reasonable efforts to monitor such content and remove or “take down” such content in a manner consistent with past practice), or (f) create or develop any new products or services within the Youdao Field of Use after the date hereof whose name derives from, is confusingly similar to or otherwise would constitute infringement of the NetEase Owned Intellectual Property.</w:t>
      </w:r>
    </w:p>
    <w:p>
      <w:pPr>
        <w:spacing w:after="0" w:line="172"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Section 2.9. Each Party hereby represents and warrants that it and its Subsidiaries and VIEs have all necessary and lawful rights to grant the licenses and rights granted herein by such Party, including, with respect to NetEase, the license granted in Section 3.1 herein.</w:t>
      </w:r>
    </w:p>
    <w:p>
      <w:pPr>
        <w:spacing w:after="0" w:line="184"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Section 2.10. The rights granted to each Party in this Article 2 are without prejudice to the non-compete obligations of such Party contained in the Non-Competition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 ON SHARING OF INFORMATION AND DATA</w:t>
      </w:r>
    </w:p>
    <w:p>
      <w:pPr>
        <w:spacing w:after="0" w:line="211"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Section 3.1. Without limiting the scope of information to be shared with the Youdao Group under this Agreement, NetEase, on behalf of itself and other members of the NetEase Group (other than the JV Entities), hereby grants, to the extent permitted under and in compliance with applicable laws and regulations and not violating NetEase’s contractual obligations owed to a third party, a license for use by members of the Youdao Group of the user registration information pertaining to NetEase’s user registration system (the “</w:t>
      </w:r>
      <w:r>
        <w:rPr>
          <w:rFonts w:ascii="Arial" w:cs="Arial" w:eastAsia="Arial" w:hAnsi="Arial"/>
          <w:sz w:val="17"/>
          <w:szCs w:val="17"/>
          <w:b w:val="1"/>
          <w:bCs w:val="1"/>
          <w:color w:val="auto"/>
        </w:rPr>
        <w:t>NetEase User Registration Information</w:t>
      </w:r>
      <w:r>
        <w:rPr>
          <w:rFonts w:ascii="Arial" w:cs="Arial" w:eastAsia="Arial" w:hAnsi="Arial"/>
          <w:sz w:val="17"/>
          <w:szCs w:val="17"/>
          <w:color w:val="auto"/>
        </w:rPr>
        <w:t>”) free of charge solely for use in connection with the Online Learning Business. All of the NetEase User Registration Information is and will continue to be solely owned by the NetEase Group despite this Section 3.1. To safeguard the security and confidentiality of NetEase User Registration Information, the member(s) of the Youdao Group to which the use of the NetEase User Registration Information is licensed shall collect and store such information and protect it against unauthorized or unlawful access as required by applicable laws and regulations.</w:t>
      </w:r>
    </w:p>
    <w:p>
      <w:pPr>
        <w:spacing w:after="0" w:line="181"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3.2. Nothing in Section 3.1 shall require a Party to violate applicable law or any agreement with any user or third party regarding the confidentiality or sharing of personal, confidential or proprietary information relating to that user or third party (or its business);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event that a Party is required under Section 3.1 to disclose any such information, such Party shall use its reasonable best efforts to obtain such third party’s consent, if required, to the disclosure of such information and shall not share such information with the other Party without obtaining such consent.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286" w:name="page287"/>
    <w:bookmarkEnd w:id="286"/>
    <w:p>
      <w:pPr>
        <w:ind w:right="240" w:firstLine="991"/>
        <w:spacing w:after="0" w:line="277" w:lineRule="auto"/>
        <w:rPr>
          <w:sz w:val="20"/>
          <w:szCs w:val="20"/>
          <w:color w:val="auto"/>
        </w:rPr>
      </w:pPr>
      <w:r>
        <w:rPr>
          <w:rFonts w:ascii="Arial" w:cs="Arial" w:eastAsia="Arial" w:hAnsi="Arial"/>
          <w:sz w:val="18"/>
          <w:szCs w:val="18"/>
          <w:color w:val="auto"/>
        </w:rPr>
        <w:t>Section 3.3. The rights granted to each Party in this Article 3 are without prejudice to the non-compete obligations of such Party contained in the Non-Competition Agreement.</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MAINTENANCE AND SUPPORT</w:t>
      </w:r>
    </w:p>
    <w:p>
      <w:pPr>
        <w:spacing w:after="0" w:line="211" w:lineRule="exact"/>
        <w:rPr>
          <w:sz w:val="20"/>
          <w:szCs w:val="20"/>
          <w:color w:val="auto"/>
        </w:rPr>
      </w:pPr>
    </w:p>
    <w:p>
      <w:pPr>
        <w:jc w:val="both"/>
        <w:ind w:firstLine="440"/>
        <w:spacing w:after="0" w:line="301" w:lineRule="auto"/>
        <w:rPr>
          <w:sz w:val="20"/>
          <w:szCs w:val="20"/>
          <w:color w:val="auto"/>
        </w:rPr>
      </w:pPr>
      <w:r>
        <w:rPr>
          <w:rFonts w:ascii="Arial" w:cs="Arial" w:eastAsia="Arial" w:hAnsi="Arial"/>
          <w:sz w:val="16"/>
          <w:szCs w:val="16"/>
          <w:color w:val="auto"/>
        </w:rPr>
        <w:t>During the Term of this Agreement, upon a Party’s request, the other Party shall provide or cause to be provided to the requesting Party and its Subsidiaries and VIEs all support services reasonably requested in connection with the Intellectual Property licensed under Article 2. Such maintenance and support services shall be provided pursuant to the service levels consistent with past practice, and may be charged at reasonably allocated costs on fair and reasonable terms to be mutually agreed upon by the Parties.</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IMPROVEMENTS; DELIVERY</w:t>
      </w:r>
    </w:p>
    <w:p>
      <w:pPr>
        <w:spacing w:after="0" w:line="211" w:lineRule="exact"/>
        <w:rPr>
          <w:sz w:val="20"/>
          <w:szCs w:val="20"/>
          <w:color w:val="auto"/>
        </w:rPr>
      </w:pPr>
    </w:p>
    <w:p>
      <w:pPr>
        <w:ind w:right="40" w:firstLine="1432"/>
        <w:spacing w:after="0" w:line="259" w:lineRule="auto"/>
        <w:rPr>
          <w:sz w:val="20"/>
          <w:szCs w:val="20"/>
          <w:color w:val="auto"/>
        </w:rPr>
      </w:pPr>
      <w:r>
        <w:rPr>
          <w:rFonts w:ascii="Arial" w:cs="Arial" w:eastAsia="Arial" w:hAnsi="Arial"/>
          <w:sz w:val="18"/>
          <w:szCs w:val="18"/>
          <w:color w:val="auto"/>
        </w:rPr>
        <w:t>Section 5.1. If any member of the NetEase Group or the Youdao Group creates or develops any Improvements to the NetEase Owned Intellectual Property during the Term of this Agreement, such Improvements shall be deemed a part of the NetEase Owned Intellectual Property for the purposes of this Agreement and licensed to the Youdao Group pursuant to the license granted in Section 2.1.</w:t>
      </w:r>
    </w:p>
    <w:p>
      <w:pPr>
        <w:spacing w:after="0" w:line="187" w:lineRule="exact"/>
        <w:rPr>
          <w:sz w:val="20"/>
          <w:szCs w:val="20"/>
          <w:color w:val="auto"/>
        </w:rPr>
      </w:pPr>
    </w:p>
    <w:p>
      <w:pPr>
        <w:ind w:right="100" w:firstLine="1432"/>
        <w:spacing w:after="0" w:line="259" w:lineRule="auto"/>
        <w:rPr>
          <w:sz w:val="20"/>
          <w:szCs w:val="20"/>
          <w:color w:val="auto"/>
        </w:rPr>
      </w:pPr>
      <w:r>
        <w:rPr>
          <w:rFonts w:ascii="Arial" w:cs="Arial" w:eastAsia="Arial" w:hAnsi="Arial"/>
          <w:sz w:val="18"/>
          <w:szCs w:val="18"/>
          <w:color w:val="auto"/>
        </w:rPr>
        <w:t>Section 5.2. If any member of the Youdao Group or the NetEase Group creates or develops any Improvements to the Youdao Owned Intellectual Property during the Term of this Agreement, such Improvements shall be deemed a part of the Youdao Owned Intellectual Property for the purposes of this Agreement and licensed to the NetEase Group pursuant to the license granted in Section 2.2.</w:t>
      </w:r>
    </w:p>
    <w:p>
      <w:pPr>
        <w:spacing w:after="0" w:line="1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11" w:lineRule="exact"/>
        <w:rPr>
          <w:sz w:val="20"/>
          <w:szCs w:val="20"/>
          <w:color w:val="auto"/>
        </w:rPr>
      </w:pPr>
    </w:p>
    <w:p>
      <w:pPr>
        <w:ind w:right="60" w:firstLine="1432"/>
        <w:spacing w:after="0" w:line="290" w:lineRule="auto"/>
        <w:rPr>
          <w:sz w:val="20"/>
          <w:szCs w:val="20"/>
          <w:color w:val="auto"/>
        </w:rPr>
      </w:pPr>
      <w:r>
        <w:rPr>
          <w:rFonts w:ascii="Arial" w:cs="Arial" w:eastAsia="Arial" w:hAnsi="Arial"/>
          <w:sz w:val="16"/>
          <w:szCs w:val="16"/>
          <w:color w:val="auto"/>
        </w:rPr>
        <w:t>Section 6.1. This Agreement shall come into effect on the closing date of the IPO, on which the delivery of and payment for the securities offered by Youdao in connection with the IPO (excluding securities offered by Youdao upon underwriter(s)’ exercise of over-allotment option(s)) will take place. Unless this Agreement is terminated pursuant to the express provisions of this Agreement or as agreed by the Parties in writing, the valid term of this Agreement shall end on the earlier of (i) the fifteenth (15</w:t>
      </w:r>
      <w:r>
        <w:rPr>
          <w:rFonts w:ascii="Arial" w:cs="Arial" w:eastAsia="Arial" w:hAnsi="Arial"/>
          <w:sz w:val="13"/>
          <w:szCs w:val="13"/>
          <w:color w:val="auto"/>
        </w:rPr>
        <w:t>th</w:t>
      </w:r>
      <w:r>
        <w:rPr>
          <w:rFonts w:ascii="Arial" w:cs="Arial" w:eastAsia="Arial" w:hAnsi="Arial"/>
          <w:sz w:val="16"/>
          <w:szCs w:val="16"/>
          <w:color w:val="auto"/>
        </w:rPr>
        <w:t>) anniversary of the effectiveness of this Agreement, or (ii) one (1) year afte the Control Ending Date with respect to the agreement on sharing of information and data under Article 3 or five (5) years after the Control Ending Date with respect to the remaining Articles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At least one (1) month prior to the expiration of the Term set forth above, the Parties shall consult each other on the extension of the Term, which may be mutually agreed to by the Parties in writing.</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5" w:right="1119" w:bottom="1440" w:gutter="0" w:footer="0" w:header="0"/>
        </w:sectPr>
      </w:pPr>
    </w:p>
    <w:bookmarkStart w:id="287" w:name="page288"/>
    <w:bookmarkEnd w:id="287"/>
    <w:p>
      <w:pPr>
        <w:ind w:right="40" w:firstLine="1432"/>
        <w:spacing w:after="0" w:line="259" w:lineRule="auto"/>
        <w:rPr>
          <w:sz w:val="20"/>
          <w:szCs w:val="20"/>
          <w:color w:val="auto"/>
        </w:rPr>
      </w:pPr>
      <w:r>
        <w:rPr>
          <w:rFonts w:ascii="Arial" w:cs="Arial" w:eastAsia="Arial" w:hAnsi="Arial"/>
          <w:sz w:val="18"/>
          <w:szCs w:val="18"/>
          <w:color w:val="auto"/>
        </w:rPr>
        <w:t>Section 6.2. Each Party shall have the right to terminate this Agreement in whole or in part if the other Party materially fails to comply with this Agreement or Section 4.5 of the Master Transaction Agreement, provided such default has not been cured within thirty (30) calendar days after written notice of such default to such Party (such thirty (30) calendar days remediation period will be available only when such breach is curable).</w:t>
      </w:r>
    </w:p>
    <w:p>
      <w:pPr>
        <w:spacing w:after="0" w:line="187" w:lineRule="exact"/>
        <w:rPr>
          <w:sz w:val="20"/>
          <w:szCs w:val="20"/>
          <w:color w:val="auto"/>
        </w:rPr>
      </w:pPr>
    </w:p>
    <w:p>
      <w:pPr>
        <w:ind w:right="140" w:firstLine="1432"/>
        <w:spacing w:after="0" w:line="279" w:lineRule="auto"/>
        <w:rPr>
          <w:sz w:val="20"/>
          <w:szCs w:val="20"/>
          <w:color w:val="auto"/>
        </w:rPr>
      </w:pPr>
      <w:r>
        <w:rPr>
          <w:rFonts w:ascii="Arial" w:cs="Arial" w:eastAsia="Arial" w:hAnsi="Arial"/>
          <w:sz w:val="17"/>
          <w:szCs w:val="17"/>
          <w:color w:val="auto"/>
        </w:rPr>
        <w:t>Section 6.3. Upon termination of this Agreement, in whole or in part, each Party shall promptly return to the other Party or destroy all materials relating to the terminated portion which comprise any Intellectual Property or confidential or proprietary information of the other Party, including all copies, translations and conversions thereof and shall make no further use thereof. Each Party shall certify to the other Party in writing that it has complied with the provisions of this Section 6.3.</w:t>
      </w:r>
    </w:p>
    <w:p>
      <w:pPr>
        <w:spacing w:after="0" w:line="171"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Section 6.4. The obligations of the Parties in Article 6, Article 7, Article 8 and Article 9 shall survive termination of this Agreement. Nothing contained herein shall limit any other remedies that a Party may have for the default of the other Party under this Agreement nor relieve the other Party of any of its obligations incurred prior to such termination.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DISCLAIMER</w:t>
      </w:r>
    </w:p>
    <w:p>
      <w:pPr>
        <w:spacing w:after="0" w:line="211"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THE INTELLECTUAL PROPERTY, INCLUDING DATA, LICENSED BY EACH PARTY HEREUNDER IS PROVIDED “AS IS.” NEITHER PARTY PROVIDES ANY WARRANTIES, EITHER EXPRESS, IMPLIED, STATUTORY, OR OTHERWISE, WITH RESPECT TO ANY SUCH INTELLECTUAL PROPERTY, AND THE PARTIES SPECIFICALLY DISCLAIM ALL IMPLIED WARRANTIES, INCLUDING THE IMPLIED WARRANTIES OF MERCHANTABILITY, NON-INFRINGEMENT AND FITNESS FOR A PARTICULAR PURPOSE OR ANY WARRANTIES THAT MAY BE OTHERWISE IMPLIED FROM ANY COURSE OF DEALING OR COURSE OF PERFORMANCE OR USAGE.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LIMITATION OF LIABILITY</w:t>
      </w:r>
    </w:p>
    <w:p>
      <w:pPr>
        <w:spacing w:after="0" w:line="211"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EXCEPT FOR ANY BREACH OF ARTICLE 2 OF THIS AGREEMENT, IN NO EVENT SHALL NETEASE OR ANY OTHER MEMBER OF THE NETEASE GROUP OR YOUDAO OR ANY OTHER MEMBER OF THE YOUDAO GROUP BE LIABLE TO THE OTHER PARTY OR ITS AFFILIATED COMPANIES FOR ANY LOST PROFITS OR CONSEQUENTIAL, INDIRECT, PUNITIVE, EXEMPLARY, SPECIAL, OR INCIDENTAL DAMAGES HOWEVER CAUSED AND ON ANY THEORY OF LIABILITY (INCLUDING NEGLIGENCE) ARISING IN ANY WAY OUT OF THIS AGREEMENT, WHETHER OR NOT SUCH PARTY HAS BEEN ADVISED OF THE POSSIBILITY OF SUCH DAMAGES. SUBJECT TO THE FOREGOING, NOTHING IN THIS AGREEMENT LIMITS A PARTY’S RIGHT TO SEEK REMEDIES THAT SUCH PARTY IS ENTITLED TO FOR ANY BREACH OF THIS AGREEMENT, WHETHER AT LAW OR IN EQUITY, INCLUDING WITHOUT LIMITATION THE RIGHT TO TERMINATE THIS AGREEMENT IN THE EVENT THAT THE OTHER PARTY MATERIALLY BREACHES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88" w:name="page289"/>
    <w:bookmarkEnd w:id="288"/>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Section 9.1. If required under applicable law, including PRC law, each Party shall record this Agreement at the applicable trademark and patent office, including, if required, the Trademark Office of China and at the Patent Bureau of China, within three (3) months after the effectiveness of this Agreement. The Parties agree to work together in good faith to amend this Agreement pursuant to Section 9.2 or enter into one or more additional intellectual property license agreements subordinate to this Agreement solely as necessary in order to obtain such recordation. In the event of any conflict or inconsistency between any provision of such additional intellectual property license agreement and the provisions set forth in this Agreement, the provisions set forth in this Agreement shall control and govern.</w:t>
      </w:r>
    </w:p>
    <w:p>
      <w:pPr>
        <w:spacing w:after="0" w:line="195" w:lineRule="exact"/>
        <w:rPr>
          <w:sz w:val="20"/>
          <w:szCs w:val="20"/>
          <w:color w:val="auto"/>
        </w:rPr>
      </w:pPr>
    </w:p>
    <w:p>
      <w:pPr>
        <w:ind w:right="600" w:firstLine="1432"/>
        <w:spacing w:after="0" w:line="277" w:lineRule="auto"/>
        <w:rPr>
          <w:sz w:val="20"/>
          <w:szCs w:val="20"/>
          <w:color w:val="auto"/>
        </w:rPr>
      </w:pPr>
      <w:r>
        <w:rPr>
          <w:rFonts w:ascii="Arial" w:cs="Arial" w:eastAsia="Arial" w:hAnsi="Arial"/>
          <w:sz w:val="18"/>
          <w:szCs w:val="18"/>
          <w:color w:val="auto"/>
        </w:rPr>
        <w:t>Section 9.2. This Agreement (including Schedules) may not be amended except by an instrument in writing executed by a duly authorized representative of each Party.</w:t>
      </w:r>
    </w:p>
    <w:p>
      <w:pPr>
        <w:spacing w:after="0" w:line="170" w:lineRule="exact"/>
        <w:rPr>
          <w:sz w:val="20"/>
          <w:szCs w:val="20"/>
          <w:color w:val="auto"/>
        </w:rPr>
      </w:pPr>
    </w:p>
    <w:p>
      <w:pPr>
        <w:ind w:firstLine="1432"/>
        <w:spacing w:after="0" w:line="254" w:lineRule="auto"/>
        <w:rPr>
          <w:sz w:val="20"/>
          <w:szCs w:val="20"/>
          <w:color w:val="auto"/>
        </w:rPr>
      </w:pPr>
      <w:r>
        <w:rPr>
          <w:rFonts w:ascii="Arial" w:cs="Arial" w:eastAsia="Arial" w:hAnsi="Arial"/>
          <w:sz w:val="18"/>
          <w:szCs w:val="18"/>
          <w:color w:val="auto"/>
        </w:rPr>
        <w:t>Section 9.3. Notices, offers, requests or other communications required or permitted to be given by a Party pursuant to the terms of this Agreement shall be given in writing to the other Party to the addresses set forth in Schedule C hereto, or to such other address, facsimile number or email address as the Party to whom notice is given may have previously furnished to the other in writing as provided herein. Any notice involving non-performance or termination shall be sent by hand delivery or recognized courier. All other notices may also be sent by facsimile or email, confirmed by mail. All notices shall be deemed to have been given when received, if hand delivered; when transmitted, if transmitted by facsimile or email; upon confirmation of delivery, if sent by recognized courier; and upon receipt if mailed.</w:t>
      </w:r>
    </w:p>
    <w:p>
      <w:pPr>
        <w:spacing w:after="0" w:line="195" w:lineRule="exact"/>
        <w:rPr>
          <w:sz w:val="20"/>
          <w:szCs w:val="20"/>
          <w:color w:val="auto"/>
        </w:rPr>
      </w:pPr>
    </w:p>
    <w:p>
      <w:pPr>
        <w:ind w:left="1440"/>
        <w:spacing w:after="0"/>
        <w:tabs>
          <w:tab w:leader="none" w:pos="2460" w:val="left"/>
        </w:tabs>
        <w:rPr>
          <w:sz w:val="20"/>
          <w:szCs w:val="20"/>
          <w:color w:val="auto"/>
        </w:rPr>
      </w:pPr>
      <w:r>
        <w:rPr>
          <w:rFonts w:ascii="Arial" w:cs="Arial" w:eastAsia="Arial" w:hAnsi="Arial"/>
          <w:sz w:val="18"/>
          <w:szCs w:val="18"/>
          <w:color w:val="auto"/>
        </w:rPr>
        <w:t>Section 9.4.</w:t>
      </w:r>
      <w:r>
        <w:rPr>
          <w:sz w:val="20"/>
          <w:szCs w:val="20"/>
          <w:color w:val="auto"/>
        </w:rPr>
        <w:tab/>
      </w:r>
      <w:r>
        <w:rPr>
          <w:rFonts w:ascii="Arial" w:cs="Arial" w:eastAsia="Arial" w:hAnsi="Arial"/>
          <w:sz w:val="16"/>
          <w:szCs w:val="16"/>
          <w:color w:val="auto"/>
        </w:rPr>
        <w:t>This Agreement shall be governed by, and construed in accordance with, the laws of the State of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York, U.S.A.</w:t>
      </w:r>
    </w:p>
    <w:p>
      <w:pPr>
        <w:spacing w:after="0" w:line="211"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Section 9.5. The Parties hereto acknowledge and agree that the Parties hereto may be irreparably damaged if any of the provisions of this Agreement are not performed in accordance with their specific terms or are otherwise breached and that any non-performance or breach of this Agreement by any Party hereto may not be adequately compensated by monetary damages alone and that the Parties hereto may not have any adequate remedy at law. Accordingly, in addition to any other right or remedy to which any Party hereto may be entitled, at law or in equity (including monetary damages), such Party shall be entitled to enforce any provision of this Agreement (including Sections 2.1, 2.2 and 2.3) by a decree of specific performance and to temporary, preliminary and permanent injunctive relief to prevent breaches or threatened breaches of any of the provisions of this Agreement without posting any bond or other undertaking.</w:t>
      </w:r>
    </w:p>
    <w:p>
      <w:pPr>
        <w:spacing w:after="0" w:line="192" w:lineRule="exact"/>
        <w:rPr>
          <w:sz w:val="20"/>
          <w:szCs w:val="20"/>
          <w:color w:val="auto"/>
        </w:rPr>
      </w:pPr>
    </w:p>
    <w:p>
      <w:pPr>
        <w:ind w:right="20" w:firstLine="1432"/>
        <w:spacing w:after="0" w:line="253" w:lineRule="auto"/>
        <w:rPr>
          <w:sz w:val="20"/>
          <w:szCs w:val="20"/>
          <w:color w:val="auto"/>
        </w:rPr>
      </w:pPr>
      <w:r>
        <w:rPr>
          <w:rFonts w:ascii="Arial" w:cs="Arial" w:eastAsia="Arial" w:hAnsi="Arial"/>
          <w:sz w:val="18"/>
          <w:szCs w:val="18"/>
          <w:color w:val="auto"/>
        </w:rPr>
        <w:t>Section 9.6. Any dispute, controversy, difference or claim arising out of or relating to this Agreement, including the existence, validity, interpretation, performance, breach or termination thereof or any dispute regarding non-contractual obligations arising out of or relating to it (“</w:t>
      </w:r>
      <w:r>
        <w:rPr>
          <w:rFonts w:ascii="Arial" w:cs="Arial" w:eastAsia="Arial" w:hAnsi="Arial"/>
          <w:sz w:val="18"/>
          <w:szCs w:val="18"/>
          <w:b w:val="1"/>
          <w:bCs w:val="1"/>
          <w:color w:val="auto"/>
        </w:rPr>
        <w:t>Dispute</w:t>
      </w:r>
      <w:r>
        <w:rPr>
          <w:rFonts w:ascii="Arial" w:cs="Arial" w:eastAsia="Arial" w:hAnsi="Arial"/>
          <w:sz w:val="18"/>
          <w:szCs w:val="18"/>
          <w:color w:val="auto"/>
        </w:rPr>
        <w:t>”) which arises between the Parties shall first be negotiated between appropriate senior executives of each Party who shall have the authority to resolve the matter. Such executives shall meet to attempt in good faith to negotiate a resolution of the Dispute prior to pursuing other available remedies, within ten (10) calendar days of receipt by a Party of written notice of a Dispute, which date of receipt shall be referred to herein as the “</w:t>
      </w:r>
      <w:r>
        <w:rPr>
          <w:rFonts w:ascii="Arial" w:cs="Arial" w:eastAsia="Arial" w:hAnsi="Arial"/>
          <w:sz w:val="18"/>
          <w:szCs w:val="18"/>
          <w:b w:val="1"/>
          <w:bCs w:val="1"/>
          <w:color w:val="auto"/>
        </w:rPr>
        <w:t>Dispute Resolution Commencement Date</w:t>
      </w:r>
      <w:r>
        <w:rPr>
          <w:rFonts w:ascii="Arial" w:cs="Arial" w:eastAsia="Arial" w:hAnsi="Arial"/>
          <w:sz w:val="18"/>
          <w:szCs w:val="18"/>
          <w:color w:val="auto"/>
        </w:rPr>
        <w:t>.” Discussions and correspondence relating to trying to resolve such Dispute shall be conducted on a without prejudice basis, treated as Confidential Information, shall be exempt from discovery or production, and shall not be admissible in any subsequent proceeding between the Parties.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9" w:name="page290"/>
    <w:bookmarkEnd w:id="289"/>
    <w:p>
      <w:pPr>
        <w:ind w:right="80" w:firstLine="1991"/>
        <w:spacing w:after="0" w:line="259" w:lineRule="auto"/>
        <w:tabs>
          <w:tab w:leader="none" w:pos="236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senior executives are unable to resolve the Dispute within sixty (60) calendar days from the Dispute Resolution Commencement Date, the exclusive means of continuing to pursue resolution of the the Dispute is to submit the Dispute to the boards of directors of NetEase and Youdao. Representatives of each board of directors shall meet as soon as practicable to attempt in good faith to negotiate a resolution of the Dispute.</w:t>
      </w:r>
    </w:p>
    <w:p>
      <w:pPr>
        <w:spacing w:after="0" w:line="186" w:lineRule="exact"/>
        <w:rPr>
          <w:rFonts w:ascii="Arial" w:cs="Arial" w:eastAsia="Arial" w:hAnsi="Arial"/>
          <w:sz w:val="18"/>
          <w:szCs w:val="18"/>
          <w:color w:val="auto"/>
        </w:rPr>
      </w:pPr>
    </w:p>
    <w:p>
      <w:pPr>
        <w:ind w:right="20" w:firstLine="1991"/>
        <w:spacing w:after="0" w:line="272" w:lineRule="auto"/>
        <w:tabs>
          <w:tab w:leader="none" w:pos="237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representatives of the two boards of directors are unable to resolve the Dispute within 120 calendar days from the Dispute Resolution Commencement Date, the exclusive means of continuing to pursue resolution of the Dispute is for any Party to initiate mediation pursuant to the Commercial Mediation Procedures of the American Arbitration Association, which shall apply to the conduct of the mediation, including the method of appointment of a mediator. Both Parties will share the administrative costs of the mediation and the mediator’s fees and expenses equally, and each Party shall bear all of its other costs and expenses related to the mediation, including but not limited to attorney’s fees, witness fees, and travel expenses. The mediation shall take place in English in Beijing, China or in whatever alternative forum on which the Parties may agree.</w:t>
      </w:r>
    </w:p>
    <w:p>
      <w:pPr>
        <w:spacing w:after="0" w:line="177" w:lineRule="exact"/>
        <w:rPr>
          <w:rFonts w:ascii="Arial" w:cs="Arial" w:eastAsia="Arial" w:hAnsi="Arial"/>
          <w:sz w:val="17"/>
          <w:szCs w:val="17"/>
          <w:color w:val="auto"/>
        </w:rPr>
      </w:pPr>
    </w:p>
    <w:p>
      <w:pPr>
        <w:ind w:firstLine="1991"/>
        <w:spacing w:after="0" w:line="270" w:lineRule="auto"/>
        <w:tabs>
          <w:tab w:leader="none" w:pos="236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Parties cannot resolve any Dispute through mediation within forty-five (45) calendar days after the appointment of the mediator (or the earlier withdrawal thereof), the exclusive means of pursuing final resolution of the Dispute is for any Party to commence an arbitration administered by the Hong Kong International Arbitration Centre under the Hong Kong International Arbitration Centre Administered Arbitration Rules (the “</w:t>
      </w:r>
      <w:r>
        <w:rPr>
          <w:rFonts w:ascii="Arial" w:cs="Arial" w:eastAsia="Arial" w:hAnsi="Arial"/>
          <w:sz w:val="17"/>
          <w:szCs w:val="17"/>
          <w:b w:val="1"/>
          <w:bCs w:val="1"/>
          <w:color w:val="auto"/>
        </w:rPr>
        <w:t>HKIAC Rules</w:t>
      </w:r>
      <w:r>
        <w:rPr>
          <w:rFonts w:ascii="Arial" w:cs="Arial" w:eastAsia="Arial" w:hAnsi="Arial"/>
          <w:sz w:val="17"/>
          <w:szCs w:val="17"/>
          <w:color w:val="auto"/>
        </w:rPr>
        <w:t>”) in force at the time when the notice of arbitration is submitted. There shall be three (3) arbitrators selected pursuant to the HKIAC Rules. The presiding arbitrator shall be qualified to practice law in New York. The place and seat of arbitration shall be Hong Kong. The law of this arbitration clause shall be Hong Kong law. The award of the arbitral tribunal shall be final and binding upon the parties thereto, and the prevailing party may apply to a court of competent jurisdiction for enforcement of such award. Nothing contained herein shall preclude any Party from seeking provisional, interim or conservatory measures (including injunctive relief) from any court of competent jurisdiction.</w:t>
      </w:r>
    </w:p>
    <w:p>
      <w:pPr>
        <w:spacing w:after="0" w:line="181"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Unless otherwise agreed in writing, the Parties will continue to provide service and honor all other commitments under this Agreement during the course of dispute resolution pursuant to the provisions of this Section 9.6 with respect to all matters not subject to such Dispute, controversy or claim.</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Section 9.7. This Agreement, together with all the Schedules attached hereto, constitute the entire agreement between the Parties with respect to the subject matter hereof and thereof and supersede all previous agreements, negotiations, discussions, writings, understandings, commitments and conversations with respect to the subject matter hereof and thereof. In the event of conflict between this Agreement and the Master Transaction Agreement, or any other agreement executed in connection therewith, the provisions of this Agreement shall prevail.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0" w:name="page291"/>
    <w:bookmarkEnd w:id="290"/>
    <w:p>
      <w:pPr>
        <w:ind w:right="20" w:firstLine="1432"/>
        <w:spacing w:after="0" w:line="254" w:lineRule="auto"/>
        <w:rPr>
          <w:sz w:val="20"/>
          <w:szCs w:val="20"/>
          <w:color w:val="auto"/>
        </w:rPr>
      </w:pPr>
      <w:r>
        <w:rPr>
          <w:rFonts w:ascii="Arial" w:cs="Arial" w:eastAsia="Arial" w:hAnsi="Arial"/>
          <w:sz w:val="18"/>
          <w:szCs w:val="18"/>
          <w:color w:val="auto"/>
        </w:rPr>
        <w:t>Section 9.8. If any term of this Agreement or the Schedules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95"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Section 9.9.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Schedules attached hereto are cumulative to, and not exclusive of, any rights or remedies otherwise available.</w:t>
      </w:r>
    </w:p>
    <w:p>
      <w:pPr>
        <w:spacing w:after="0" w:line="188" w:lineRule="exact"/>
        <w:rPr>
          <w:sz w:val="20"/>
          <w:szCs w:val="20"/>
          <w:color w:val="auto"/>
        </w:rPr>
      </w:pPr>
    </w:p>
    <w:p>
      <w:pPr>
        <w:ind w:right="20" w:firstLine="1432"/>
        <w:spacing w:after="0" w:line="296" w:lineRule="auto"/>
        <w:rPr>
          <w:sz w:val="20"/>
          <w:szCs w:val="20"/>
          <w:color w:val="auto"/>
        </w:rPr>
      </w:pPr>
      <w:r>
        <w:rPr>
          <w:rFonts w:ascii="Arial" w:cs="Arial" w:eastAsia="Arial" w:hAnsi="Arial"/>
          <w:sz w:val="16"/>
          <w:szCs w:val="16"/>
          <w:color w:val="auto"/>
        </w:rPr>
        <w:t xml:space="preserve">Section 9.10. No Party may assign this Agreement or any rights or obligations hereunder, without the prior written consent of the other Party, and any such assignment shall be void; </w:t>
      </w:r>
      <w:r>
        <w:rPr>
          <w:rFonts w:ascii="Arial" w:cs="Arial" w:eastAsia="Arial" w:hAnsi="Arial"/>
          <w:sz w:val="16"/>
          <w:szCs w:val="16"/>
          <w:i w:val="1"/>
          <w:iCs w:val="1"/>
          <w:color w:val="auto"/>
        </w:rPr>
        <w:t>provided</w:t>
      </w:r>
      <w:r>
        <w:rPr>
          <w:rFonts w:ascii="Arial" w:cs="Arial" w:eastAsia="Arial" w:hAnsi="Arial"/>
          <w:sz w:val="16"/>
          <w:szCs w:val="16"/>
          <w:color w:val="auto"/>
        </w:rPr>
        <w:t>, however, that each Party may assign this Agreement to an Affiliate. Subject to the foregoing, this Agreement shall inure to the benefit of and be binding upon the Parties hereto and their respective legal representatives, successors and permitted assigns, and nothing in this Agreement, express or implied, is intended to confer upon any other Person any rights or remedies of any nature whatsoever under or by reason of this Agreement.</w:t>
      </w:r>
    </w:p>
    <w:p>
      <w:pPr>
        <w:spacing w:after="0" w:line="161" w:lineRule="exact"/>
        <w:rPr>
          <w:sz w:val="20"/>
          <w:szCs w:val="20"/>
          <w:color w:val="auto"/>
        </w:rPr>
      </w:pPr>
    </w:p>
    <w:p>
      <w:pPr>
        <w:ind w:right="40" w:firstLine="1432"/>
        <w:spacing w:after="0" w:line="263" w:lineRule="auto"/>
        <w:rPr>
          <w:sz w:val="20"/>
          <w:szCs w:val="20"/>
          <w:color w:val="auto"/>
        </w:rPr>
      </w:pPr>
      <w:r>
        <w:rPr>
          <w:rFonts w:ascii="Arial" w:cs="Arial" w:eastAsia="Arial" w:hAnsi="Arial"/>
          <w:sz w:val="18"/>
          <w:szCs w:val="18"/>
          <w:color w:val="auto"/>
        </w:rPr>
        <w:t>Section 9.11. The headings contained in this Agreement or in the Schedules attached hereto and in the table of contents to this Agreement are for reference purposes only and shall not in any way limit or affect the meaning or interpretation of any of the terms in this Agreement.</w:t>
      </w:r>
    </w:p>
    <w:p>
      <w:pPr>
        <w:spacing w:after="0" w:line="184" w:lineRule="exact"/>
        <w:rPr>
          <w:sz w:val="20"/>
          <w:szCs w:val="20"/>
          <w:color w:val="auto"/>
        </w:rPr>
      </w:pPr>
    </w:p>
    <w:p>
      <w:pPr>
        <w:ind w:right="160" w:firstLine="1432"/>
        <w:spacing w:after="0" w:line="259" w:lineRule="auto"/>
        <w:rPr>
          <w:sz w:val="20"/>
          <w:szCs w:val="20"/>
          <w:color w:val="auto"/>
        </w:rPr>
      </w:pPr>
      <w:r>
        <w:rPr>
          <w:rFonts w:ascii="Arial" w:cs="Arial" w:eastAsia="Arial" w:hAnsi="Arial"/>
          <w:sz w:val="18"/>
          <w:szCs w:val="18"/>
          <w:color w:val="auto"/>
        </w:rPr>
        <w:t>Section 9.12. This Agreement may be executed in one or more counterparts, each of which shall be deemed to be an original but all of which shall constitute one and the same agreement. Delivery of an executed counterpart of a signature page of this Agreement by facsimile or other electronic imaging means will be effective as delivery of a manually executed counterpart of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91" w:name="page292"/>
    <w:bookmarkEnd w:id="291"/>
    <w:p>
      <w:pPr>
        <w:ind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each acting under due and proper authority, have executed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day, month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NetEase,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Name:William Lei Ding</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Director and Chief Executive Officer</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Youdao, Inc.</w:t>
      </w:r>
    </w:p>
    <w:p>
      <w:pPr>
        <w:spacing w:after="0" w:line="283"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8"/>
          <w:szCs w:val="18"/>
          <w:color w:val="auto"/>
        </w:rPr>
        <w:t>By:</w:t>
        <w:tab/>
        <w:t>/s/ Feng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Name:Feng Zhou</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Chief Executive Officer, Director</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Intellectual Property License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292" w:name="page293"/>
    <w:bookmarkEnd w:id="292"/>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NetEase Owned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648970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3" w:name="page294"/>
    <w:bookmarkEnd w:id="293"/>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Youdao Owned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648970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656590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b w:val="1"/>
          <w:bCs w:val="1"/>
          <w:color w:val="auto"/>
        </w:rPr>
        <w:t>Exhibit 4.57</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SHARE PURCHASE AGREEMENT</w:t>
      </w:r>
    </w:p>
    <w:p>
      <w:pPr>
        <w:spacing w:after="0" w:line="23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TAOBAO HOLDING LIMITED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HQG,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NETEASE E-COMMERCE, INC.</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September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863600</wp:posOffset>
            </wp:positionV>
            <wp:extent cx="6292215"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Page</w:t>
            </w:r>
          </w:p>
        </w:tc>
      </w:tr>
      <w:tr>
        <w:trPr>
          <w:trHeight w:val="344"/>
        </w:trPr>
        <w:tc>
          <w:tcPr>
            <w:tcW w:w="1720" w:type="dxa"/>
            <w:vAlign w:val="bottom"/>
          </w:tcPr>
          <w:p>
            <w:pPr>
              <w:spacing w:after="0"/>
              <w:rPr>
                <w:sz w:val="20"/>
                <w:szCs w:val="20"/>
                <w:color w:val="auto"/>
              </w:rPr>
            </w:pPr>
            <w:r>
              <w:rPr>
                <w:rFonts w:ascii="Arial" w:cs="Arial" w:eastAsia="Arial" w:hAnsi="Arial"/>
                <w:sz w:val="18"/>
                <w:szCs w:val="18"/>
                <w:color w:val="auto"/>
              </w:rPr>
              <w:t>Article I Definitions</w:t>
            </w:r>
          </w:p>
        </w:tc>
        <w:tc>
          <w:tcPr>
            <w:tcW w:w="7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260" w:type="dxa"/>
            <w:vAlign w:val="bottom"/>
          </w:tcPr>
          <w:p>
            <w:pPr>
              <w:ind w:left="260"/>
              <w:spacing w:after="0"/>
              <w:rPr>
                <w:sz w:val="20"/>
                <w:szCs w:val="20"/>
                <w:color w:val="auto"/>
              </w:rPr>
            </w:pPr>
            <w:r>
              <w:rPr>
                <w:rFonts w:ascii="Arial" w:cs="Arial" w:eastAsia="Arial" w:hAnsi="Arial"/>
                <w:sz w:val="18"/>
                <w:szCs w:val="18"/>
                <w:color w:val="auto"/>
              </w:rPr>
              <w:t>Certain Definitions</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1.2</w:t>
            </w:r>
          </w:p>
        </w:tc>
        <w:tc>
          <w:tcPr>
            <w:tcW w:w="7260" w:type="dxa"/>
            <w:vAlign w:val="bottom"/>
          </w:tcPr>
          <w:p>
            <w:pPr>
              <w:ind w:left="260"/>
              <w:spacing w:after="0"/>
              <w:rPr>
                <w:sz w:val="20"/>
                <w:szCs w:val="20"/>
                <w:color w:val="auto"/>
              </w:rPr>
            </w:pPr>
            <w:r>
              <w:rPr>
                <w:rFonts w:ascii="Arial" w:cs="Arial" w:eastAsia="Arial" w:hAnsi="Arial"/>
                <w:sz w:val="18"/>
                <w:szCs w:val="18"/>
                <w:color w:val="auto"/>
              </w:rPr>
              <w:t>Interpretation and Rules of Construction</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 Sale and Purchase of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260" w:type="dxa"/>
            <w:vAlign w:val="bottom"/>
          </w:tcPr>
          <w:p>
            <w:pPr>
              <w:ind w:left="260"/>
              <w:spacing w:after="0"/>
              <w:rPr>
                <w:sz w:val="20"/>
                <w:szCs w:val="20"/>
                <w:color w:val="auto"/>
              </w:rPr>
            </w:pPr>
            <w:r>
              <w:rPr>
                <w:rFonts w:ascii="Arial" w:cs="Arial" w:eastAsia="Arial" w:hAnsi="Arial"/>
                <w:sz w:val="18"/>
                <w:szCs w:val="18"/>
                <w:color w:val="auto"/>
              </w:rPr>
              <w:t>Sale and Purchase of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260" w:type="dxa"/>
            <w:vAlign w:val="bottom"/>
          </w:tcPr>
          <w:p>
            <w:pPr>
              <w:ind w:left="260"/>
              <w:spacing w:after="0"/>
              <w:rPr>
                <w:sz w:val="20"/>
                <w:szCs w:val="20"/>
                <w:color w:val="auto"/>
              </w:rPr>
            </w:pPr>
            <w:r>
              <w:rPr>
                <w:rFonts w:ascii="Arial" w:cs="Arial" w:eastAsia="Arial" w:hAnsi="Arial"/>
                <w:sz w:val="18"/>
                <w:szCs w:val="18"/>
                <w:color w:val="auto"/>
              </w:rPr>
              <w:t>Purchase Price</w:t>
            </w: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260" w:type="dxa"/>
            <w:vAlign w:val="bottom"/>
          </w:tcPr>
          <w:p>
            <w:pPr>
              <w:ind w:left="260"/>
              <w:spacing w:after="0"/>
              <w:rPr>
                <w:sz w:val="20"/>
                <w:szCs w:val="20"/>
                <w:color w:val="auto"/>
              </w:rPr>
            </w:pPr>
            <w:r>
              <w:rPr>
                <w:rFonts w:ascii="Arial" w:cs="Arial" w:eastAsia="Arial" w:hAnsi="Arial"/>
                <w:sz w:val="18"/>
                <w:szCs w:val="18"/>
                <w:color w:val="auto"/>
              </w:rPr>
              <w:t>Closing Date</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2.4</w:t>
            </w:r>
          </w:p>
        </w:tc>
        <w:tc>
          <w:tcPr>
            <w:tcW w:w="7260" w:type="dxa"/>
            <w:vAlign w:val="bottom"/>
          </w:tcPr>
          <w:p>
            <w:pPr>
              <w:ind w:left="260"/>
              <w:spacing w:after="0"/>
              <w:rPr>
                <w:sz w:val="20"/>
                <w:szCs w:val="20"/>
                <w:color w:val="auto"/>
              </w:rPr>
            </w:pPr>
            <w:r>
              <w:rPr>
                <w:rFonts w:ascii="Arial" w:cs="Arial" w:eastAsia="Arial" w:hAnsi="Arial"/>
                <w:sz w:val="18"/>
                <w:szCs w:val="18"/>
                <w:color w:val="auto"/>
              </w:rPr>
              <w:t>Closing Deliverables by the Company</w:t>
            </w: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2.5</w:t>
            </w:r>
          </w:p>
        </w:tc>
        <w:tc>
          <w:tcPr>
            <w:tcW w:w="7260" w:type="dxa"/>
            <w:vAlign w:val="bottom"/>
          </w:tcPr>
          <w:p>
            <w:pPr>
              <w:ind w:left="260"/>
              <w:spacing w:after="0"/>
              <w:rPr>
                <w:sz w:val="20"/>
                <w:szCs w:val="20"/>
                <w:color w:val="auto"/>
              </w:rPr>
            </w:pPr>
            <w:r>
              <w:rPr>
                <w:rFonts w:ascii="Arial" w:cs="Arial" w:eastAsia="Arial" w:hAnsi="Arial"/>
                <w:sz w:val="18"/>
                <w:szCs w:val="18"/>
                <w:color w:val="auto"/>
              </w:rPr>
              <w:t>Closing Deliverables by the Seller</w:t>
            </w: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2.6</w:t>
            </w:r>
          </w:p>
        </w:tc>
        <w:tc>
          <w:tcPr>
            <w:tcW w:w="7260" w:type="dxa"/>
            <w:vAlign w:val="bottom"/>
          </w:tcPr>
          <w:p>
            <w:pPr>
              <w:ind w:left="260"/>
              <w:spacing w:after="0"/>
              <w:rPr>
                <w:sz w:val="20"/>
                <w:szCs w:val="20"/>
                <w:color w:val="auto"/>
              </w:rPr>
            </w:pPr>
            <w:r>
              <w:rPr>
                <w:rFonts w:ascii="Arial" w:cs="Arial" w:eastAsia="Arial" w:hAnsi="Arial"/>
                <w:sz w:val="18"/>
                <w:szCs w:val="18"/>
                <w:color w:val="auto"/>
              </w:rPr>
              <w:t>Closing Deliverables by the Purchaser</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2.7</w:t>
            </w:r>
          </w:p>
        </w:tc>
        <w:tc>
          <w:tcPr>
            <w:tcW w:w="7260" w:type="dxa"/>
            <w:vAlign w:val="bottom"/>
          </w:tcPr>
          <w:p>
            <w:pPr>
              <w:ind w:left="260"/>
              <w:spacing w:after="0"/>
              <w:rPr>
                <w:sz w:val="20"/>
                <w:szCs w:val="20"/>
                <w:color w:val="auto"/>
              </w:rPr>
            </w:pPr>
            <w:r>
              <w:rPr>
                <w:rFonts w:ascii="Arial" w:cs="Arial" w:eastAsia="Arial" w:hAnsi="Arial"/>
                <w:sz w:val="18"/>
                <w:szCs w:val="18"/>
                <w:color w:val="auto"/>
              </w:rPr>
              <w:t>Post-Closing Examination Adjustment</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2.8</w:t>
            </w:r>
          </w:p>
        </w:tc>
        <w:tc>
          <w:tcPr>
            <w:tcW w:w="7260" w:type="dxa"/>
            <w:vAlign w:val="bottom"/>
          </w:tcPr>
          <w:p>
            <w:pPr>
              <w:ind w:left="260"/>
              <w:spacing w:after="0"/>
              <w:rPr>
                <w:sz w:val="20"/>
                <w:szCs w:val="20"/>
                <w:color w:val="auto"/>
              </w:rPr>
            </w:pPr>
            <w:r>
              <w:rPr>
                <w:rFonts w:ascii="Arial" w:cs="Arial" w:eastAsia="Arial" w:hAnsi="Arial"/>
                <w:sz w:val="18"/>
                <w:szCs w:val="18"/>
                <w:color w:val="auto"/>
              </w:rPr>
              <w:t>Repayment of Shareholder Loans</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2.9</w:t>
            </w:r>
          </w:p>
        </w:tc>
        <w:tc>
          <w:tcPr>
            <w:tcW w:w="7260" w:type="dxa"/>
            <w:vAlign w:val="bottom"/>
          </w:tcPr>
          <w:p>
            <w:pPr>
              <w:ind w:left="260"/>
              <w:spacing w:after="0"/>
              <w:rPr>
                <w:sz w:val="20"/>
                <w:szCs w:val="20"/>
                <w:color w:val="auto"/>
              </w:rPr>
            </w:pPr>
            <w:r>
              <w:rPr>
                <w:rFonts w:ascii="Arial" w:cs="Arial" w:eastAsia="Arial" w:hAnsi="Arial"/>
                <w:sz w:val="18"/>
                <w:szCs w:val="18"/>
                <w:color w:val="auto"/>
              </w:rPr>
              <w:t>Release of the Indemnity Withheld Amount</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with Respect to Group Companies</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260" w:type="dxa"/>
            <w:vAlign w:val="bottom"/>
          </w:tcPr>
          <w:p>
            <w:pPr>
              <w:ind w:left="260"/>
              <w:spacing w:after="0"/>
              <w:rPr>
                <w:sz w:val="20"/>
                <w:szCs w:val="20"/>
                <w:color w:val="auto"/>
              </w:rPr>
            </w:pPr>
            <w:r>
              <w:rPr>
                <w:rFonts w:ascii="Arial" w:cs="Arial" w:eastAsia="Arial" w:hAnsi="Arial"/>
                <w:sz w:val="18"/>
                <w:szCs w:val="18"/>
                <w:color w:val="auto"/>
              </w:rPr>
              <w:t>Organization and Good Standing</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260" w:type="dxa"/>
            <w:vAlign w:val="bottom"/>
          </w:tcPr>
          <w:p>
            <w:pPr>
              <w:ind w:left="260"/>
              <w:spacing w:after="0"/>
              <w:rPr>
                <w:sz w:val="20"/>
                <w:szCs w:val="20"/>
                <w:color w:val="auto"/>
              </w:rPr>
            </w:pPr>
            <w:r>
              <w:rPr>
                <w:rFonts w:ascii="Arial" w:cs="Arial" w:eastAsia="Arial" w:hAnsi="Arial"/>
                <w:sz w:val="18"/>
                <w:szCs w:val="18"/>
                <w:color w:val="auto"/>
              </w:rPr>
              <w:t>Authorization</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7260" w:type="dxa"/>
            <w:vAlign w:val="bottom"/>
          </w:tcPr>
          <w:p>
            <w:pPr>
              <w:ind w:left="260"/>
              <w:spacing w:after="0"/>
              <w:rPr>
                <w:sz w:val="20"/>
                <w:szCs w:val="20"/>
                <w:color w:val="auto"/>
              </w:rPr>
            </w:pPr>
            <w:r>
              <w:rPr>
                <w:rFonts w:ascii="Arial" w:cs="Arial" w:eastAsia="Arial" w:hAnsi="Arial"/>
                <w:sz w:val="18"/>
                <w:szCs w:val="18"/>
                <w:color w:val="auto"/>
              </w:rPr>
              <w:t>Conflicts; Consents of Third Parties</w:t>
            </w: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3.4</w:t>
            </w:r>
          </w:p>
        </w:tc>
        <w:tc>
          <w:tcPr>
            <w:tcW w:w="726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3.5</w:t>
            </w:r>
          </w:p>
        </w:tc>
        <w:tc>
          <w:tcPr>
            <w:tcW w:w="7260" w:type="dxa"/>
            <w:vAlign w:val="bottom"/>
          </w:tcPr>
          <w:p>
            <w:pPr>
              <w:ind w:left="260"/>
              <w:spacing w:after="0"/>
              <w:rPr>
                <w:sz w:val="20"/>
                <w:szCs w:val="20"/>
                <w:color w:val="auto"/>
              </w:rPr>
            </w:pPr>
            <w:r>
              <w:rPr>
                <w:rFonts w:ascii="Arial" w:cs="Arial" w:eastAsia="Arial" w:hAnsi="Arial"/>
                <w:sz w:val="18"/>
                <w:szCs w:val="18"/>
                <w:color w:val="auto"/>
              </w:rPr>
              <w:t>Group Companies</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3.6</w:t>
            </w:r>
          </w:p>
        </w:tc>
        <w:tc>
          <w:tcPr>
            <w:tcW w:w="7260" w:type="dxa"/>
            <w:vAlign w:val="bottom"/>
          </w:tcPr>
          <w:p>
            <w:pPr>
              <w:ind w:left="260"/>
              <w:spacing w:after="0"/>
              <w:rPr>
                <w:sz w:val="20"/>
                <w:szCs w:val="20"/>
                <w:color w:val="auto"/>
              </w:rPr>
            </w:pPr>
            <w:r>
              <w:rPr>
                <w:rFonts w:ascii="Arial" w:cs="Arial" w:eastAsia="Arial" w:hAnsi="Arial"/>
                <w:sz w:val="18"/>
                <w:szCs w:val="18"/>
                <w:color w:val="auto"/>
              </w:rPr>
              <w:t>Corporate Books and Records</w:t>
            </w: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3.7</w:t>
            </w:r>
          </w:p>
        </w:tc>
        <w:tc>
          <w:tcPr>
            <w:tcW w:w="726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3.8</w:t>
            </w:r>
          </w:p>
        </w:tc>
        <w:tc>
          <w:tcPr>
            <w:tcW w:w="726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3.9</w:t>
            </w:r>
          </w:p>
        </w:tc>
        <w:tc>
          <w:tcPr>
            <w:tcW w:w="7260" w:type="dxa"/>
            <w:vAlign w:val="bottom"/>
          </w:tcPr>
          <w:p>
            <w:pPr>
              <w:ind w:left="260"/>
              <w:spacing w:after="0"/>
              <w:rPr>
                <w:sz w:val="20"/>
                <w:szCs w:val="20"/>
                <w:color w:val="auto"/>
              </w:rPr>
            </w:pPr>
            <w:r>
              <w:rPr>
                <w:rFonts w:ascii="Arial" w:cs="Arial" w:eastAsia="Arial" w:hAnsi="Arial"/>
                <w:sz w:val="18"/>
                <w:szCs w:val="18"/>
                <w:color w:val="auto"/>
              </w:rPr>
              <w:t>Absence of Certain Changes</w:t>
            </w: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3.10</w:t>
            </w:r>
          </w:p>
        </w:tc>
        <w:tc>
          <w:tcPr>
            <w:tcW w:w="726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3.11</w:t>
            </w:r>
          </w:p>
        </w:tc>
        <w:tc>
          <w:tcPr>
            <w:tcW w:w="7260" w:type="dxa"/>
            <w:vAlign w:val="bottom"/>
          </w:tcPr>
          <w:p>
            <w:pPr>
              <w:ind w:left="260"/>
              <w:spacing w:after="0"/>
              <w:rPr>
                <w:sz w:val="20"/>
                <w:szCs w:val="20"/>
                <w:color w:val="auto"/>
              </w:rPr>
            </w:pPr>
            <w:r>
              <w:rPr>
                <w:rFonts w:ascii="Arial" w:cs="Arial" w:eastAsia="Arial" w:hAnsi="Arial"/>
                <w:sz w:val="18"/>
                <w:szCs w:val="18"/>
                <w:color w:val="auto"/>
              </w:rPr>
              <w:t>Title to Properties; Liens and Encumbrances</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3.12</w:t>
            </w:r>
          </w:p>
        </w:tc>
        <w:tc>
          <w:tcPr>
            <w:tcW w:w="726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3.13</w:t>
            </w:r>
          </w:p>
        </w:tc>
        <w:tc>
          <w:tcPr>
            <w:tcW w:w="7260" w:type="dxa"/>
            <w:vAlign w:val="bottom"/>
          </w:tcPr>
          <w:p>
            <w:pPr>
              <w:ind w:left="260"/>
              <w:spacing w:after="0"/>
              <w:rPr>
                <w:sz w:val="20"/>
                <w:szCs w:val="20"/>
                <w:color w:val="auto"/>
              </w:rPr>
            </w:pPr>
            <w:r>
              <w:rPr>
                <w:rFonts w:ascii="Arial" w:cs="Arial" w:eastAsia="Arial" w:hAnsi="Arial"/>
                <w:sz w:val="18"/>
                <w:szCs w:val="18"/>
                <w:color w:val="auto"/>
              </w:rPr>
              <w:t>Taxes</w:t>
            </w: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3.14</w:t>
            </w:r>
          </w:p>
        </w:tc>
        <w:tc>
          <w:tcPr>
            <w:tcW w:w="726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3.15</w:t>
            </w:r>
          </w:p>
        </w:tc>
        <w:tc>
          <w:tcPr>
            <w:tcW w:w="7260" w:type="dxa"/>
            <w:vAlign w:val="bottom"/>
          </w:tcPr>
          <w:p>
            <w:pPr>
              <w:ind w:left="260"/>
              <w:spacing w:after="0"/>
              <w:rPr>
                <w:sz w:val="20"/>
                <w:szCs w:val="20"/>
                <w:color w:val="auto"/>
              </w:rPr>
            </w:pPr>
            <w:r>
              <w:rPr>
                <w:rFonts w:ascii="Arial" w:cs="Arial" w:eastAsia="Arial" w:hAnsi="Arial"/>
                <w:sz w:val="18"/>
                <w:szCs w:val="18"/>
                <w:color w:val="auto"/>
              </w:rPr>
              <w:t>Compliance with Laws and Other Instruments</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3.16</w:t>
            </w:r>
          </w:p>
        </w:tc>
        <w:tc>
          <w:tcPr>
            <w:tcW w:w="7260" w:type="dxa"/>
            <w:vAlign w:val="bottom"/>
          </w:tcPr>
          <w:p>
            <w:pPr>
              <w:ind w:left="260"/>
              <w:spacing w:after="0"/>
              <w:rPr>
                <w:sz w:val="20"/>
                <w:szCs w:val="20"/>
                <w:color w:val="auto"/>
              </w:rPr>
            </w:pPr>
            <w:r>
              <w:rPr>
                <w:rFonts w:ascii="Arial" w:cs="Arial" w:eastAsia="Arial" w:hAnsi="Arial"/>
                <w:sz w:val="18"/>
                <w:szCs w:val="18"/>
                <w:color w:val="auto"/>
              </w:rPr>
              <w:t>Data Compliance</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3.17</w:t>
            </w:r>
          </w:p>
        </w:tc>
        <w:tc>
          <w:tcPr>
            <w:tcW w:w="7260" w:type="dxa"/>
            <w:vAlign w:val="bottom"/>
          </w:tcPr>
          <w:p>
            <w:pPr>
              <w:ind w:left="260"/>
              <w:spacing w:after="0"/>
              <w:rPr>
                <w:sz w:val="20"/>
                <w:szCs w:val="20"/>
                <w:color w:val="auto"/>
              </w:rPr>
            </w:pPr>
            <w:r>
              <w:rPr>
                <w:rFonts w:ascii="Arial" w:cs="Arial" w:eastAsia="Arial" w:hAnsi="Arial"/>
                <w:sz w:val="18"/>
                <w:szCs w:val="18"/>
                <w:color w:val="auto"/>
              </w:rPr>
              <w:t>Employee Matters</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3.18</w:t>
            </w:r>
          </w:p>
        </w:tc>
        <w:tc>
          <w:tcPr>
            <w:tcW w:w="7260" w:type="dxa"/>
            <w:vAlign w:val="bottom"/>
          </w:tcPr>
          <w:p>
            <w:pPr>
              <w:ind w:left="260"/>
              <w:spacing w:after="0"/>
              <w:rPr>
                <w:sz w:val="20"/>
                <w:szCs w:val="20"/>
                <w:color w:val="auto"/>
              </w:rPr>
            </w:pPr>
            <w:r>
              <w:rPr>
                <w:rFonts w:ascii="Arial" w:cs="Arial" w:eastAsia="Arial" w:hAnsi="Arial"/>
                <w:sz w:val="18"/>
                <w:szCs w:val="18"/>
                <w:color w:val="auto"/>
              </w:rPr>
              <w:t>Transactions with Related Parties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3.19</w:t>
            </w:r>
          </w:p>
        </w:tc>
        <w:tc>
          <w:tcPr>
            <w:tcW w:w="7260" w:type="dxa"/>
            <w:vAlign w:val="bottom"/>
          </w:tcPr>
          <w:p>
            <w:pPr>
              <w:ind w:left="260"/>
              <w:spacing w:after="0"/>
              <w:rPr>
                <w:sz w:val="20"/>
                <w:szCs w:val="20"/>
                <w:color w:val="auto"/>
              </w:rPr>
            </w:pPr>
            <w:r>
              <w:rPr>
                <w:rFonts w:ascii="Arial" w:cs="Arial" w:eastAsia="Arial" w:hAnsi="Arial"/>
                <w:sz w:val="18"/>
                <w:szCs w:val="18"/>
                <w:color w:val="auto"/>
              </w:rPr>
              <w:t>Required Licenses</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3.20</w:t>
            </w:r>
          </w:p>
        </w:tc>
        <w:tc>
          <w:tcPr>
            <w:tcW w:w="7260" w:type="dxa"/>
            <w:vAlign w:val="bottom"/>
          </w:tcPr>
          <w:p>
            <w:pPr>
              <w:ind w:left="260"/>
              <w:spacing w:after="0"/>
              <w:rPr>
                <w:sz w:val="20"/>
                <w:szCs w:val="20"/>
                <w:color w:val="auto"/>
              </w:rPr>
            </w:pPr>
            <w:r>
              <w:rPr>
                <w:rFonts w:ascii="Arial" w:cs="Arial" w:eastAsia="Arial" w:hAnsi="Arial"/>
                <w:sz w:val="18"/>
                <w:szCs w:val="18"/>
                <w:color w:val="auto"/>
              </w:rPr>
              <w:t>Environment</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3.21</w:t>
            </w:r>
          </w:p>
        </w:tc>
        <w:tc>
          <w:tcPr>
            <w:tcW w:w="72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3.22</w:t>
            </w:r>
          </w:p>
        </w:tc>
        <w:tc>
          <w:tcPr>
            <w:tcW w:w="7260" w:type="dxa"/>
            <w:vAlign w:val="bottom"/>
          </w:tcPr>
          <w:p>
            <w:pPr>
              <w:ind w:left="260"/>
              <w:spacing w:after="0"/>
              <w:rPr>
                <w:sz w:val="20"/>
                <w:szCs w:val="20"/>
                <w:color w:val="auto"/>
              </w:rPr>
            </w:pPr>
            <w:r>
              <w:rPr>
                <w:rFonts w:ascii="Arial" w:cs="Arial" w:eastAsia="Arial" w:hAnsi="Arial"/>
                <w:sz w:val="18"/>
                <w:szCs w:val="18"/>
                <w:color w:val="auto"/>
              </w:rPr>
              <w:t>Brokers</w:t>
            </w: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3.23</w:t>
            </w:r>
          </w:p>
        </w:tc>
        <w:tc>
          <w:tcPr>
            <w:tcW w:w="7260" w:type="dxa"/>
            <w:vAlign w:val="bottom"/>
          </w:tcPr>
          <w:p>
            <w:pPr>
              <w:ind w:left="260"/>
              <w:spacing w:after="0"/>
              <w:rPr>
                <w:sz w:val="20"/>
                <w:szCs w:val="20"/>
                <w:color w:val="auto"/>
              </w:rPr>
            </w:pPr>
            <w:r>
              <w:rPr>
                <w:rFonts w:ascii="Arial" w:cs="Arial" w:eastAsia="Arial" w:hAnsi="Arial"/>
                <w:sz w:val="18"/>
                <w:szCs w:val="18"/>
                <w:color w:val="auto"/>
              </w:rPr>
              <w:t>Accuracy of Information</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8"/>
        </w:trPr>
        <w:tc>
          <w:tcPr>
            <w:tcW w:w="898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with Respect to Warrantors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260" w:type="dxa"/>
            <w:vAlign w:val="bottom"/>
          </w:tcPr>
          <w:p>
            <w:pPr>
              <w:ind w:left="260"/>
              <w:spacing w:after="0"/>
              <w:rPr>
                <w:sz w:val="20"/>
                <w:szCs w:val="20"/>
                <w:color w:val="auto"/>
              </w:rPr>
            </w:pPr>
            <w:r>
              <w:rPr>
                <w:rFonts w:ascii="Arial" w:cs="Arial" w:eastAsia="Arial" w:hAnsi="Arial"/>
                <w:sz w:val="18"/>
                <w:szCs w:val="18"/>
                <w:color w:val="auto"/>
              </w:rPr>
              <w:t>Capacity</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260" w:type="dxa"/>
            <w:vAlign w:val="bottom"/>
          </w:tcPr>
          <w:p>
            <w:pPr>
              <w:ind w:left="260"/>
              <w:spacing w:after="0"/>
              <w:rPr>
                <w:sz w:val="20"/>
                <w:szCs w:val="20"/>
                <w:color w:val="auto"/>
              </w:rPr>
            </w:pPr>
            <w:r>
              <w:rPr>
                <w:rFonts w:ascii="Arial" w:cs="Arial" w:eastAsia="Arial" w:hAnsi="Arial"/>
                <w:sz w:val="18"/>
                <w:szCs w:val="18"/>
                <w:color w:val="auto"/>
              </w:rPr>
              <w:t>Authorization</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2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260" w:type="dxa"/>
            <w:vAlign w:val="bottom"/>
          </w:tcPr>
          <w:p>
            <w:pPr>
              <w:ind w:left="260"/>
              <w:spacing w:after="0"/>
              <w:rPr>
                <w:sz w:val="20"/>
                <w:szCs w:val="20"/>
                <w:color w:val="auto"/>
              </w:rPr>
            </w:pPr>
            <w:r>
              <w:rPr>
                <w:rFonts w:ascii="Arial" w:cs="Arial" w:eastAsia="Arial" w:hAnsi="Arial"/>
                <w:sz w:val="18"/>
                <w:szCs w:val="18"/>
                <w:color w:val="auto"/>
              </w:rPr>
              <w:t>Conflicts; Consents of Third Parties</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720" w:type="dxa"/>
            <w:vAlign w:val="bottom"/>
          </w:tcPr>
          <w:p>
            <w:pPr>
              <w:ind w:left="540"/>
              <w:spacing w:after="0"/>
              <w:rPr>
                <w:sz w:val="20"/>
                <w:szCs w:val="20"/>
                <w:color w:val="auto"/>
              </w:rPr>
            </w:pPr>
            <w:r>
              <w:rPr>
                <w:rFonts w:ascii="Arial" w:cs="Arial" w:eastAsia="Arial" w:hAnsi="Arial"/>
                <w:sz w:val="18"/>
                <w:szCs w:val="18"/>
                <w:color w:val="auto"/>
              </w:rPr>
              <w:t>Section 4.4</w:t>
            </w:r>
          </w:p>
        </w:tc>
        <w:tc>
          <w:tcPr>
            <w:tcW w:w="7260" w:type="dxa"/>
            <w:vAlign w:val="bottom"/>
          </w:tcPr>
          <w:p>
            <w:pPr>
              <w:ind w:left="260"/>
              <w:spacing w:after="0"/>
              <w:rPr>
                <w:sz w:val="20"/>
                <w:szCs w:val="20"/>
                <w:color w:val="auto"/>
              </w:rPr>
            </w:pPr>
            <w:r>
              <w:rPr>
                <w:rFonts w:ascii="Arial" w:cs="Arial" w:eastAsia="Arial" w:hAnsi="Arial"/>
                <w:sz w:val="18"/>
                <w:szCs w:val="18"/>
                <w:color w:val="auto"/>
              </w:rPr>
              <w:t>Ownership and Transfer of Shares</w:t>
            </w: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16"/>
        </w:trPr>
        <w:tc>
          <w:tcPr>
            <w:tcW w:w="79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 with Respect to Purchaser</w:t>
            </w: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5980" w:type="dxa"/>
            <w:vAlign w:val="bottom"/>
          </w:tcPr>
          <w:p>
            <w:pPr>
              <w:ind w:left="40"/>
              <w:spacing w:after="0"/>
              <w:rPr>
                <w:sz w:val="20"/>
                <w:szCs w:val="20"/>
                <w:color w:val="auto"/>
              </w:rPr>
            </w:pPr>
            <w:r>
              <w:rPr>
                <w:rFonts w:ascii="Arial" w:cs="Arial" w:eastAsia="Arial" w:hAnsi="Arial"/>
                <w:sz w:val="18"/>
                <w:szCs w:val="18"/>
                <w:color w:val="auto"/>
              </w:rPr>
              <w:t>Organization and Good Standing</w:t>
            </w: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5980" w:type="dxa"/>
            <w:vAlign w:val="bottom"/>
          </w:tcPr>
          <w:p>
            <w:pPr>
              <w:ind w:left="40"/>
              <w:spacing w:after="0"/>
              <w:rPr>
                <w:sz w:val="20"/>
                <w:szCs w:val="20"/>
                <w:color w:val="auto"/>
              </w:rPr>
            </w:pPr>
            <w:r>
              <w:rPr>
                <w:rFonts w:ascii="Arial" w:cs="Arial" w:eastAsia="Arial" w:hAnsi="Arial"/>
                <w:sz w:val="18"/>
                <w:szCs w:val="18"/>
                <w:color w:val="auto"/>
              </w:rPr>
              <w:t>Authorization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5.3</w:t>
            </w:r>
          </w:p>
        </w:tc>
        <w:tc>
          <w:tcPr>
            <w:tcW w:w="5980" w:type="dxa"/>
            <w:vAlign w:val="bottom"/>
          </w:tcPr>
          <w:p>
            <w:pPr>
              <w:ind w:left="40"/>
              <w:spacing w:after="0"/>
              <w:rPr>
                <w:sz w:val="20"/>
                <w:szCs w:val="20"/>
                <w:color w:val="auto"/>
              </w:rPr>
            </w:pPr>
            <w:r>
              <w:rPr>
                <w:rFonts w:ascii="Arial" w:cs="Arial" w:eastAsia="Arial" w:hAnsi="Arial"/>
                <w:sz w:val="18"/>
                <w:szCs w:val="18"/>
                <w:color w:val="auto"/>
              </w:rPr>
              <w:t>Conflicts; Consents of Third Parties</w:t>
            </w:r>
          </w:p>
        </w:tc>
        <w:tc>
          <w:tcPr>
            <w:tcW w:w="19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5.4</w:t>
            </w:r>
          </w:p>
        </w:tc>
        <w:tc>
          <w:tcPr>
            <w:tcW w:w="5980" w:type="dxa"/>
            <w:vAlign w:val="bottom"/>
          </w:tcPr>
          <w:p>
            <w:pPr>
              <w:ind w:left="40"/>
              <w:spacing w:after="0"/>
              <w:rPr>
                <w:sz w:val="20"/>
                <w:szCs w:val="20"/>
                <w:color w:val="auto"/>
              </w:rPr>
            </w:pPr>
            <w:r>
              <w:rPr>
                <w:rFonts w:ascii="Arial" w:cs="Arial" w:eastAsia="Arial" w:hAnsi="Arial"/>
                <w:sz w:val="18"/>
                <w:szCs w:val="18"/>
                <w:color w:val="auto"/>
              </w:rPr>
              <w:t>Subject Shares</w:t>
            </w: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Article VI Covenants</w:t>
            </w:r>
          </w:p>
        </w:tc>
        <w:tc>
          <w:tcPr>
            <w:tcW w:w="59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5980" w:type="dxa"/>
            <w:vAlign w:val="bottom"/>
          </w:tcPr>
          <w:p>
            <w:pPr>
              <w:ind w:left="40"/>
              <w:spacing w:after="0"/>
              <w:rPr>
                <w:sz w:val="20"/>
                <w:szCs w:val="20"/>
                <w:color w:val="auto"/>
              </w:rPr>
            </w:pPr>
            <w:r>
              <w:rPr>
                <w:rFonts w:ascii="Arial" w:cs="Arial" w:eastAsia="Arial" w:hAnsi="Arial"/>
                <w:sz w:val="18"/>
                <w:szCs w:val="18"/>
                <w:color w:val="auto"/>
              </w:rPr>
              <w:t>Access to Information</w:t>
            </w: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5980" w:type="dxa"/>
            <w:vAlign w:val="bottom"/>
          </w:tcPr>
          <w:p>
            <w:pPr>
              <w:ind w:left="40"/>
              <w:spacing w:after="0"/>
              <w:rPr>
                <w:sz w:val="20"/>
                <w:szCs w:val="20"/>
                <w:color w:val="auto"/>
              </w:rPr>
            </w:pPr>
            <w:r>
              <w:rPr>
                <w:rFonts w:ascii="Arial" w:cs="Arial" w:eastAsia="Arial" w:hAnsi="Arial"/>
                <w:sz w:val="18"/>
                <w:szCs w:val="18"/>
                <w:color w:val="auto"/>
              </w:rPr>
              <w:t>Notice of Developments</w:t>
            </w:r>
          </w:p>
        </w:tc>
        <w:tc>
          <w:tcPr>
            <w:tcW w:w="19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5980" w:type="dxa"/>
            <w:vAlign w:val="bottom"/>
          </w:tcPr>
          <w:p>
            <w:pPr>
              <w:ind w:left="40"/>
              <w:spacing w:after="0"/>
              <w:rPr>
                <w:sz w:val="20"/>
                <w:szCs w:val="20"/>
                <w:color w:val="auto"/>
              </w:rPr>
            </w:pPr>
            <w:r>
              <w:rPr>
                <w:rFonts w:ascii="Arial" w:cs="Arial" w:eastAsia="Arial" w:hAnsi="Arial"/>
                <w:sz w:val="18"/>
                <w:szCs w:val="18"/>
                <w:color w:val="auto"/>
              </w:rPr>
              <w:t>Conduct of the Business Pending the Closing</w:t>
            </w:r>
          </w:p>
        </w:tc>
        <w:tc>
          <w:tcPr>
            <w:tcW w:w="1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6.4</w:t>
            </w:r>
          </w:p>
        </w:tc>
        <w:tc>
          <w:tcPr>
            <w:tcW w:w="598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19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6.5</w:t>
            </w:r>
          </w:p>
        </w:tc>
        <w:tc>
          <w:tcPr>
            <w:tcW w:w="5980" w:type="dxa"/>
            <w:vAlign w:val="bottom"/>
          </w:tcPr>
          <w:p>
            <w:pPr>
              <w:ind w:left="40"/>
              <w:spacing w:after="0"/>
              <w:rPr>
                <w:sz w:val="20"/>
                <w:szCs w:val="20"/>
                <w:color w:val="auto"/>
              </w:rPr>
            </w:pPr>
            <w:r>
              <w:rPr>
                <w:rFonts w:ascii="Arial" w:cs="Arial" w:eastAsia="Arial" w:hAnsi="Arial"/>
                <w:sz w:val="18"/>
                <w:szCs w:val="18"/>
                <w:color w:val="auto"/>
              </w:rPr>
              <w:t>Confidentiality and Publicity</w:t>
            </w:r>
          </w:p>
        </w:tc>
        <w:tc>
          <w:tcPr>
            <w:tcW w:w="19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6.6</w:t>
            </w:r>
          </w:p>
        </w:tc>
        <w:tc>
          <w:tcPr>
            <w:tcW w:w="5980" w:type="dxa"/>
            <w:vAlign w:val="bottom"/>
          </w:tcPr>
          <w:p>
            <w:pPr>
              <w:ind w:left="40"/>
              <w:spacing w:after="0"/>
              <w:rPr>
                <w:sz w:val="20"/>
                <w:szCs w:val="20"/>
                <w:color w:val="auto"/>
              </w:rPr>
            </w:pPr>
            <w:r>
              <w:rPr>
                <w:rFonts w:ascii="Arial" w:cs="Arial" w:eastAsia="Arial" w:hAnsi="Arial"/>
                <w:sz w:val="18"/>
                <w:szCs w:val="18"/>
                <w:color w:val="auto"/>
              </w:rPr>
              <w:t>No Promotion</w:t>
            </w:r>
          </w:p>
        </w:tc>
        <w:tc>
          <w:tcPr>
            <w:tcW w:w="1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6.7</w:t>
            </w:r>
          </w:p>
        </w:tc>
        <w:tc>
          <w:tcPr>
            <w:tcW w:w="5980" w:type="dxa"/>
            <w:vAlign w:val="bottom"/>
          </w:tcPr>
          <w:p>
            <w:pPr>
              <w:ind w:left="40"/>
              <w:spacing w:after="0"/>
              <w:rPr>
                <w:sz w:val="20"/>
                <w:szCs w:val="20"/>
                <w:color w:val="auto"/>
              </w:rPr>
            </w:pPr>
            <w:r>
              <w:rPr>
                <w:rFonts w:ascii="Arial" w:cs="Arial" w:eastAsia="Arial" w:hAnsi="Arial"/>
                <w:sz w:val="18"/>
                <w:szCs w:val="18"/>
                <w:color w:val="auto"/>
              </w:rPr>
              <w:t>Exclusivity</w:t>
            </w:r>
          </w:p>
        </w:tc>
        <w:tc>
          <w:tcPr>
            <w:tcW w:w="19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6.8</w:t>
            </w:r>
          </w:p>
        </w:tc>
        <w:tc>
          <w:tcPr>
            <w:tcW w:w="5980" w:type="dxa"/>
            <w:vAlign w:val="bottom"/>
          </w:tcPr>
          <w:p>
            <w:pPr>
              <w:ind w:left="40"/>
              <w:spacing w:after="0"/>
              <w:rPr>
                <w:sz w:val="20"/>
                <w:szCs w:val="20"/>
                <w:color w:val="auto"/>
              </w:rPr>
            </w:pPr>
            <w:r>
              <w:rPr>
                <w:rFonts w:ascii="Arial" w:cs="Arial" w:eastAsia="Arial" w:hAnsi="Arial"/>
                <w:sz w:val="18"/>
                <w:szCs w:val="18"/>
                <w:color w:val="auto"/>
              </w:rPr>
              <w:t>Tax Filings and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6.9</w:t>
            </w:r>
          </w:p>
        </w:tc>
        <w:tc>
          <w:tcPr>
            <w:tcW w:w="5980" w:type="dxa"/>
            <w:vAlign w:val="bottom"/>
          </w:tcPr>
          <w:p>
            <w:pPr>
              <w:ind w:left="40"/>
              <w:spacing w:after="0"/>
              <w:rPr>
                <w:sz w:val="20"/>
                <w:szCs w:val="20"/>
                <w:color w:val="auto"/>
              </w:rPr>
            </w:pPr>
            <w:r>
              <w:rPr>
                <w:rFonts w:ascii="Arial" w:cs="Arial" w:eastAsia="Arial" w:hAnsi="Arial"/>
                <w:sz w:val="18"/>
                <w:szCs w:val="18"/>
                <w:color w:val="auto"/>
              </w:rPr>
              <w:t>Release and Discharge</w:t>
            </w:r>
          </w:p>
        </w:tc>
        <w:tc>
          <w:tcPr>
            <w:tcW w:w="1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6.10</w:t>
            </w:r>
          </w:p>
        </w:tc>
        <w:tc>
          <w:tcPr>
            <w:tcW w:w="5980" w:type="dxa"/>
            <w:vAlign w:val="bottom"/>
          </w:tcPr>
          <w:p>
            <w:pPr>
              <w:ind w:left="40"/>
              <w:spacing w:after="0"/>
              <w:rPr>
                <w:sz w:val="20"/>
                <w:szCs w:val="20"/>
                <w:color w:val="auto"/>
              </w:rPr>
            </w:pPr>
            <w:r>
              <w:rPr>
                <w:rFonts w:ascii="Arial" w:cs="Arial" w:eastAsia="Arial" w:hAnsi="Arial"/>
                <w:sz w:val="18"/>
                <w:szCs w:val="18"/>
                <w:color w:val="auto"/>
              </w:rPr>
              <w:t>Withholding Rights</w:t>
            </w:r>
          </w:p>
        </w:tc>
        <w:tc>
          <w:tcPr>
            <w:tcW w:w="1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6.11</w:t>
            </w:r>
          </w:p>
        </w:tc>
        <w:tc>
          <w:tcPr>
            <w:tcW w:w="5980" w:type="dxa"/>
            <w:vAlign w:val="bottom"/>
          </w:tcPr>
          <w:p>
            <w:pPr>
              <w:ind w:left="40"/>
              <w:spacing w:after="0"/>
              <w:rPr>
                <w:sz w:val="20"/>
                <w:szCs w:val="20"/>
                <w:color w:val="auto"/>
              </w:rPr>
            </w:pPr>
            <w:r>
              <w:rPr>
                <w:rFonts w:ascii="Arial" w:cs="Arial" w:eastAsia="Arial" w:hAnsi="Arial"/>
                <w:sz w:val="18"/>
                <w:szCs w:val="18"/>
                <w:color w:val="auto"/>
              </w:rPr>
              <w:t>Treatment of Company Share Awards and NetEase RSUs</w:t>
            </w:r>
          </w:p>
        </w:tc>
        <w:tc>
          <w:tcPr>
            <w:tcW w:w="1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6.12</w:t>
            </w:r>
          </w:p>
        </w:tc>
        <w:tc>
          <w:tcPr>
            <w:tcW w:w="5980" w:type="dxa"/>
            <w:vAlign w:val="bottom"/>
          </w:tcPr>
          <w:p>
            <w:pPr>
              <w:ind w:left="40"/>
              <w:spacing w:after="0"/>
              <w:rPr>
                <w:sz w:val="20"/>
                <w:szCs w:val="20"/>
                <w:color w:val="auto"/>
              </w:rPr>
            </w:pPr>
            <w:r>
              <w:rPr>
                <w:rFonts w:ascii="Arial" w:cs="Arial" w:eastAsia="Arial" w:hAnsi="Arial"/>
                <w:sz w:val="18"/>
                <w:szCs w:val="18"/>
                <w:color w:val="auto"/>
              </w:rPr>
              <w:t>No Leakage</w:t>
            </w:r>
          </w:p>
        </w:tc>
        <w:tc>
          <w:tcPr>
            <w:tcW w:w="19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6.13</w:t>
            </w:r>
          </w:p>
        </w:tc>
        <w:tc>
          <w:tcPr>
            <w:tcW w:w="5980" w:type="dxa"/>
            <w:vAlign w:val="bottom"/>
          </w:tcPr>
          <w:p>
            <w:pPr>
              <w:ind w:left="40"/>
              <w:spacing w:after="0"/>
              <w:rPr>
                <w:sz w:val="20"/>
                <w:szCs w:val="20"/>
                <w:color w:val="auto"/>
              </w:rPr>
            </w:pPr>
            <w:r>
              <w:rPr>
                <w:rFonts w:ascii="Arial" w:cs="Arial" w:eastAsia="Arial" w:hAnsi="Arial"/>
                <w:sz w:val="18"/>
                <w:szCs w:val="18"/>
                <w:color w:val="auto"/>
              </w:rPr>
              <w:t>Pre-Closing Covenants to Continue</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6.14</w:t>
            </w:r>
          </w:p>
        </w:tc>
        <w:tc>
          <w:tcPr>
            <w:tcW w:w="5980" w:type="dxa"/>
            <w:vAlign w:val="bottom"/>
          </w:tcPr>
          <w:p>
            <w:pPr>
              <w:ind w:left="40"/>
              <w:spacing w:after="0"/>
              <w:rPr>
                <w:sz w:val="20"/>
                <w:szCs w:val="20"/>
                <w:color w:val="auto"/>
              </w:rPr>
            </w:pPr>
            <w:r>
              <w:rPr>
                <w:rFonts w:ascii="Arial" w:cs="Arial" w:eastAsia="Arial" w:hAnsi="Arial"/>
                <w:sz w:val="18"/>
                <w:szCs w:val="18"/>
                <w:color w:val="auto"/>
              </w:rPr>
              <w:t>Ongoing Cooperation and Assistance</w:t>
            </w:r>
          </w:p>
        </w:tc>
        <w:tc>
          <w:tcPr>
            <w:tcW w:w="19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6.15</w:t>
            </w:r>
          </w:p>
        </w:tc>
        <w:tc>
          <w:tcPr>
            <w:tcW w:w="5980" w:type="dxa"/>
            <w:vAlign w:val="bottom"/>
          </w:tcPr>
          <w:p>
            <w:pPr>
              <w:ind w:left="40"/>
              <w:spacing w:after="0"/>
              <w:rPr>
                <w:sz w:val="20"/>
                <w:szCs w:val="20"/>
                <w:color w:val="auto"/>
              </w:rPr>
            </w:pPr>
            <w:r>
              <w:rPr>
                <w:rFonts w:ascii="Arial" w:cs="Arial" w:eastAsia="Arial" w:hAnsi="Arial"/>
                <w:sz w:val="18"/>
                <w:szCs w:val="18"/>
                <w:color w:val="auto"/>
              </w:rPr>
              <w:t>Optimization of Workforce Structure</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6.16</w:t>
            </w:r>
          </w:p>
        </w:tc>
        <w:tc>
          <w:tcPr>
            <w:tcW w:w="5980" w:type="dxa"/>
            <w:vAlign w:val="bottom"/>
          </w:tcPr>
          <w:p>
            <w:pPr>
              <w:ind w:left="40"/>
              <w:spacing w:after="0"/>
              <w:rPr>
                <w:sz w:val="20"/>
                <w:szCs w:val="20"/>
                <w:color w:val="auto"/>
              </w:rPr>
            </w:pPr>
            <w:r>
              <w:rPr>
                <w:rFonts w:ascii="Arial" w:cs="Arial" w:eastAsia="Arial" w:hAnsi="Arial"/>
                <w:sz w:val="18"/>
                <w:szCs w:val="18"/>
                <w:color w:val="auto"/>
              </w:rPr>
              <w:t>Intellectual Property Arrangements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6.17</w:t>
            </w:r>
          </w:p>
        </w:tc>
        <w:tc>
          <w:tcPr>
            <w:tcW w:w="5980" w:type="dxa"/>
            <w:vAlign w:val="bottom"/>
          </w:tcPr>
          <w:p>
            <w:pPr>
              <w:ind w:left="40"/>
              <w:spacing w:after="0"/>
              <w:rPr>
                <w:sz w:val="20"/>
                <w:szCs w:val="20"/>
                <w:color w:val="auto"/>
              </w:rPr>
            </w:pPr>
            <w:r>
              <w:rPr>
                <w:rFonts w:ascii="Arial" w:cs="Arial" w:eastAsia="Arial" w:hAnsi="Arial"/>
                <w:sz w:val="18"/>
                <w:szCs w:val="18"/>
                <w:color w:val="auto"/>
              </w:rPr>
              <w:t>Non-compete</w:t>
            </w:r>
          </w:p>
        </w:tc>
        <w:tc>
          <w:tcPr>
            <w:tcW w:w="19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6.18</w:t>
            </w:r>
          </w:p>
        </w:tc>
        <w:tc>
          <w:tcPr>
            <w:tcW w:w="5980" w:type="dxa"/>
            <w:vAlign w:val="bottom"/>
          </w:tcPr>
          <w:p>
            <w:pPr>
              <w:ind w:left="40"/>
              <w:spacing w:after="0"/>
              <w:rPr>
                <w:sz w:val="20"/>
                <w:szCs w:val="20"/>
                <w:color w:val="auto"/>
              </w:rPr>
            </w:pPr>
            <w:r>
              <w:rPr>
                <w:rFonts w:ascii="Arial" w:cs="Arial" w:eastAsia="Arial" w:hAnsi="Arial"/>
                <w:sz w:val="18"/>
                <w:szCs w:val="18"/>
                <w:color w:val="auto"/>
              </w:rPr>
              <w:t>Non-solicit</w:t>
            </w:r>
          </w:p>
        </w:tc>
        <w:tc>
          <w:tcPr>
            <w:tcW w:w="19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6.19</w:t>
            </w:r>
          </w:p>
        </w:tc>
        <w:tc>
          <w:tcPr>
            <w:tcW w:w="5980" w:type="dxa"/>
            <w:vAlign w:val="bottom"/>
          </w:tcPr>
          <w:p>
            <w:pPr>
              <w:ind w:left="40"/>
              <w:spacing w:after="0"/>
              <w:rPr>
                <w:sz w:val="20"/>
                <w:szCs w:val="20"/>
                <w:color w:val="auto"/>
              </w:rPr>
            </w:pPr>
            <w:r>
              <w:rPr>
                <w:rFonts w:ascii="Arial" w:cs="Arial" w:eastAsia="Arial" w:hAnsi="Arial"/>
                <w:sz w:val="18"/>
                <w:szCs w:val="18"/>
                <w:color w:val="auto"/>
              </w:rPr>
              <w:t>Rights with respect to Investment in NetEase Yanxuan</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6.20</w:t>
            </w:r>
          </w:p>
        </w:tc>
        <w:tc>
          <w:tcPr>
            <w:tcW w:w="5980" w:type="dxa"/>
            <w:vAlign w:val="bottom"/>
          </w:tcPr>
          <w:p>
            <w:pPr>
              <w:ind w:left="40"/>
              <w:spacing w:after="0"/>
              <w:rPr>
                <w:sz w:val="20"/>
                <w:szCs w:val="20"/>
                <w:color w:val="auto"/>
              </w:rPr>
            </w:pPr>
            <w:r>
              <w:rPr>
                <w:rFonts w:ascii="Arial" w:cs="Arial" w:eastAsia="Arial" w:hAnsi="Arial"/>
                <w:sz w:val="18"/>
                <w:szCs w:val="18"/>
                <w:color w:val="auto"/>
              </w:rPr>
              <w:t>Lock-up Requirements</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6.21</w:t>
            </w:r>
          </w:p>
        </w:tc>
        <w:tc>
          <w:tcPr>
            <w:tcW w:w="5980" w:type="dxa"/>
            <w:vAlign w:val="bottom"/>
          </w:tcPr>
          <w:p>
            <w:pPr>
              <w:ind w:left="40"/>
              <w:spacing w:after="0"/>
              <w:rPr>
                <w:sz w:val="20"/>
                <w:szCs w:val="20"/>
                <w:color w:val="auto"/>
              </w:rPr>
            </w:pPr>
            <w:r>
              <w:rPr>
                <w:rFonts w:ascii="Arial" w:cs="Arial" w:eastAsia="Arial" w:hAnsi="Arial"/>
                <w:sz w:val="18"/>
                <w:szCs w:val="18"/>
                <w:color w:val="auto"/>
              </w:rPr>
              <w:t>Replacement of Seller Guarantee</w:t>
            </w: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7940" w:type="dxa"/>
            <w:vAlign w:val="bottom"/>
            <w:gridSpan w:val="2"/>
          </w:tcPr>
          <w:p>
            <w:pPr>
              <w:spacing w:after="0"/>
              <w:rPr>
                <w:sz w:val="20"/>
                <w:szCs w:val="20"/>
                <w:color w:val="auto"/>
              </w:rPr>
            </w:pPr>
            <w:r>
              <w:rPr>
                <w:rFonts w:ascii="Arial" w:cs="Arial" w:eastAsia="Arial" w:hAnsi="Arial"/>
                <w:sz w:val="18"/>
                <w:szCs w:val="18"/>
                <w:color w:val="auto"/>
              </w:rPr>
              <w:t>Article VII Conditions to Closing</w:t>
            </w: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5980" w:type="dxa"/>
            <w:vAlign w:val="bottom"/>
          </w:tcPr>
          <w:p>
            <w:pPr>
              <w:ind w:left="40"/>
              <w:spacing w:after="0"/>
              <w:rPr>
                <w:sz w:val="20"/>
                <w:szCs w:val="20"/>
                <w:color w:val="auto"/>
              </w:rPr>
            </w:pPr>
            <w:r>
              <w:rPr>
                <w:rFonts w:ascii="Arial" w:cs="Arial" w:eastAsia="Arial" w:hAnsi="Arial"/>
                <w:sz w:val="18"/>
                <w:szCs w:val="18"/>
                <w:color w:val="auto"/>
              </w:rPr>
              <w:t>Conditions Precedent to Obligations of Each Party</w:t>
            </w: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5980" w:type="dxa"/>
            <w:vAlign w:val="bottom"/>
          </w:tcPr>
          <w:p>
            <w:pPr>
              <w:ind w:left="40"/>
              <w:spacing w:after="0"/>
              <w:rPr>
                <w:sz w:val="20"/>
                <w:szCs w:val="20"/>
                <w:color w:val="auto"/>
              </w:rPr>
            </w:pPr>
            <w:r>
              <w:rPr>
                <w:rFonts w:ascii="Arial" w:cs="Arial" w:eastAsia="Arial" w:hAnsi="Arial"/>
                <w:sz w:val="18"/>
                <w:szCs w:val="18"/>
                <w:color w:val="auto"/>
              </w:rPr>
              <w:t>Conditions Precedent to Obligations of the Purchaser</w:t>
            </w:r>
          </w:p>
        </w:tc>
        <w:tc>
          <w:tcPr>
            <w:tcW w:w="19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5980" w:type="dxa"/>
            <w:vAlign w:val="bottom"/>
          </w:tcPr>
          <w:p>
            <w:pPr>
              <w:ind w:left="40"/>
              <w:spacing w:after="0"/>
              <w:rPr>
                <w:sz w:val="20"/>
                <w:szCs w:val="20"/>
                <w:color w:val="auto"/>
              </w:rPr>
            </w:pPr>
            <w:r>
              <w:rPr>
                <w:rFonts w:ascii="Arial" w:cs="Arial" w:eastAsia="Arial" w:hAnsi="Arial"/>
                <w:sz w:val="18"/>
                <w:szCs w:val="18"/>
                <w:color w:val="auto"/>
              </w:rPr>
              <w:t>Conditions Precedent to Obligations of the Seller</w:t>
            </w: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Article VIII Termination</w:t>
            </w:r>
          </w:p>
        </w:tc>
        <w:tc>
          <w:tcPr>
            <w:tcW w:w="59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8.1</w:t>
            </w:r>
          </w:p>
        </w:tc>
        <w:tc>
          <w:tcPr>
            <w:tcW w:w="5980" w:type="dxa"/>
            <w:vAlign w:val="bottom"/>
          </w:tcPr>
          <w:p>
            <w:pPr>
              <w:ind w:left="40"/>
              <w:spacing w:after="0"/>
              <w:rPr>
                <w:sz w:val="20"/>
                <w:szCs w:val="20"/>
                <w:color w:val="auto"/>
              </w:rPr>
            </w:pPr>
            <w:r>
              <w:rPr>
                <w:rFonts w:ascii="Arial" w:cs="Arial" w:eastAsia="Arial" w:hAnsi="Arial"/>
                <w:sz w:val="18"/>
                <w:szCs w:val="18"/>
                <w:color w:val="auto"/>
              </w:rPr>
              <w:t>Termination of Agreement</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8.2</w:t>
            </w:r>
          </w:p>
        </w:tc>
        <w:tc>
          <w:tcPr>
            <w:tcW w:w="5980" w:type="dxa"/>
            <w:vAlign w:val="bottom"/>
          </w:tcPr>
          <w:p>
            <w:pPr>
              <w:ind w:left="40"/>
              <w:spacing w:after="0"/>
              <w:rPr>
                <w:sz w:val="20"/>
                <w:szCs w:val="20"/>
                <w:color w:val="auto"/>
              </w:rPr>
            </w:pPr>
            <w:r>
              <w:rPr>
                <w:rFonts w:ascii="Arial" w:cs="Arial" w:eastAsia="Arial" w:hAnsi="Arial"/>
                <w:sz w:val="18"/>
                <w:szCs w:val="18"/>
                <w:color w:val="auto"/>
              </w:rPr>
              <w:t>Procedure Upon 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8.3</w:t>
            </w:r>
          </w:p>
        </w:tc>
        <w:tc>
          <w:tcPr>
            <w:tcW w:w="5980" w:type="dxa"/>
            <w:vAlign w:val="bottom"/>
          </w:tcPr>
          <w:p>
            <w:pPr>
              <w:ind w:left="40"/>
              <w:spacing w:after="0"/>
              <w:rPr>
                <w:sz w:val="20"/>
                <w:szCs w:val="20"/>
                <w:color w:val="auto"/>
              </w:rPr>
            </w:pPr>
            <w:r>
              <w:rPr>
                <w:rFonts w:ascii="Arial" w:cs="Arial" w:eastAsia="Arial" w:hAnsi="Arial"/>
                <w:sz w:val="18"/>
                <w:szCs w:val="18"/>
                <w:color w:val="auto"/>
              </w:rPr>
              <w:t>Reversal of Certain Steps upon 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8.4</w:t>
            </w:r>
          </w:p>
        </w:tc>
        <w:tc>
          <w:tcPr>
            <w:tcW w:w="5980" w:type="dxa"/>
            <w:vAlign w:val="bottom"/>
          </w:tcPr>
          <w:p>
            <w:pPr>
              <w:ind w:left="40"/>
              <w:spacing w:after="0"/>
              <w:rPr>
                <w:sz w:val="20"/>
                <w:szCs w:val="20"/>
                <w:color w:val="auto"/>
              </w:rPr>
            </w:pPr>
            <w:r>
              <w:rPr>
                <w:rFonts w:ascii="Arial" w:cs="Arial" w:eastAsia="Arial" w:hAnsi="Arial"/>
                <w:sz w:val="18"/>
                <w:szCs w:val="18"/>
                <w:color w:val="auto"/>
              </w:rPr>
              <w:t>Effect of 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w w:val="97"/>
              </w:rPr>
              <w:t>Article IX Indemnification</w:t>
            </w:r>
          </w:p>
        </w:tc>
        <w:tc>
          <w:tcPr>
            <w:tcW w:w="59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9.1</w:t>
            </w:r>
          </w:p>
        </w:tc>
        <w:tc>
          <w:tcPr>
            <w:tcW w:w="5980" w:type="dxa"/>
            <w:vAlign w:val="bottom"/>
          </w:tcPr>
          <w:p>
            <w:pPr>
              <w:ind w:left="40"/>
              <w:spacing w:after="0"/>
              <w:rPr>
                <w:sz w:val="20"/>
                <w:szCs w:val="20"/>
                <w:color w:val="auto"/>
              </w:rPr>
            </w:pPr>
            <w:r>
              <w:rPr>
                <w:rFonts w:ascii="Arial" w:cs="Arial" w:eastAsia="Arial" w:hAnsi="Arial"/>
                <w:sz w:val="18"/>
                <w:szCs w:val="18"/>
                <w:color w:val="auto"/>
              </w:rPr>
              <w:t>Survival of Representations, Warranties and Covenants</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9.2</w:t>
            </w:r>
          </w:p>
        </w:tc>
        <w:tc>
          <w:tcPr>
            <w:tcW w:w="5980" w:type="dxa"/>
            <w:vAlign w:val="bottom"/>
          </w:tcPr>
          <w:p>
            <w:pPr>
              <w:ind w:left="40"/>
              <w:spacing w:after="0"/>
              <w:rPr>
                <w:sz w:val="20"/>
                <w:szCs w:val="20"/>
                <w:color w:val="auto"/>
              </w:rPr>
            </w:pPr>
            <w:r>
              <w:rPr>
                <w:rFonts w:ascii="Arial" w:cs="Arial" w:eastAsia="Arial" w:hAnsi="Arial"/>
                <w:sz w:val="18"/>
                <w:szCs w:val="18"/>
                <w:color w:val="auto"/>
              </w:rPr>
              <w:t>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9.3</w:t>
            </w:r>
          </w:p>
        </w:tc>
        <w:tc>
          <w:tcPr>
            <w:tcW w:w="5980" w:type="dxa"/>
            <w:vAlign w:val="bottom"/>
          </w:tcPr>
          <w:p>
            <w:pPr>
              <w:ind w:left="40"/>
              <w:spacing w:after="0"/>
              <w:rPr>
                <w:sz w:val="20"/>
                <w:szCs w:val="20"/>
                <w:color w:val="auto"/>
              </w:rPr>
            </w:pPr>
            <w:r>
              <w:rPr>
                <w:rFonts w:ascii="Arial" w:cs="Arial" w:eastAsia="Arial" w:hAnsi="Arial"/>
                <w:sz w:val="18"/>
                <w:szCs w:val="18"/>
                <w:color w:val="auto"/>
              </w:rPr>
              <w:t>Limits on Indemnification</w:t>
            </w:r>
          </w:p>
        </w:tc>
        <w:tc>
          <w:tcPr>
            <w:tcW w:w="19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9.4</w:t>
            </w:r>
          </w:p>
        </w:tc>
        <w:tc>
          <w:tcPr>
            <w:tcW w:w="5980" w:type="dxa"/>
            <w:vAlign w:val="bottom"/>
          </w:tcPr>
          <w:p>
            <w:pPr>
              <w:ind w:left="40"/>
              <w:spacing w:after="0"/>
              <w:rPr>
                <w:sz w:val="20"/>
                <w:szCs w:val="20"/>
                <w:color w:val="auto"/>
              </w:rPr>
            </w:pPr>
            <w:r>
              <w:rPr>
                <w:rFonts w:ascii="Arial" w:cs="Arial" w:eastAsia="Arial" w:hAnsi="Arial"/>
                <w:sz w:val="18"/>
                <w:szCs w:val="18"/>
                <w:color w:val="auto"/>
              </w:rPr>
              <w:t>Duty to Mitigate</w:t>
            </w: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9.5</w:t>
            </w:r>
          </w:p>
        </w:tc>
        <w:tc>
          <w:tcPr>
            <w:tcW w:w="5980" w:type="dxa"/>
            <w:vAlign w:val="bottom"/>
          </w:tcPr>
          <w:p>
            <w:pPr>
              <w:ind w:left="40"/>
              <w:spacing w:after="0"/>
              <w:rPr>
                <w:sz w:val="20"/>
                <w:szCs w:val="20"/>
                <w:color w:val="auto"/>
              </w:rPr>
            </w:pPr>
            <w:r>
              <w:rPr>
                <w:rFonts w:ascii="Arial" w:cs="Arial" w:eastAsia="Arial" w:hAnsi="Arial"/>
                <w:sz w:val="18"/>
                <w:szCs w:val="18"/>
                <w:color w:val="auto"/>
              </w:rPr>
              <w:t>Exclusivity</w:t>
            </w: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60" w:type="dxa"/>
            <w:vAlign w:val="bottom"/>
          </w:tcPr>
          <w:p>
            <w:pPr>
              <w:ind w:left="540"/>
              <w:spacing w:after="0"/>
              <w:rPr>
                <w:sz w:val="20"/>
                <w:szCs w:val="20"/>
                <w:color w:val="auto"/>
              </w:rPr>
            </w:pPr>
            <w:r>
              <w:rPr>
                <w:rFonts w:ascii="Arial" w:cs="Arial" w:eastAsia="Arial" w:hAnsi="Arial"/>
                <w:sz w:val="18"/>
                <w:szCs w:val="18"/>
                <w:color w:val="auto"/>
              </w:rPr>
              <w:t>Section 9.6</w:t>
            </w:r>
          </w:p>
        </w:tc>
        <w:tc>
          <w:tcPr>
            <w:tcW w:w="5980" w:type="dxa"/>
            <w:vAlign w:val="bottom"/>
          </w:tcPr>
          <w:p>
            <w:pPr>
              <w:ind w:left="40"/>
              <w:spacing w:after="0"/>
              <w:rPr>
                <w:sz w:val="20"/>
                <w:szCs w:val="20"/>
                <w:color w:val="auto"/>
              </w:rPr>
            </w:pPr>
            <w:r>
              <w:rPr>
                <w:rFonts w:ascii="Arial" w:cs="Arial" w:eastAsia="Arial" w:hAnsi="Arial"/>
                <w:sz w:val="18"/>
                <w:szCs w:val="18"/>
                <w:color w:val="auto"/>
              </w:rPr>
              <w:t>Tax Treatment of Indemnification Payments</w:t>
            </w: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9.7</w:t>
            </w:r>
          </w:p>
        </w:tc>
        <w:tc>
          <w:tcPr>
            <w:tcW w:w="5980" w:type="dxa"/>
            <w:vAlign w:val="bottom"/>
          </w:tcPr>
          <w:p>
            <w:pPr>
              <w:ind w:left="40"/>
              <w:spacing w:after="0"/>
              <w:rPr>
                <w:sz w:val="20"/>
                <w:szCs w:val="20"/>
                <w:color w:val="auto"/>
              </w:rPr>
            </w:pPr>
            <w:r>
              <w:rPr>
                <w:rFonts w:ascii="Arial" w:cs="Arial" w:eastAsia="Arial" w:hAnsi="Arial"/>
                <w:sz w:val="18"/>
                <w:szCs w:val="18"/>
                <w:color w:val="auto"/>
              </w:rPr>
              <w:t>Deduction from Indemnity Withheld Amount</w:t>
            </w: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8"/>
        </w:trPr>
        <w:tc>
          <w:tcPr>
            <w:tcW w:w="1960" w:type="dxa"/>
            <w:vAlign w:val="bottom"/>
          </w:tcPr>
          <w:p>
            <w:pPr>
              <w:spacing w:after="0"/>
              <w:rPr>
                <w:sz w:val="20"/>
                <w:szCs w:val="20"/>
                <w:color w:val="auto"/>
              </w:rPr>
            </w:pPr>
            <w:r>
              <w:rPr>
                <w:rFonts w:ascii="Arial" w:cs="Arial" w:eastAsia="Arial" w:hAnsi="Arial"/>
                <w:sz w:val="18"/>
                <w:szCs w:val="18"/>
                <w:color w:val="auto"/>
              </w:rPr>
              <w:t>Article X Miscellaneous</w:t>
            </w:r>
          </w:p>
        </w:tc>
        <w:tc>
          <w:tcPr>
            <w:tcW w:w="598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96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59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9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66" w:right="999"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710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7100" w:type="dxa"/>
            <w:vAlign w:val="bottom"/>
          </w:tcPr>
          <w:p>
            <w:pPr>
              <w:ind w:left="180"/>
              <w:spacing w:after="0"/>
              <w:rPr>
                <w:sz w:val="20"/>
                <w:szCs w:val="20"/>
                <w:color w:val="auto"/>
              </w:rPr>
            </w:pPr>
            <w:r>
              <w:rPr>
                <w:rFonts w:ascii="Arial" w:cs="Arial" w:eastAsia="Arial" w:hAnsi="Arial"/>
                <w:sz w:val="18"/>
                <w:szCs w:val="18"/>
                <w:color w:val="auto"/>
              </w:rPr>
              <w:t>Arbitration</w:t>
            </w: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7100" w:type="dxa"/>
            <w:vAlign w:val="bottom"/>
          </w:tcPr>
          <w:p>
            <w:pPr>
              <w:ind w:left="180"/>
              <w:spacing w:after="0"/>
              <w:rPr>
                <w:sz w:val="20"/>
                <w:szCs w:val="20"/>
                <w:color w:val="auto"/>
              </w:rPr>
            </w:pPr>
            <w:r>
              <w:rPr>
                <w:rFonts w:ascii="Arial" w:cs="Arial" w:eastAsia="Arial" w:hAnsi="Arial"/>
                <w:sz w:val="18"/>
                <w:szCs w:val="18"/>
                <w:color w:val="auto"/>
              </w:rPr>
              <w:t>Entire Agreement; Amendments and Waivers</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10.5</w:t>
            </w:r>
          </w:p>
        </w:tc>
        <w:tc>
          <w:tcPr>
            <w:tcW w:w="7100" w:type="dxa"/>
            <w:vAlign w:val="bottom"/>
          </w:tcPr>
          <w:p>
            <w:pPr>
              <w:ind w:left="180"/>
              <w:spacing w:after="0"/>
              <w:rPr>
                <w:sz w:val="20"/>
                <w:szCs w:val="20"/>
                <w:color w:val="auto"/>
              </w:rPr>
            </w:pPr>
            <w:r>
              <w:rPr>
                <w:rFonts w:ascii="Arial" w:cs="Arial" w:eastAsia="Arial" w:hAnsi="Arial"/>
                <w:sz w:val="18"/>
                <w:szCs w:val="18"/>
                <w:color w:val="auto"/>
              </w:rPr>
              <w:t>Amendments and Waivers</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10.6</w:t>
            </w:r>
          </w:p>
        </w:tc>
        <w:tc>
          <w:tcPr>
            <w:tcW w:w="710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10.7</w:t>
            </w:r>
          </w:p>
        </w:tc>
        <w:tc>
          <w:tcPr>
            <w:tcW w:w="7100" w:type="dxa"/>
            <w:vAlign w:val="bottom"/>
          </w:tcPr>
          <w:p>
            <w:pPr>
              <w:ind w:left="180"/>
              <w:spacing w:after="0"/>
              <w:rPr>
                <w:sz w:val="20"/>
                <w:szCs w:val="20"/>
                <w:color w:val="auto"/>
              </w:rPr>
            </w:pPr>
            <w:r>
              <w:rPr>
                <w:rFonts w:ascii="Arial" w:cs="Arial" w:eastAsia="Arial" w:hAnsi="Arial"/>
                <w:sz w:val="18"/>
                <w:szCs w:val="18"/>
                <w:color w:val="auto"/>
              </w:rPr>
              <w:t>Notices</w:t>
            </w: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10.8</w:t>
            </w:r>
          </w:p>
        </w:tc>
        <w:tc>
          <w:tcPr>
            <w:tcW w:w="710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10.9</w:t>
            </w:r>
          </w:p>
        </w:tc>
        <w:tc>
          <w:tcPr>
            <w:tcW w:w="7100" w:type="dxa"/>
            <w:vAlign w:val="bottom"/>
          </w:tcPr>
          <w:p>
            <w:pPr>
              <w:ind w:left="180"/>
              <w:spacing w:after="0"/>
              <w:rPr>
                <w:sz w:val="20"/>
                <w:szCs w:val="20"/>
                <w:color w:val="auto"/>
              </w:rPr>
            </w:pPr>
            <w:r>
              <w:rPr>
                <w:rFonts w:ascii="Arial" w:cs="Arial" w:eastAsia="Arial" w:hAnsi="Arial"/>
                <w:sz w:val="18"/>
                <w:szCs w:val="18"/>
                <w:color w:val="auto"/>
              </w:rPr>
              <w:t>Binding Effect; Assignment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700" w:type="dxa"/>
            <w:vAlign w:val="bottom"/>
          </w:tcPr>
          <w:p>
            <w:pPr>
              <w:ind w:left="540"/>
              <w:spacing w:after="0"/>
              <w:rPr>
                <w:sz w:val="20"/>
                <w:szCs w:val="20"/>
                <w:color w:val="auto"/>
              </w:rPr>
            </w:pPr>
            <w:r>
              <w:rPr>
                <w:rFonts w:ascii="Arial" w:cs="Arial" w:eastAsia="Arial" w:hAnsi="Arial"/>
                <w:sz w:val="18"/>
                <w:szCs w:val="18"/>
                <w:color w:val="auto"/>
              </w:rPr>
              <w:t>Section 10.10</w:t>
            </w:r>
          </w:p>
        </w:tc>
        <w:tc>
          <w:tcPr>
            <w:tcW w:w="7100" w:type="dxa"/>
            <w:vAlign w:val="bottom"/>
          </w:tcPr>
          <w:p>
            <w:pPr>
              <w:ind w:left="180"/>
              <w:spacing w:after="0"/>
              <w:rPr>
                <w:sz w:val="20"/>
                <w:szCs w:val="20"/>
                <w:color w:val="auto"/>
              </w:rPr>
            </w:pPr>
            <w:r>
              <w:rPr>
                <w:rFonts w:ascii="Arial" w:cs="Arial" w:eastAsia="Arial" w:hAnsi="Arial"/>
                <w:sz w:val="18"/>
                <w:szCs w:val="18"/>
                <w:color w:val="auto"/>
              </w:rPr>
              <w:t>Non-Recourse</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700" w:type="dxa"/>
            <w:vAlign w:val="bottom"/>
          </w:tcPr>
          <w:p>
            <w:pPr>
              <w:ind w:left="540"/>
              <w:spacing w:after="0"/>
              <w:rPr>
                <w:sz w:val="20"/>
                <w:szCs w:val="20"/>
                <w:color w:val="auto"/>
              </w:rPr>
            </w:pPr>
            <w:r>
              <w:rPr>
                <w:rFonts w:ascii="Arial" w:cs="Arial" w:eastAsia="Arial" w:hAnsi="Arial"/>
                <w:sz w:val="18"/>
                <w:szCs w:val="18"/>
                <w:color w:val="auto"/>
              </w:rPr>
              <w:t>Section 10.11</w:t>
            </w:r>
          </w:p>
        </w:tc>
        <w:tc>
          <w:tcPr>
            <w:tcW w:w="710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SCHEDULES AND EXHIBITS</w:t>
            </w:r>
          </w:p>
        </w:tc>
        <w:tc>
          <w:tcPr>
            <w:tcW w:w="1120" w:type="dxa"/>
            <w:vAlign w:val="bottom"/>
          </w:tcPr>
          <w:p>
            <w:pPr>
              <w:spacing w:after="0"/>
              <w:rPr>
                <w:sz w:val="24"/>
                <w:szCs w:val="24"/>
                <w:color w:val="auto"/>
              </w:rPr>
            </w:pPr>
          </w:p>
        </w:tc>
      </w:tr>
      <w:tr>
        <w:trPr>
          <w:trHeight w:val="418"/>
        </w:trPr>
        <w:tc>
          <w:tcPr>
            <w:tcW w:w="1700" w:type="dxa"/>
            <w:vAlign w:val="bottom"/>
          </w:tcPr>
          <w:p>
            <w:pPr>
              <w:spacing w:after="0"/>
              <w:rPr>
                <w:sz w:val="20"/>
                <w:szCs w:val="20"/>
                <w:color w:val="auto"/>
              </w:rPr>
            </w:pPr>
            <w:r>
              <w:rPr>
                <w:rFonts w:ascii="Arial" w:cs="Arial" w:eastAsia="Arial" w:hAnsi="Arial"/>
                <w:sz w:val="18"/>
                <w:szCs w:val="18"/>
                <w:color w:val="auto"/>
              </w:rPr>
              <w:t>Schedule A</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Outgoing Directors</w:t>
            </w:r>
          </w:p>
        </w:tc>
        <w:tc>
          <w:tcPr>
            <w:tcW w:w="1120" w:type="dxa"/>
            <w:vAlign w:val="bottom"/>
          </w:tcPr>
          <w:p>
            <w:pPr>
              <w:spacing w:after="0"/>
              <w:rPr>
                <w:sz w:val="24"/>
                <w:szCs w:val="24"/>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B-1</w:t>
            </w:r>
          </w:p>
        </w:tc>
        <w:tc>
          <w:tcPr>
            <w:tcW w:w="7100" w:type="dxa"/>
            <w:vAlign w:val="bottom"/>
          </w:tcPr>
          <w:p>
            <w:pPr>
              <w:ind w:left="180"/>
              <w:spacing w:after="0"/>
              <w:rPr>
                <w:sz w:val="20"/>
                <w:szCs w:val="20"/>
                <w:color w:val="auto"/>
              </w:rPr>
            </w:pPr>
            <w:r>
              <w:rPr>
                <w:rFonts w:ascii="Arial" w:cs="Arial" w:eastAsia="Arial" w:hAnsi="Arial"/>
                <w:sz w:val="18"/>
                <w:szCs w:val="18"/>
                <w:color w:val="auto"/>
              </w:rPr>
              <w:t>Balance Sheet Date Net Debt Calculation Principles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B-2</w:t>
            </w:r>
          </w:p>
        </w:tc>
        <w:tc>
          <w:tcPr>
            <w:tcW w:w="7100" w:type="dxa"/>
            <w:vAlign w:val="bottom"/>
          </w:tcPr>
          <w:p>
            <w:pPr>
              <w:ind w:left="180"/>
              <w:spacing w:after="0"/>
              <w:rPr>
                <w:sz w:val="20"/>
                <w:szCs w:val="20"/>
                <w:color w:val="auto"/>
              </w:rPr>
            </w:pPr>
            <w:r>
              <w:rPr>
                <w:rFonts w:ascii="Arial" w:cs="Arial" w:eastAsia="Arial" w:hAnsi="Arial"/>
                <w:sz w:val="18"/>
                <w:szCs w:val="18"/>
                <w:color w:val="auto"/>
              </w:rPr>
              <w:t>Net Working Capital Calculation Principles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C</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Exempted Businesses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D-1</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Group Company Award Grantees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D-2</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NetEase Group Award Grantees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E</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Non-Solicit Persons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F</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Intellectual Property to be De-registered</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G</w:t>
            </w:r>
          </w:p>
        </w:tc>
        <w:tc>
          <w:tcPr>
            <w:tcW w:w="7100" w:type="dxa"/>
            <w:vAlign w:val="bottom"/>
          </w:tcPr>
          <w:p>
            <w:pPr>
              <w:ind w:left="180"/>
              <w:spacing w:after="0"/>
              <w:rPr>
                <w:sz w:val="20"/>
                <w:szCs w:val="20"/>
                <w:color w:val="auto"/>
              </w:rPr>
            </w:pPr>
            <w:r>
              <w:rPr>
                <w:rFonts w:ascii="Arial" w:cs="Arial" w:eastAsia="Arial" w:hAnsi="Arial"/>
                <w:sz w:val="18"/>
                <w:szCs w:val="18"/>
                <w:color w:val="auto"/>
              </w:rPr>
              <w:t>List of Offshore Group Companies for which Directors will be Replaced at Closing</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H</w:t>
            </w:r>
          </w:p>
        </w:tc>
        <w:tc>
          <w:tcPr>
            <w:tcW w:w="7100" w:type="dxa"/>
            <w:vAlign w:val="bottom"/>
          </w:tcPr>
          <w:p>
            <w:pPr>
              <w:ind w:left="180"/>
              <w:spacing w:after="0"/>
              <w:rPr>
                <w:sz w:val="20"/>
                <w:szCs w:val="20"/>
                <w:color w:val="auto"/>
              </w:rPr>
            </w:pPr>
            <w:r>
              <w:rPr>
                <w:rFonts w:ascii="Arial" w:cs="Arial" w:eastAsia="Arial" w:hAnsi="Arial"/>
                <w:sz w:val="18"/>
                <w:szCs w:val="18"/>
                <w:color w:val="auto"/>
              </w:rPr>
              <w:t>Disclosure Schedule</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I</w:t>
            </w:r>
          </w:p>
        </w:tc>
        <w:tc>
          <w:tcPr>
            <w:tcW w:w="7100" w:type="dxa"/>
            <w:vAlign w:val="bottom"/>
          </w:tcPr>
          <w:p>
            <w:pPr>
              <w:ind w:left="180"/>
              <w:spacing w:after="0"/>
              <w:rPr>
                <w:sz w:val="20"/>
                <w:szCs w:val="20"/>
                <w:color w:val="auto"/>
              </w:rPr>
            </w:pPr>
            <w:r>
              <w:rPr>
                <w:rFonts w:ascii="Arial" w:cs="Arial" w:eastAsia="Arial" w:hAnsi="Arial"/>
                <w:sz w:val="18"/>
                <w:szCs w:val="18"/>
                <w:color w:val="auto"/>
              </w:rPr>
              <w:t>Licensed Back Intellectual Property</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J</w:t>
            </w:r>
          </w:p>
        </w:tc>
        <w:tc>
          <w:tcPr>
            <w:tcW w:w="7100" w:type="dxa"/>
            <w:vAlign w:val="bottom"/>
          </w:tcPr>
          <w:p>
            <w:pPr>
              <w:ind w:left="180"/>
              <w:spacing w:after="0"/>
              <w:rPr>
                <w:sz w:val="20"/>
                <w:szCs w:val="20"/>
                <w:color w:val="auto"/>
              </w:rPr>
            </w:pPr>
            <w:r>
              <w:rPr>
                <w:rFonts w:ascii="Arial" w:cs="Arial" w:eastAsia="Arial" w:hAnsi="Arial"/>
                <w:sz w:val="18"/>
                <w:szCs w:val="18"/>
                <w:color w:val="auto"/>
              </w:rPr>
              <w:t>Certain Offer Letter Information</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K</w:t>
            </w:r>
          </w:p>
        </w:tc>
        <w:tc>
          <w:tcPr>
            <w:tcW w:w="7100" w:type="dxa"/>
            <w:vAlign w:val="bottom"/>
          </w:tcPr>
          <w:p>
            <w:pPr>
              <w:ind w:left="180"/>
              <w:spacing w:after="0"/>
              <w:rPr>
                <w:sz w:val="20"/>
                <w:szCs w:val="20"/>
                <w:color w:val="auto"/>
              </w:rPr>
            </w:pPr>
            <w:r>
              <w:rPr>
                <w:rFonts w:ascii="Arial" w:cs="Arial" w:eastAsia="Arial" w:hAnsi="Arial"/>
                <w:sz w:val="18"/>
                <w:szCs w:val="18"/>
                <w:color w:val="auto"/>
              </w:rPr>
              <w:t>Warrantor Transferred IP</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Schedule L</w:t>
            </w:r>
          </w:p>
        </w:tc>
        <w:tc>
          <w:tcPr>
            <w:tcW w:w="7100" w:type="dxa"/>
            <w:vAlign w:val="bottom"/>
          </w:tcPr>
          <w:p>
            <w:pPr>
              <w:ind w:left="180"/>
              <w:spacing w:after="0"/>
              <w:rPr>
                <w:sz w:val="20"/>
                <w:szCs w:val="20"/>
                <w:color w:val="auto"/>
              </w:rPr>
            </w:pPr>
            <w:r>
              <w:rPr>
                <w:rFonts w:ascii="Arial" w:cs="Arial" w:eastAsia="Arial" w:hAnsi="Arial"/>
                <w:sz w:val="18"/>
                <w:szCs w:val="18"/>
                <w:color w:val="auto"/>
              </w:rPr>
              <w:t>Group Company Transferred IP</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A</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Resignation and Release Letters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B</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Instrument of Transfer</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C</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Transitional Services Agreement</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D</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Onshore Equity Transfer Agreement</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E</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Termination Agreements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F</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Replacement Control Agreements</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G</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NetEase Agreement</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H</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Non-compete Undertaking</w:t>
            </w:r>
          </w:p>
        </w:tc>
        <w:tc>
          <w:tcPr>
            <w:tcW w:w="1120" w:type="dxa"/>
            <w:vAlign w:val="bottom"/>
          </w:tcPr>
          <w:p>
            <w:pPr>
              <w:spacing w:after="0"/>
              <w:rPr>
                <w:sz w:val="18"/>
                <w:szCs w:val="18"/>
                <w:color w:val="auto"/>
              </w:rPr>
            </w:pP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Exhibit I</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Waiver Letter</w:t>
            </w:r>
          </w:p>
        </w:tc>
        <w:tc>
          <w:tcPr>
            <w:tcW w:w="112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Exhibit J</w:t>
            </w:r>
          </w:p>
        </w:tc>
        <w:tc>
          <w:tcPr>
            <w:tcW w:w="7100" w:type="dxa"/>
            <w:vAlign w:val="bottom"/>
          </w:tcPr>
          <w:p>
            <w:pPr>
              <w:ind w:left="180"/>
              <w:spacing w:after="0"/>
              <w:rPr>
                <w:sz w:val="20"/>
                <w:szCs w:val="20"/>
                <w:color w:val="auto"/>
              </w:rPr>
            </w:pPr>
            <w:r>
              <w:rPr>
                <w:rFonts w:ascii="Arial" w:cs="Arial" w:eastAsia="Arial" w:hAnsi="Arial"/>
                <w:sz w:val="18"/>
                <w:szCs w:val="18"/>
                <w:color w:val="auto"/>
              </w:rPr>
              <w:t>Form of Related Party Termination Agreement</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66" w:right="999" w:bottom="1440" w:gutter="0" w:footer="0" w:header="0"/>
        </w:sectPr>
      </w:pPr>
    </w:p>
    <w:bookmarkStart w:id="299" w:name="page300"/>
    <w:bookmarkEnd w:id="299"/>
    <w:p>
      <w:pPr>
        <w:jc w:val="center"/>
        <w:ind w:right="-179"/>
        <w:spacing w:after="0"/>
        <w:rPr>
          <w:sz w:val="20"/>
          <w:szCs w:val="20"/>
          <w:color w:val="auto"/>
        </w:rPr>
      </w:pPr>
      <w:r>
        <w:rPr>
          <w:rFonts w:ascii="Arial" w:cs="Arial" w:eastAsia="Arial" w:hAnsi="Arial"/>
          <w:sz w:val="18"/>
          <w:szCs w:val="18"/>
          <w:color w:val="auto"/>
        </w:rPr>
        <w:t>SHARE PURCHASE AGREEMENT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This SHARE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September 6, is entered into by and among (i) Taobao Holding Limited, a company incorporated under the Laws of the Cayman Islands (the “</w:t>
      </w:r>
      <w:r>
        <w:rPr>
          <w:rFonts w:ascii="Arial" w:cs="Arial" w:eastAsia="Arial" w:hAnsi="Arial"/>
          <w:sz w:val="18"/>
          <w:szCs w:val="18"/>
          <w:u w:val="single" w:color="auto"/>
          <w:color w:val="auto"/>
        </w:rPr>
        <w:t>Purchaser</w:t>
      </w:r>
      <w:r>
        <w:rPr>
          <w:rFonts w:ascii="Arial" w:cs="Arial" w:eastAsia="Arial" w:hAnsi="Arial"/>
          <w:sz w:val="18"/>
          <w:szCs w:val="18"/>
          <w:color w:val="auto"/>
        </w:rPr>
        <w:t>”), (ii) HQG, Inc., a company incorporated under the Laws of the Cayman Islands (the “</w:t>
      </w:r>
      <w:r>
        <w:rPr>
          <w:rFonts w:ascii="Arial" w:cs="Arial" w:eastAsia="Arial" w:hAnsi="Arial"/>
          <w:sz w:val="18"/>
          <w:szCs w:val="18"/>
          <w:u w:val="single" w:color="auto"/>
          <w:color w:val="auto"/>
        </w:rPr>
        <w:t>Company</w:t>
      </w:r>
      <w:r>
        <w:rPr>
          <w:rFonts w:ascii="Arial" w:cs="Arial" w:eastAsia="Arial" w:hAnsi="Arial"/>
          <w:sz w:val="18"/>
          <w:szCs w:val="18"/>
          <w:color w:val="auto"/>
        </w:rPr>
        <w:t>”), (iii) NetEase E-Commerce, Inc., a company incorporated under the Laws of the Cayman Islands (the “</w:t>
      </w:r>
      <w:r>
        <w:rPr>
          <w:rFonts w:ascii="Arial" w:cs="Arial" w:eastAsia="Arial" w:hAnsi="Arial"/>
          <w:sz w:val="18"/>
          <w:szCs w:val="18"/>
          <w:u w:val="single" w:color="auto"/>
          <w:color w:val="auto"/>
        </w:rPr>
        <w:t>Seller</w:t>
      </w:r>
      <w:r>
        <w:rPr>
          <w:rFonts w:ascii="Arial" w:cs="Arial" w:eastAsia="Arial" w:hAnsi="Arial"/>
          <w:sz w:val="18"/>
          <w:szCs w:val="18"/>
          <w:color w:val="auto"/>
        </w:rPr>
        <w:t>”), and (iv) NetEase, Inc., a company incorporated under the Laws of the Cayman Islands (the “</w:t>
      </w:r>
      <w:r>
        <w:rPr>
          <w:rFonts w:ascii="Arial" w:cs="Arial" w:eastAsia="Arial" w:hAnsi="Arial"/>
          <w:sz w:val="18"/>
          <w:szCs w:val="18"/>
          <w:u w:val="single" w:color="auto"/>
          <w:color w:val="auto"/>
        </w:rPr>
        <w:t>Seller Parent</w:t>
      </w:r>
      <w:r>
        <w:rPr>
          <w:rFonts w:ascii="Arial" w:cs="Arial" w:eastAsia="Arial" w:hAnsi="Arial"/>
          <w:sz w:val="18"/>
          <w:szCs w:val="18"/>
          <w:color w:val="auto"/>
        </w:rPr>
        <w:t>”).</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WHEREAS, the Seller owns 85,000,000 Shares, representing 100% of the issued Shares of the Company (the “</w:t>
      </w:r>
      <w:r>
        <w:rPr>
          <w:rFonts w:ascii="Arial" w:cs="Arial" w:eastAsia="Arial" w:hAnsi="Arial"/>
          <w:sz w:val="18"/>
          <w:szCs w:val="18"/>
          <w:u w:val="single" w:color="auto"/>
          <w:color w:val="auto"/>
        </w:rPr>
        <w:t>Purchased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Seller desires to sell to the Purchaser, and the Purchaser desires to purchase from the Seller, the Purchased Shares, on the terms and subject to the conditions set forth herein;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Seller Parent holds 100% of the equity interests in the Seller.</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NOW, THEREFORE, in consideration of the promises and the mutual covenants and agreements hereinafter contained, and intending to be legally bound, the Parties hereby agree as follows:</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right="560" w:firstLine="129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xml:space="preserve">. For the purposes of this Agreement, the following terms shall have the meanings specified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arbitration, inquiry, proceeding or investigation by or before any Government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 with respect to any Person that is an individual, his or her Immediate Family Members and</w:t>
      </w:r>
    </w:p>
    <w:p>
      <w:pPr>
        <w:spacing w:after="0" w:line="35" w:lineRule="exact"/>
        <w:rPr>
          <w:sz w:val="20"/>
          <w:szCs w:val="20"/>
          <w:color w:val="auto"/>
        </w:rPr>
      </w:pPr>
    </w:p>
    <w:p>
      <w:pPr>
        <w:ind w:right="80" w:firstLine="9"/>
        <w:spacing w:after="0" w:line="260" w:lineRule="auto"/>
        <w:tabs>
          <w:tab w:leader="none" w:pos="25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 respect to any Person that is not an individual, any other Person that directly or indirectly through one or more intermediaries, Controls, is Controlled by, or is under common Control with, such Person.</w:t>
      </w:r>
    </w:p>
    <w:p>
      <w:pPr>
        <w:spacing w:after="0" w:line="185" w:lineRule="exact"/>
        <w:rPr>
          <w:sz w:val="20"/>
          <w:szCs w:val="20"/>
          <w:color w:val="auto"/>
        </w:rPr>
      </w:pPr>
    </w:p>
    <w:p>
      <w:pPr>
        <w:ind w:right="4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Affiliated Persons</w:t>
      </w:r>
      <w:r>
        <w:rPr>
          <w:rFonts w:ascii="Arial" w:cs="Arial" w:eastAsia="Arial" w:hAnsi="Arial"/>
          <w:sz w:val="16"/>
          <w:szCs w:val="16"/>
          <w:color w:val="auto"/>
        </w:rPr>
        <w:t>” means the Company or its Affiliates, or any of their shareholders, directors, supervisors, executives, employees, agents, consultants, service providers, or any other party acting on behalf of the Persons identified above.</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Enterprise Value</w:t>
      </w:r>
      <w:r>
        <w:rPr>
          <w:rFonts w:ascii="Arial" w:cs="Arial" w:eastAsia="Arial" w:hAnsi="Arial"/>
          <w:sz w:val="18"/>
          <w:szCs w:val="18"/>
          <w:color w:val="auto"/>
        </w:rPr>
        <w:t>” means an amount equal to US$2.0 billion.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ascribed to it in the Preamble.</w:t>
      </w:r>
    </w:p>
    <w:p>
      <w:pPr>
        <w:spacing w:after="0" w:line="225"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Alibaba Group</w:t>
      </w:r>
      <w:r>
        <w:rPr>
          <w:rFonts w:ascii="Arial" w:cs="Arial" w:eastAsia="Arial" w:hAnsi="Arial"/>
          <w:sz w:val="18"/>
          <w:szCs w:val="18"/>
          <w:color w:val="auto"/>
        </w:rPr>
        <w:t>” means Alibaba Group Holding Limited, a company listed on the New York Stock Exchange under the ticker symbol “BABA.”</w:t>
      </w:r>
    </w:p>
    <w:p>
      <w:pPr>
        <w:spacing w:after="0" w:line="3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300" w:name="page301"/>
    <w:bookmarkEnd w:id="300"/>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Alibaba Shares</w:t>
      </w:r>
      <w:r>
        <w:rPr>
          <w:rFonts w:ascii="Arial" w:cs="Arial" w:eastAsia="Arial" w:hAnsi="Arial"/>
          <w:sz w:val="18"/>
          <w:szCs w:val="18"/>
          <w:color w:val="auto"/>
        </w:rPr>
        <w:t>” means ordinary shares of Alibaba Group, par value US$0.000025 per share.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Consolidated Financial Statements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3.15(d)</w:t>
      </w:r>
      <w:r>
        <w:rPr>
          <w:rFonts w:ascii="Arial" w:cs="Arial" w:eastAsia="Arial" w:hAnsi="Arial"/>
          <w:sz w:val="18"/>
          <w:szCs w:val="18"/>
          <w:color w:val="auto"/>
        </w:rPr>
        <w:t>.</w:t>
      </w:r>
    </w:p>
    <w:p>
      <w:pPr>
        <w:spacing w:after="0" w:line="225" w:lineRule="exact"/>
        <w:rPr>
          <w:sz w:val="20"/>
          <w:szCs w:val="20"/>
          <w:color w:val="auto"/>
        </w:rPr>
      </w:pPr>
    </w:p>
    <w:p>
      <w:pPr>
        <w:ind w:right="5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Accounting Standard</w:t>
      </w:r>
      <w:r>
        <w:rPr>
          <w:rFonts w:ascii="Arial" w:cs="Arial" w:eastAsia="Arial" w:hAnsi="Arial"/>
          <w:sz w:val="18"/>
          <w:szCs w:val="18"/>
          <w:color w:val="auto"/>
        </w:rPr>
        <w:t>” means GAAP, applied consistently with the accounting principles, standards, methodologies, assumptions and policies that were used in the preparation of the Financial Statements.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Grantees</w:t>
      </w:r>
      <w:r>
        <w:rPr>
          <w:rFonts w:ascii="Arial" w:cs="Arial" w:eastAsia="Arial" w:hAnsi="Arial"/>
          <w:sz w:val="16"/>
          <w:szCs w:val="16"/>
          <w:color w:val="auto"/>
        </w:rPr>
        <w:t>” means, collectively, the Group Company Award Grantees and the NetEase Group Award Grantees.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means August 31, 2019.</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5" w:lineRule="exact"/>
        <w:rPr>
          <w:sz w:val="20"/>
          <w:szCs w:val="20"/>
          <w:color w:val="auto"/>
        </w:rPr>
      </w:pPr>
    </w:p>
    <w:p>
      <w:pPr>
        <w:ind w:right="7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Big Four</w:t>
      </w:r>
      <w:r>
        <w:rPr>
          <w:rFonts w:ascii="Arial" w:cs="Arial" w:eastAsia="Arial" w:hAnsi="Arial"/>
          <w:sz w:val="18"/>
          <w:szCs w:val="18"/>
          <w:color w:val="auto"/>
        </w:rPr>
        <w:t>” means Deloitte Touche Tohmatsu, Ernst &amp; Young, KPMG and PricewaterhouseCoopers and their respective PRC Affiliates.</w:t>
      </w:r>
    </w:p>
    <w:p>
      <w:pPr>
        <w:spacing w:after="0" w:line="170"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means, in respect of a Group Company, the business of such Group Company as currently conducted and as proposed to be conducted and, in respect of the Group Companies, the businesses of the Group Companies as currently conducted.</w:t>
      </w:r>
    </w:p>
    <w:p>
      <w:pPr>
        <w:spacing w:after="0" w:line="124" w:lineRule="exact"/>
        <w:rPr>
          <w:sz w:val="20"/>
          <w:szCs w:val="20"/>
          <w:color w:val="auto"/>
        </w:rPr>
      </w:pPr>
    </w:p>
    <w:p>
      <w:pPr>
        <w:ind w:right="30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that is not a Saturday or Sunday or any other day on which banks in the PRC or Hong Kong are required or authorized to be closed.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Partners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3.15(e)</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Calculation Principles</w:t>
      </w:r>
      <w:r>
        <w:rPr>
          <w:rFonts w:ascii="Arial" w:cs="Arial" w:eastAsia="Arial" w:hAnsi="Arial"/>
          <w:sz w:val="17"/>
          <w:szCs w:val="17"/>
          <w:color w:val="auto"/>
        </w:rPr>
        <w:t xml:space="preserve">” means (a) with respect to the Net Debt, the calculation principles and procedures set forth in </w:t>
      </w:r>
      <w:r>
        <w:rPr>
          <w:rFonts w:ascii="Arial" w:cs="Arial" w:eastAsia="Arial" w:hAnsi="Arial"/>
          <w:sz w:val="17"/>
          <w:szCs w:val="17"/>
          <w:u w:val="single" w:color="auto"/>
          <w:color w:val="auto"/>
        </w:rPr>
        <w:t>Schedule B-1</w:t>
      </w:r>
      <w:r>
        <w:rPr>
          <w:rFonts w:ascii="Arial" w:cs="Arial" w:eastAsia="Arial" w:hAnsi="Arial"/>
          <w:sz w:val="17"/>
          <w:szCs w:val="17"/>
          <w:color w:val="auto"/>
        </w:rPr>
        <w:t xml:space="preserve"> hereto; and (b) with respect to the Net Working Capital, the calculation principles and procedures set forth in </w:t>
      </w:r>
      <w:r>
        <w:rPr>
          <w:rFonts w:ascii="Arial" w:cs="Arial" w:eastAsia="Arial" w:hAnsi="Arial"/>
          <w:sz w:val="17"/>
          <w:szCs w:val="17"/>
          <w:u w:val="single" w:color="auto"/>
          <w:color w:val="auto"/>
        </w:rPr>
        <w:t>Schedule B-2</w:t>
      </w:r>
      <w:r>
        <w:rPr>
          <w:rFonts w:ascii="Arial" w:cs="Arial" w:eastAsia="Arial" w:hAnsi="Arial"/>
          <w:sz w:val="17"/>
          <w:szCs w:val="17"/>
          <w:color w:val="auto"/>
        </w:rPr>
        <w:t xml:space="preserve"> hereto; in the cases of (a) and (b), the component items of which shall be determined on a basis consistent with the Applicable Accounting Standard. For the avoidance of doubt, no item taken into account in the calculation of Net Debt pursuant to </w:t>
      </w:r>
      <w:r>
        <w:rPr>
          <w:rFonts w:ascii="Arial" w:cs="Arial" w:eastAsia="Arial" w:hAnsi="Arial"/>
          <w:sz w:val="17"/>
          <w:szCs w:val="17"/>
          <w:u w:val="single" w:color="auto"/>
          <w:color w:val="auto"/>
        </w:rPr>
        <w:t>Schedule B-1</w:t>
      </w:r>
      <w:r>
        <w:rPr>
          <w:rFonts w:ascii="Arial" w:cs="Arial" w:eastAsia="Arial" w:hAnsi="Arial"/>
          <w:sz w:val="17"/>
          <w:szCs w:val="17"/>
          <w:color w:val="auto"/>
        </w:rPr>
        <w:t xml:space="preserve"> shall be included in the calculation of Net Working Capital pursuant to </w:t>
      </w:r>
      <w:r>
        <w:rPr>
          <w:rFonts w:ascii="Arial" w:cs="Arial" w:eastAsia="Arial" w:hAnsi="Arial"/>
          <w:sz w:val="17"/>
          <w:szCs w:val="17"/>
          <w:u w:val="single" w:color="auto"/>
          <w:color w:val="auto"/>
        </w:rPr>
        <w:t>Schedule B-2</w:t>
      </w:r>
      <w:r>
        <w:rPr>
          <w:rFonts w:ascii="Arial" w:cs="Arial" w:eastAsia="Arial" w:hAnsi="Arial"/>
          <w:sz w:val="17"/>
          <w:szCs w:val="17"/>
          <w:color w:val="auto"/>
        </w:rPr>
        <w:t>, and vice versa.</w:t>
      </w:r>
    </w:p>
    <w:p>
      <w:pPr>
        <w:spacing w:after="0" w:line="176" w:lineRule="exact"/>
        <w:rPr>
          <w:sz w:val="20"/>
          <w:szCs w:val="20"/>
          <w:color w:val="auto"/>
        </w:rPr>
      </w:pPr>
    </w:p>
    <w:p>
      <w:pPr>
        <w:ind w:right="38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Circular 7</w:t>
      </w:r>
      <w:r>
        <w:rPr>
          <w:rFonts w:ascii="Arial" w:cs="Arial" w:eastAsia="Arial" w:hAnsi="Arial"/>
          <w:sz w:val="16"/>
          <w:szCs w:val="16"/>
          <w:color w:val="auto"/>
        </w:rPr>
        <w:t>” means Circular No. 7 issued by the PRC State Administration of Taxation on February 3, 2015, titled “</w:t>
      </w:r>
      <w:r>
        <w:rPr>
          <w:rFonts w:ascii="Arial" w:cs="Arial" w:eastAsia="Arial" w:hAnsi="Arial"/>
          <w:sz w:val="16"/>
          <w:szCs w:val="16"/>
          <w:i w:val="1"/>
          <w:iCs w:val="1"/>
          <w:color w:val="auto"/>
        </w:rPr>
        <w:t>Circular on Certain Questions relating to the Enterprise Income Tax of Indirect Transfers of Assets by Non-Resident Enterprises (</w:t>
      </w:r>
    </w:p>
    <w:p>
      <w:pPr>
        <w:ind w:right="620" w:firstLine="2268"/>
        <w:spacing w:after="0" w:line="260"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color w:val="auto"/>
        </w:rPr>
        <w:t>”, and any amendment, implementing rules, or official interpretation thereof or any replacement,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or alternative legislation having the same subject matter thereof.</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Examination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1" w:name="page302"/>
    <w:bookmarkEnd w:id="30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Examination Final Purchase Price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ascribed to it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Warranties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3.12(a)</w:t>
      </w:r>
      <w:r>
        <w:rPr>
          <w:rFonts w:ascii="Arial" w:cs="Arial" w:eastAsia="Arial" w:hAnsi="Arial"/>
          <w:sz w:val="18"/>
          <w:szCs w:val="18"/>
          <w:color w:val="auto"/>
        </w:rPr>
        <w:t>.</w:t>
      </w:r>
    </w:p>
    <w:p>
      <w:pPr>
        <w:spacing w:after="0" w:line="225" w:lineRule="exact"/>
        <w:rPr>
          <w:sz w:val="20"/>
          <w:szCs w:val="20"/>
          <w:color w:val="auto"/>
        </w:rPr>
      </w:pPr>
    </w:p>
    <w:p>
      <w:pPr>
        <w:ind w:right="6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IP Agreements</w:t>
      </w:r>
      <w:r>
        <w:rPr>
          <w:rFonts w:ascii="Arial" w:cs="Arial" w:eastAsia="Arial" w:hAnsi="Arial"/>
          <w:sz w:val="17"/>
          <w:szCs w:val="17"/>
          <w:color w:val="auto"/>
        </w:rPr>
        <w:t>” means (a) licenses of Company Intellectual Property by any Group Company to any third party, (b) licenses of Intellectual Property by any third party to any Group Company, (c) agreements between any Group Company and any third party relating to the development or use of Intellectual Property, and (d) consents, settlements, decrees, orders, injunctions, judgments or rulings governing the use, validity or enforceability of Company Intellectual Property.</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Representatives</w:t>
      </w:r>
      <w:r>
        <w:rPr>
          <w:rFonts w:ascii="Arial" w:cs="Arial" w:eastAsia="Arial" w:hAnsi="Arial"/>
          <w:sz w:val="18"/>
          <w:szCs w:val="18"/>
          <w:color w:val="auto"/>
        </w:rPr>
        <w:t xml:space="preserve">” has the meaning ascribed to in </w:t>
      </w:r>
      <w:r>
        <w:rPr>
          <w:rFonts w:ascii="Arial" w:cs="Arial" w:eastAsia="Arial" w:hAnsi="Arial"/>
          <w:sz w:val="18"/>
          <w:szCs w:val="18"/>
          <w:u w:val="single" w:color="auto"/>
          <w:color w:val="auto"/>
        </w:rPr>
        <w:t>Section 3.15(d)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Share Awards</w:t>
      </w:r>
      <w:r>
        <w:rPr>
          <w:rFonts w:ascii="Arial" w:cs="Arial" w:eastAsia="Arial" w:hAnsi="Arial"/>
          <w:sz w:val="17"/>
          <w:szCs w:val="17"/>
          <w:color w:val="auto"/>
        </w:rPr>
        <w:t>” means the share-based awards granted under the Company Share Incentive Plan.</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 Incentive Plan</w:t>
      </w:r>
      <w:r>
        <w:rPr>
          <w:rFonts w:ascii="Arial" w:cs="Arial" w:eastAsia="Arial" w:hAnsi="Arial"/>
          <w:sz w:val="16"/>
          <w:szCs w:val="16"/>
          <w:color w:val="auto"/>
        </w:rPr>
        <w:t>” means the HQG, Inc. 2015 Share Incentive Plan, as amended from time to time.</w:t>
      </w:r>
    </w:p>
    <w:p>
      <w:pPr>
        <w:spacing w:after="0" w:line="248" w:lineRule="exact"/>
        <w:rPr>
          <w:sz w:val="20"/>
          <w:szCs w:val="20"/>
          <w:color w:val="auto"/>
        </w:rPr>
      </w:pPr>
    </w:p>
    <w:p>
      <w:pPr>
        <w:ind w:right="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contract, agreement, indenture, note, bond, mortgage, loan, instrument, lease, franchise, Permit or license (whether written or oral).</w:t>
      </w:r>
    </w:p>
    <w:p>
      <w:pPr>
        <w:spacing w:after="0" w:line="170"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with respect to any Person means the possession, directly or indirectly or as trustee, personal representative or executor, of the power to direct or cause the direction of the management, policies or affairs of such Person, whether through ownership of voting securities, as trustee, personal representative or executor, by contract or otherwise.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Documents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3.5(c)</w:t>
      </w:r>
      <w:r>
        <w:rPr>
          <w:rFonts w:ascii="Arial" w:cs="Arial" w:eastAsia="Arial" w:hAnsi="Arial"/>
          <w:sz w:val="18"/>
          <w:szCs w:val="18"/>
          <w:color w:val="auto"/>
        </w:rPr>
        <w:t>.</w:t>
      </w:r>
    </w:p>
    <w:p>
      <w:pPr>
        <w:spacing w:after="0" w:line="225" w:lineRule="exact"/>
        <w:rPr>
          <w:sz w:val="20"/>
          <w:szCs w:val="20"/>
          <w:color w:val="auto"/>
        </w:rPr>
      </w:pPr>
    </w:p>
    <w:p>
      <w:pPr>
        <w:ind w:right="60" w:firstLine="129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Cyber Security and Data Protection Related Laws</w:t>
      </w:r>
      <w:r>
        <w:rPr>
          <w:rFonts w:ascii="Arial" w:cs="Arial" w:eastAsia="Arial" w:hAnsi="Arial"/>
          <w:sz w:val="18"/>
          <w:szCs w:val="18"/>
          <w:color w:val="auto"/>
        </w:rPr>
        <w:t>” means laws and regulations relating to cyber security, Personal Information protection and Important Data protection that apply to the Business and dealings of any Group Company, including but not limited to PRC Laws, regulations and national standards relating to cyber security, Personal Information protection, the General Data Protection Regulation of European Union, and any other applicable law and regulation relating to cyber security and data protection in any other country.</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w:t>
      </w:r>
      <w:r>
        <w:rPr>
          <w:rFonts w:ascii="Arial" w:cs="Arial" w:eastAsia="Arial" w:hAnsi="Arial"/>
          <w:sz w:val="18"/>
          <w:szCs w:val="18"/>
          <w:color w:val="auto"/>
        </w:rPr>
        <w:t xml:space="preserve">” means the Disclosure Schedule attached hereto as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07"/>
        </w:trPr>
        <w:tc>
          <w:tcPr>
            <w:tcW w:w="9620" w:type="dxa"/>
            <w:vAlign w:val="bottom"/>
            <w:gridSpan w:val="4"/>
          </w:tcPr>
          <w:p>
            <w:pPr>
              <w:ind w:left="1300"/>
              <w:spacing w:after="0"/>
              <w:rPr>
                <w:sz w:val="20"/>
                <w:szCs w:val="20"/>
                <w:color w:val="auto"/>
              </w:rPr>
            </w:pPr>
            <w:r>
              <w:rPr>
                <w:rFonts w:ascii="Arial" w:cs="Arial" w:eastAsia="Arial" w:hAnsi="Arial"/>
                <w:sz w:val="18"/>
                <w:szCs w:val="18"/>
                <w:color w:val="auto"/>
                <w:w w:val="92"/>
              </w:rPr>
              <w:t>“Drug Administration Laws” means all applicable Laws relating to selling drugs and displaying drugs and medical</w:t>
            </w:r>
          </w:p>
        </w:tc>
        <w:tc>
          <w:tcPr>
            <w:tcW w:w="10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620" w:type="dxa"/>
            <w:vAlign w:val="bottom"/>
            <w:gridSpan w:val="4"/>
          </w:tcPr>
          <w:p>
            <w:pPr>
              <w:spacing w:after="0"/>
              <w:rPr>
                <w:sz w:val="20"/>
                <w:szCs w:val="20"/>
                <w:color w:val="auto"/>
              </w:rPr>
            </w:pPr>
            <w:r>
              <w:rPr>
                <w:rFonts w:ascii="Arial" w:cs="Arial" w:eastAsia="Arial" w:hAnsi="Arial"/>
                <w:sz w:val="18"/>
                <w:szCs w:val="18"/>
                <w:color w:val="auto"/>
              </w:rPr>
              <w:t xml:space="preserve">devices related information on the internet, including without limitation, the </w:t>
            </w:r>
            <w:r>
              <w:rPr>
                <w:rFonts w:ascii="Arial" w:cs="Arial" w:eastAsia="Arial" w:hAnsi="Arial"/>
                <w:sz w:val="18"/>
                <w:szCs w:val="18"/>
                <w:i w:val="1"/>
                <w:iCs w:val="1"/>
                <w:color w:val="auto"/>
              </w:rPr>
              <w:t>Drug Administration Law of the PRC</w:t>
            </w:r>
            <w:r>
              <w:rPr>
                <w:rFonts w:ascii="Arial" w:cs="Arial" w:eastAsia="Arial" w:hAnsi="Arial"/>
                <w:sz w:val="18"/>
                <w:szCs w:val="18"/>
                <w:color w:val="auto"/>
              </w:rPr>
              <w:t xml:space="preserve"> (</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Interim Administration on Approval of Internet Drug Transaction Services</w:t>
            </w:r>
            <w:r>
              <w:rPr>
                <w:rFonts w:ascii="Arial" w:cs="Arial" w:eastAsia="Arial" w:hAnsi="Arial"/>
                <w:sz w:val="18"/>
                <w:szCs w:val="18"/>
                <w:color w:val="auto"/>
              </w:rPr>
              <w:t xml:space="preserve"> (</w:t>
            </w:r>
          </w:p>
        </w:tc>
        <w:tc>
          <w:tcPr>
            <w:tcW w:w="2980" w:type="dxa"/>
            <w:vAlign w:val="bottom"/>
          </w:tcPr>
          <w:p>
            <w:pPr>
              <w:jc w:val="right"/>
              <w:ind w:right="19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2" w:lineRule="exact"/>
        <w:rPr>
          <w:sz w:val="20"/>
          <w:szCs w:val="20"/>
          <w:color w:val="auto"/>
        </w:rPr>
      </w:pPr>
    </w:p>
    <w:p>
      <w:pPr>
        <w:ind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E-commerce Laws</w:t>
      </w:r>
      <w:r>
        <w:rPr>
          <w:rFonts w:ascii="Arial" w:cs="Arial" w:eastAsia="Arial" w:hAnsi="Arial"/>
          <w:sz w:val="16"/>
          <w:szCs w:val="16"/>
          <w:color w:val="auto"/>
        </w:rPr>
        <w:t xml:space="preserve">” means all applicable Laws relating to e-commerce platforms that provide online data processing and transaction services and entities that sell products on such e-commerce platforms, including without limitation, the </w:t>
      </w:r>
      <w:r>
        <w:rPr>
          <w:rFonts w:ascii="Arial" w:cs="Arial" w:eastAsia="Arial" w:hAnsi="Arial"/>
          <w:sz w:val="16"/>
          <w:szCs w:val="16"/>
          <w:i w:val="1"/>
          <w:iCs w:val="1"/>
          <w:color w:val="auto"/>
        </w:rPr>
        <w:t>E-commerce Law</w:t>
      </w:r>
    </w:p>
    <w:p>
      <w:pPr>
        <w:ind w:right="460"/>
        <w:spacing w:after="0" w:line="255" w:lineRule="auto"/>
        <w:rPr>
          <w:sz w:val="20"/>
          <w:szCs w:val="20"/>
          <w:color w:val="auto"/>
        </w:rPr>
      </w:pPr>
      <w:r>
        <w:rPr>
          <w:rFonts w:ascii="Arial" w:cs="Arial" w:eastAsia="Arial" w:hAnsi="Arial"/>
          <w:sz w:val="18"/>
          <w:szCs w:val="18"/>
          <w:i w:val="1"/>
          <w:iCs w:val="1"/>
          <w:color w:val="auto"/>
        </w:rPr>
        <w:t xml:space="preserve">of the PRC </w:t>
      </w:r>
      <w:r>
        <w:rPr>
          <w:rFonts w:ascii="Arial" w:cs="Arial" w:eastAsia="Arial" w:hAnsi="Arial"/>
          <w:sz w:val="18"/>
          <w:szCs w:val="18"/>
          <w:color w:val="auto"/>
        </w:rPr>
        <w:t>( ),</w:t>
      </w:r>
      <w:r>
        <w:rPr>
          <w:rFonts w:ascii="Arial" w:cs="Arial" w:eastAsia="Arial" w:hAnsi="Arial"/>
          <w:sz w:val="18"/>
          <w:szCs w:val="18"/>
          <w:i w:val="1"/>
          <w:iCs w:val="1"/>
          <w:color w:val="auto"/>
        </w:rPr>
        <w:t xml:space="preserve"> Notice of the Ministry of Commerce, the National Development and Reform Commission, and the Ministry of Finance on Improving the Supervision over Cross-border E-commerce Retail Imports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 and </w:t>
      </w:r>
      <w:r>
        <w:rPr>
          <w:rFonts w:ascii="Arial" w:cs="Arial" w:eastAsia="Arial" w:hAnsi="Arial"/>
          <w:sz w:val="18"/>
          <w:szCs w:val="18"/>
          <w:i w:val="1"/>
          <w:iCs w:val="1"/>
          <w:color w:val="auto"/>
        </w:rPr>
        <w:t>Administrative Measures for Online Trading</w:t>
      </w:r>
      <w:r>
        <w:rPr>
          <w:rFonts w:ascii="Arial" w:cs="Arial" w:eastAsia="Arial" w:hAnsi="Arial"/>
          <w:sz w:val="18"/>
          <w:szCs w:val="18"/>
          <w:color w:val="auto"/>
        </w:rPr>
        <w:t xml:space="preserve"> ( ).</w:t>
      </w:r>
    </w:p>
    <w:p>
      <w:pPr>
        <w:spacing w:after="0" w:line="190" w:lineRule="exact"/>
        <w:rPr>
          <w:sz w:val="20"/>
          <w:szCs w:val="20"/>
          <w:color w:val="auto"/>
        </w:rPr>
      </w:pPr>
    </w:p>
    <w:p>
      <w:pPr>
        <w:ind w:right="300" w:firstLine="1337"/>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all applicable Laws relating to the protection, conservation and recovery of the environment, as well as the sustainable use of natural resources in order to enhance the lives of individuals, thus procuring for public health and safety.</w:t>
      </w:r>
    </w:p>
    <w:p>
      <w:pPr>
        <w:spacing w:after="0" w:line="184" w:lineRule="exact"/>
        <w:rPr>
          <w:sz w:val="20"/>
          <w:szCs w:val="20"/>
          <w:color w:val="auto"/>
        </w:rPr>
      </w:pPr>
    </w:p>
    <w:p>
      <w:pPr>
        <w:ind w:right="56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ESOP Fees</w:t>
      </w:r>
      <w:r>
        <w:rPr>
          <w:rFonts w:ascii="Arial" w:cs="Arial" w:eastAsia="Arial" w:hAnsi="Arial"/>
          <w:sz w:val="16"/>
          <w:szCs w:val="16"/>
          <w:color w:val="auto"/>
        </w:rPr>
        <w:t>” means RMB1,471,795,673, the total amount of payment to be made by the Purchaser’s PRC Affiliate(s) to the Seller’s PRC Affiliate(s) and the relevant Group Company Award Grantees, as applicable, in the PRC in RMB.</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Balance Sheet Date Net Debt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2.2(a)(i)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Balance Sheet Date Net Working Capital</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2.2(a)(iii)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2.2(a)(iv)</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Reference Date Net Working Capital</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2.2(a)(ii)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Exempted Business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6.18</w:t>
      </w:r>
      <w:r>
        <w:rPr>
          <w:rFonts w:ascii="Arial" w:cs="Arial" w:eastAsia="Arial" w:hAnsi="Arial"/>
          <w:sz w:val="18"/>
          <w:szCs w:val="18"/>
          <w:color w:val="auto"/>
        </w:rPr>
        <w:t>.</w:t>
      </w:r>
    </w:p>
    <w:p>
      <w:pPr>
        <w:spacing w:after="0" w:line="225"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Articles</w:t>
      </w:r>
      <w:r>
        <w:rPr>
          <w:rFonts w:ascii="Arial" w:cs="Arial" w:eastAsia="Arial" w:hAnsi="Arial"/>
          <w:sz w:val="18"/>
          <w:szCs w:val="18"/>
          <w:color w:val="auto"/>
        </w:rPr>
        <w:t>” means the Memorandum and Articles of Association of the Company adopted on September 30, 2014, as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6.13(f)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Agent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6.8(a)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Balance Sheet Date Net Debt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08" w:right="1059" w:bottom="1440" w:gutter="0" w:footer="0" w:header="0"/>
        </w:sectPr>
      </w:pPr>
    </w:p>
    <w:bookmarkStart w:id="303" w:name="page304"/>
    <w:bookmarkEnd w:id="30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Balance Sheet Date Net Working Capital</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 Determination Date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Reference Date Net Working Capital</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Installment Payment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Food Safety Laws</w:t>
      </w:r>
      <w:r>
        <w:rPr>
          <w:rFonts w:ascii="Arial" w:cs="Arial" w:eastAsia="Arial" w:hAnsi="Arial"/>
          <w:sz w:val="17"/>
          <w:szCs w:val="17"/>
          <w:color w:val="auto"/>
        </w:rPr>
        <w:t xml:space="preserve">” means Laws relating to selling food on the internet, including without limitation, </w:t>
      </w:r>
      <w:r>
        <w:rPr>
          <w:rFonts w:ascii="Arial" w:cs="Arial" w:eastAsia="Arial" w:hAnsi="Arial"/>
          <w:sz w:val="17"/>
          <w:szCs w:val="17"/>
          <w:i w:val="1"/>
          <w:iCs w:val="1"/>
          <w:color w:val="auto"/>
        </w:rPr>
        <w:t>Food Safety</w:t>
      </w:r>
    </w:p>
    <w:p>
      <w:pPr>
        <w:spacing w:after="0" w:line="3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i w:val="1"/>
          <w:iCs w:val="1"/>
          <w:color w:val="auto"/>
        </w:rPr>
        <w:t xml:space="preserve">Laws of the PRC </w:t>
      </w:r>
      <w:r>
        <w:rPr>
          <w:rFonts w:ascii="Arial" w:cs="Arial" w:eastAsia="Arial" w:hAnsi="Arial"/>
          <w:sz w:val="18"/>
          <w:szCs w:val="18"/>
          <w:color w:val="auto"/>
        </w:rPr>
        <w:t>( ),</w:t>
      </w:r>
      <w:r>
        <w:rPr>
          <w:rFonts w:ascii="Arial" w:cs="Arial" w:eastAsia="Arial" w:hAnsi="Arial"/>
          <w:sz w:val="18"/>
          <w:szCs w:val="18"/>
          <w:i w:val="1"/>
          <w:iCs w:val="1"/>
          <w:color w:val="auto"/>
        </w:rPr>
        <w:t xml:space="preserve"> Administrative Measures for Food Distribution Licensing </w:t>
      </w:r>
      <w:r>
        <w:rPr>
          <w:rFonts w:ascii="Arial" w:cs="Arial" w:eastAsia="Arial" w:hAnsi="Arial"/>
          <w:sz w:val="18"/>
          <w:szCs w:val="18"/>
          <w:color w:val="auto"/>
        </w:rPr>
        <w:t>( ) and</w:t>
      </w:r>
      <w:r>
        <w:rPr>
          <w:rFonts w:ascii="Arial" w:cs="Arial" w:eastAsia="Arial" w:hAnsi="Arial"/>
          <w:sz w:val="18"/>
          <w:szCs w:val="18"/>
          <w:i w:val="1"/>
          <w:iCs w:val="1"/>
          <w:color w:val="auto"/>
        </w:rPr>
        <w:t xml:space="preserve"> Measures for the Investigation and Handling of Illegalities of Online Food Safety </w:t>
      </w:r>
      <w:r>
        <w:rPr>
          <w:rFonts w:ascii="Arial" w:cs="Arial" w:eastAsia="Arial" w:hAnsi="Arial"/>
          <w:sz w:val="18"/>
          <w:szCs w:val="18"/>
          <w:color w:val="auto"/>
        </w:rPr>
        <w:t>( ).</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as in effect from time to time.</w:t>
      </w:r>
    </w:p>
    <w:p>
      <w:pPr>
        <w:spacing w:after="0" w:line="225" w:lineRule="exact"/>
        <w:rPr>
          <w:sz w:val="20"/>
          <w:szCs w:val="20"/>
          <w:color w:val="auto"/>
        </w:rPr>
      </w:pPr>
    </w:p>
    <w:p>
      <w:pPr>
        <w:ind w:right="40" w:firstLine="129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Authority</w:t>
      </w:r>
      <w:r>
        <w:rPr>
          <w:rFonts w:ascii="Arial" w:cs="Arial" w:eastAsia="Arial" w:hAnsi="Arial"/>
          <w:sz w:val="17"/>
          <w:szCs w:val="17"/>
          <w:color w:val="auto"/>
        </w:rPr>
        <w:t>” means supranational, national, federal, state, municipal or local court, administrative body or other governmental or quasi-governmental entity or authority with competent jurisdiction exercising legislative, judicial, regulatory or administrative functions of or pertaining to supranational, national, federal, state, municipal or local government, including any department, commission, board, agency, bureau, subdivision, instrumentality or other regulatory, administrative, judicial or arbitral authority, and any securities exchange on which the securities of any Party or its Affiliates are listed.</w:t>
      </w:r>
    </w:p>
    <w:p>
      <w:pPr>
        <w:spacing w:after="0" w:line="176" w:lineRule="exact"/>
        <w:rPr>
          <w:sz w:val="20"/>
          <w:szCs w:val="20"/>
          <w:color w:val="auto"/>
        </w:rPr>
      </w:pPr>
    </w:p>
    <w:p>
      <w:pPr>
        <w:ind w:firstLine="127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 Entity</w:t>
      </w:r>
      <w:r>
        <w:rPr>
          <w:rFonts w:ascii="Arial" w:cs="Arial" w:eastAsia="Arial" w:hAnsi="Arial"/>
          <w:sz w:val="17"/>
          <w:szCs w:val="17"/>
          <w:color w:val="auto"/>
        </w:rPr>
        <w:t>” means any (a) Government Authority, (b) public international organization, (c) any agency, division, bureau, department or other sector of any government, entity or organization described in the foregoing subsections (a) or (b) of this definition, (d) any state-owned or state-controlled enterprise or (e) any company, business, enterprise or other entity owned or controlled by any government, entity or organization described in subsections (a), (b), (c) or (d) of this definition.</w:t>
      </w:r>
    </w:p>
    <w:p>
      <w:pPr>
        <w:spacing w:after="0" w:line="171" w:lineRule="exact"/>
        <w:rPr>
          <w:sz w:val="20"/>
          <w:szCs w:val="20"/>
          <w:color w:val="auto"/>
        </w:rPr>
      </w:pPr>
    </w:p>
    <w:p>
      <w:pPr>
        <w:ind w:right="40" w:firstLine="127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 Official</w:t>
      </w:r>
      <w:r>
        <w:rPr>
          <w:rFonts w:ascii="Arial" w:cs="Arial" w:eastAsia="Arial" w:hAnsi="Arial"/>
          <w:sz w:val="18"/>
          <w:szCs w:val="18"/>
          <w:color w:val="auto"/>
        </w:rPr>
        <w:t>” means (a) any officer, employee or other individual acting in an official capacity for a Government Authority or agency or instrumentality thereof (including any state-owned or state-controlled enterprise) (e.g., legislative, administrative, judicial, military or public education departments) at any level (e.g., county and municipal level, provincial or central level), or any department or agency thereof; (b) political party officials and candidates for political office; (c) directors, officers and employees of state-owned, state-controlled or state-operated enterprises; (d) officers, employees and other persons working in an official capacity on behalf of any public international organization (regardless of seniority), e.g., the United Nations or the World Bank; or (e) close relatives of</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persons identified above (e.g., parents, children, spouse and parents-in-law), close friends and business partners.</w:t>
      </w:r>
    </w:p>
    <w:p>
      <w:pPr>
        <w:spacing w:after="0" w:line="225"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Grantees</w:t>
      </w:r>
      <w:r>
        <w:rPr>
          <w:rFonts w:ascii="Arial" w:cs="Arial" w:eastAsia="Arial" w:hAnsi="Arial"/>
          <w:sz w:val="17"/>
          <w:szCs w:val="17"/>
          <w:color w:val="auto"/>
        </w:rPr>
        <w:t xml:space="preserve">” means (a) with respect to the individuals listed in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those that have entered into both the NetEase Agreement and the Waiver Letter, (b) with respect to the individuals listed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who have been granted no less than 500 Company Share Awards, those that have entered into both the Undertaking Letter and the Waiver Letter, and (c) with respect to the individuals listed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who have been granted less than 500 Company Share Awards, those that have entered into (i) the Waiver Letter, and (ii) the Undertaking Letter or a written confirmation to waive any rights to payment in connection with or arising from the Company Share Awards.</w:t>
      </w:r>
    </w:p>
    <w:p>
      <w:pPr>
        <w:spacing w:after="0" w:line="178"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the Company and any Person (other than a natural person) (i) that is directly or indirectly Controlled by the Company, or (ii) whose results of operation and financial condition are consolidated with those of the Company for financial reporting purposes in accordance with the Applicable Accounting Standard. For the avoidance of doubt, Group Companies shall include Hangzhou Youmai, Zhejiang Anxiong and Ningbo Youmai.</w:t>
      </w:r>
    </w:p>
    <w:p>
      <w:pPr>
        <w:spacing w:after="0" w:line="187"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 Award Grantees</w:t>
      </w:r>
      <w:r>
        <w:rPr>
          <w:rFonts w:ascii="Arial" w:cs="Arial" w:eastAsia="Arial" w:hAnsi="Arial"/>
          <w:sz w:val="18"/>
          <w:szCs w:val="18"/>
          <w:color w:val="auto"/>
        </w:rPr>
        <w:t xml:space="preserve">” means the Persons set forth in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hereto that have been granted the Company Share Awards and/or NetEase RSUs in accordance with the Company Share Incentive Plan and the 2009 Restricted Share Unit Plan of NetEase, Inc., as applicable.</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6780" w:type="dxa"/>
            <w:vAlign w:val="bottom"/>
            <w:gridSpan w:val="9"/>
          </w:tcPr>
          <w:p>
            <w:pPr>
              <w:spacing w:after="0"/>
              <w:rPr>
                <w:sz w:val="20"/>
                <w:szCs w:val="20"/>
                <w:color w:val="auto"/>
              </w:rPr>
            </w:pPr>
            <w:r>
              <w:rPr>
                <w:rFonts w:ascii="Arial" w:cs="Arial" w:eastAsia="Arial" w:hAnsi="Arial"/>
                <w:sz w:val="18"/>
                <w:szCs w:val="18"/>
                <w:color w:val="auto"/>
                <w:w w:val="94"/>
              </w:rPr>
              <w:t>“Hangzhou Wuweixiong” means NetEase Wuweixiong (Hangzhou) Technology Co., Ltd. (</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6780" w:type="dxa"/>
            <w:vAlign w:val="bottom"/>
            <w:gridSpan w:val="9"/>
          </w:tcPr>
          <w:p>
            <w:pPr>
              <w:spacing w:after="0"/>
              <w:rPr>
                <w:sz w:val="20"/>
                <w:szCs w:val="20"/>
                <w:color w:val="auto"/>
              </w:rPr>
            </w:pPr>
            <w:r>
              <w:rPr>
                <w:rFonts w:ascii="Arial" w:cs="Arial" w:eastAsia="Arial" w:hAnsi="Arial"/>
                <w:sz w:val="18"/>
                <w:szCs w:val="18"/>
                <w:color w:val="auto"/>
              </w:rPr>
              <w:t>“Hangzhou Youmai” means Hangzhou Youmai Internet Technology Co., Ltd. (</w:t>
            </w:r>
          </w:p>
        </w:tc>
        <w:tc>
          <w:tcPr>
            <w:tcW w:w="1520" w:type="dxa"/>
            <w:vAlign w:val="bottom"/>
          </w:tcPr>
          <w:p>
            <w:pPr>
              <w:jc w:val="right"/>
              <w:ind w:right="1110"/>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6780" w:type="dxa"/>
            <w:vAlign w:val="bottom"/>
            <w:gridSpan w:val="9"/>
          </w:tcPr>
          <w:p>
            <w:pPr>
              <w:spacing w:after="0"/>
              <w:rPr>
                <w:sz w:val="20"/>
                <w:szCs w:val="20"/>
                <w:color w:val="auto"/>
              </w:rPr>
            </w:pPr>
            <w:r>
              <w:rPr>
                <w:rFonts w:ascii="Arial" w:cs="Arial" w:eastAsia="Arial" w:hAnsi="Arial"/>
                <w:sz w:val="18"/>
                <w:szCs w:val="18"/>
                <w:color w:val="auto"/>
              </w:rPr>
              <w:t>“Hangzhou Youmai Technology” means Hangzhou Youmai Technology Co., Ltd. (</w:t>
            </w:r>
          </w:p>
        </w:tc>
        <w:tc>
          <w:tcPr>
            <w:tcW w:w="1520" w:type="dxa"/>
            <w:vAlign w:val="bottom"/>
          </w:tcPr>
          <w:p>
            <w:pPr>
              <w:jc w:val="right"/>
              <w:ind w:right="1050"/>
              <w:spacing w:after="0"/>
              <w:rPr>
                <w:sz w:val="20"/>
                <w:szCs w:val="20"/>
                <w:color w:val="auto"/>
              </w:rPr>
            </w:pPr>
            <w:r>
              <w:rPr>
                <w:rFonts w:ascii="Arial" w:cs="Arial" w:eastAsia="Arial" w:hAnsi="Arial"/>
                <w:sz w:val="18"/>
                <w:szCs w:val="18"/>
                <w:color w:val="auto"/>
              </w:rPr>
              <w:t>).</w:t>
            </w: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6780" w:type="dxa"/>
            <w:vAlign w:val="bottom"/>
            <w:gridSpan w:val="9"/>
          </w:tcPr>
          <w:p>
            <w:pPr>
              <w:spacing w:after="0"/>
              <w:rPr>
                <w:sz w:val="20"/>
                <w:szCs w:val="20"/>
                <w:color w:val="auto"/>
              </w:rPr>
            </w:pPr>
            <w:r>
              <w:rPr>
                <w:rFonts w:ascii="Arial" w:cs="Arial" w:eastAsia="Arial" w:hAnsi="Arial"/>
                <w:sz w:val="18"/>
                <w:szCs w:val="18"/>
                <w:color w:val="auto"/>
              </w:rPr>
              <w:t>“HKIAC Rules” has the meaning ascribed to it in Section 10.3(a).</w:t>
            </w:r>
          </w:p>
        </w:tc>
        <w:tc>
          <w:tcPr>
            <w:tcW w:w="15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12"/>
        </w:trPr>
        <w:tc>
          <w:tcPr>
            <w:tcW w:w="6780" w:type="dxa"/>
            <w:vAlign w:val="bottom"/>
            <w:gridSpan w:val="9"/>
          </w:tcPr>
          <w:p>
            <w:pPr>
              <w:spacing w:after="0"/>
              <w:rPr>
                <w:sz w:val="20"/>
                <w:szCs w:val="20"/>
                <w:color w:val="auto"/>
              </w:rPr>
            </w:pPr>
            <w:r>
              <w:rPr>
                <w:rFonts w:ascii="Arial" w:cs="Arial" w:eastAsia="Arial" w:hAnsi="Arial"/>
                <w:sz w:val="18"/>
                <w:szCs w:val="18"/>
                <w:color w:val="auto"/>
              </w:rPr>
              <w:t>“Hong Kong” means the Hong Kong Special Administrative Region of the PRC.</w:t>
            </w:r>
          </w:p>
        </w:tc>
        <w:tc>
          <w:tcPr>
            <w:tcW w:w="152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Immediate Family Members</w:t>
      </w:r>
      <w:r>
        <w:rPr>
          <w:rFonts w:ascii="Arial" w:cs="Arial" w:eastAsia="Arial" w:hAnsi="Arial"/>
          <w:sz w:val="17"/>
          <w:szCs w:val="17"/>
          <w:color w:val="auto"/>
        </w:rPr>
        <w:t>”, with respect to any natural Person, means (a) such Person’s spouse, parents, parents-in-law, grandparents, children, grandchildren, siblings and siblings-in-law (in each case whether adoptive or biological), (b) spouses of such Person’s children, grandchildren and siblings (in each case whether adoptive or biological) and (c) estates, trusts, partnerships and other Persons which directly or indirectly through one or more intermediaries are Controlled by the foregoing.</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Important Data</w:t>
      </w:r>
      <w:r>
        <w:rPr>
          <w:rFonts w:ascii="Arial" w:cs="Arial" w:eastAsia="Arial" w:hAnsi="Arial"/>
          <w:sz w:val="16"/>
          <w:szCs w:val="16"/>
          <w:color w:val="auto"/>
        </w:rPr>
        <w:t>” means any data that is closely related to national security, economic development and public interest.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5" w:name="page306"/>
    <w:bookmarkEnd w:id="305"/>
    <w:p>
      <w:pPr>
        <w:ind w:firstLine="129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of any Person means, without duplication, (a) the principal of and, accreted value, accrued and unpaid interest, prepayment premiums or penalties and fees and expenses or similar breakage costs or other fees required to be paid under such indebtedness to be satisfied and discharged in full in respect of (i) indebtedness of such Person for borrowed money and (ii) indebtedness evidenced by notes, debentures, bonds or other similar instruments for the payment of which such Person is responsible or liable; (b) all obligations (contingent or otherwise) of such Person issued or assumed as the deferred purchase price of property or services, all conditional sale obligations of such Person and all obligations of such Person under any title retention in the ordinary course of business consistent with the past practice of such Person); (c) all capitalized lease obligations; (d) all obligations and Liabilities payable upon termination of interest rate protection agreements, foreign currency exchange agreements or other interest rate or exchange rate hedging or swap arrangements; (e) all obligations of the type referred to in subsections (a) through (d) of any Persons the payment of which such Person is responsible or liable, directly or indirectly, as obligor, guarantor, surety or otherwise; and (f) all obligations of the type referred to in subsections (a) through (e) of other Persons secured by any Lien on any property or asset of such Person (whether or not such obligation is assumed by such Person).</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9.2(c)(i)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9.2(c)(i)</w:t>
      </w:r>
      <w:r>
        <w:rPr>
          <w:rFonts w:ascii="Arial" w:cs="Arial" w:eastAsia="Arial" w:hAnsi="Arial"/>
          <w:sz w:val="18"/>
          <w:szCs w:val="18"/>
          <w:color w:val="auto"/>
        </w:rPr>
        <w:t>.</w:t>
      </w:r>
    </w:p>
    <w:p>
      <w:pPr>
        <w:spacing w:after="0" w:line="225"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Withheld Amount</w:t>
      </w:r>
      <w:r>
        <w:rPr>
          <w:rFonts w:ascii="Arial" w:cs="Arial" w:eastAsia="Arial" w:hAnsi="Arial"/>
          <w:sz w:val="18"/>
          <w:szCs w:val="18"/>
          <w:color w:val="auto"/>
        </w:rPr>
        <w:t>” means the higher of (a) twenty percent (20%) of the Estimated Purchase Price, and (b) US$200 million.</w:t>
      </w:r>
    </w:p>
    <w:p>
      <w:pPr>
        <w:spacing w:after="0" w:line="170" w:lineRule="exact"/>
        <w:rPr>
          <w:sz w:val="20"/>
          <w:szCs w:val="20"/>
          <w:color w:val="auto"/>
        </w:rPr>
      </w:pPr>
    </w:p>
    <w:p>
      <w:pPr>
        <w:ind w:firstLine="129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means any and all (a) patents, patent rights and applications therefor and reissues, reexaminations, continuations, continuations-in-part, divisions, and patent term extensions thereof, (b) inventions (whether patentable or not), discoveries, improvements, concepts, innovations and industrial models, (c) registered and unregistered copyrights, copyright registrations and applications, mask works and registrations and applications therefor, author’s rights and works of authorship (including artwork, Software, computer programs, source code, object code and executable code, firmware, development tools, files, records and data, and related documentation), (d) URLs, web sites, web pages and any part thereof, (e) technical information, know-how, trade secrets, drawings, designs, design protocols, specifications, proprietary data, customer lists, databases, proprietary processes, technology, formulae, and algorithms and other intellectual property, (f) trade names, trade dress, trademarks, domain names, service marks, logos, business names, and registrations and applications therefor, and (g) the goodwill symbolized or represented by the foregoing.</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Laws</w:t>
      </w:r>
      <w:r>
        <w:rPr>
          <w:rFonts w:ascii="Arial" w:cs="Arial" w:eastAsia="Arial" w:hAnsi="Arial"/>
          <w:sz w:val="16"/>
          <w:szCs w:val="16"/>
          <w:color w:val="auto"/>
        </w:rPr>
        <w:t>” means all applicable Laws relating to Intellectual Property in all applicable jurisdictions.</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Consolidated Financial Statements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the Warrantors</w:t>
      </w:r>
      <w:r>
        <w:rPr>
          <w:rFonts w:ascii="Arial" w:cs="Arial" w:eastAsia="Arial" w:hAnsi="Arial"/>
          <w:sz w:val="18"/>
          <w:szCs w:val="18"/>
          <w:color w:val="auto"/>
        </w:rPr>
        <w:t>” means the actual knowledge of William Lei Ding, Charles Zhaoxuan Yang, Lei Zhang and the other Senior Managers, and knowledge they ought to have if each of them had made due and careful enquiries of any director, other officer or employees of any Group Company who are directly reporting to such Persons.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06" w:name="page307"/>
    <w:bookmarkEnd w:id="306"/>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foreign, federal, state, municipal or local law, statute, code, ordinance, rule, decree, regulation or any common law of any Government Authority or jurisdiction.</w:t>
      </w:r>
    </w:p>
    <w:p>
      <w:pPr>
        <w:spacing w:after="0" w:line="170" w:lineRule="exact"/>
        <w:rPr>
          <w:sz w:val="20"/>
          <w:szCs w:val="20"/>
          <w:color w:val="auto"/>
        </w:rPr>
      </w:pPr>
    </w:p>
    <w:p>
      <w:pPr>
        <w:ind w:firstLine="129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Leakage</w:t>
      </w:r>
      <w:r>
        <w:rPr>
          <w:rFonts w:ascii="Arial" w:cs="Arial" w:eastAsia="Arial" w:hAnsi="Arial"/>
          <w:sz w:val="16"/>
          <w:szCs w:val="16"/>
          <w:color w:val="auto"/>
        </w:rPr>
        <w:t>” means (a) any dividend or distribution (whether in cash or in kind) or any payments in lieu of any dividend or distribution, declared, paid or made; (b) any redemption, repurchase, repayment or return of shares or other securities, or return of capital (whether by reduction of capital or otherwise and whether in cash or in kind); (c) any payments made, or agreed to be made to the benefit of the Seller or any of its Affiliates (including any management, monitoring or other shareholder’s or directors’ fees or bonuses or payments of a similar nature); (d) any amount owed to any Group Company by the Seller or any of its Affiliates which has been waived;</w:t>
      </w:r>
    </w:p>
    <w:p>
      <w:pPr>
        <w:spacing w:after="0" w:line="2" w:lineRule="exact"/>
        <w:rPr>
          <w:sz w:val="20"/>
          <w:szCs w:val="20"/>
          <w:color w:val="auto"/>
        </w:rPr>
      </w:pPr>
    </w:p>
    <w:p>
      <w:pPr>
        <w:ind w:firstLine="9"/>
        <w:spacing w:after="0" w:line="267" w:lineRule="auto"/>
        <w:tabs>
          <w:tab w:leader="none" w:pos="24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any asset which has been transferred by any Group Company to the Seller or any of its Affiliates; (f) any fees, costs or expenses of the Seller or any of its Affiliates (including the Group Companies), relating to the transactions contemplated hereby (including any fees, expenses and costs of legal counsel, investment bankers, brokers, accountants and other representatives and consultants), which have been paid or incurred, by or on behalf of any Group Company to or for the benefit of the Seller or any of its Affiliates; (g) any change-of-control, transaction bonus, retention payment, severance or similar amounts payable by any Group Company to any director, officer, employee, consultant or independent contractor in connection with the entry into or consummation of the transactions contemplated hereby; (h) any amendment of the terms of its borrowing or indebtedness in the nature of borrowing owed by any Group Company to the Seller or any of its Affiliates that would result in additional payment by the Group Companies; (i) any liabilities which have been assumed or incurred (or any guarantee or indemnity or similar arrangement given in respect thereof) for the benefit of the Seller or any of its Affiliates; (j) any agreement, understanding or arrangement entered into (whether with the Seller or any of its Affiliates) whereby the person directly benefitting from any of the matters referred to in subsections (a) through (i) above confers (directly or indirectly) a benefit to the Seller or any of its Affiliates, and (k) any agreement or commitment by any Group Company to do any of the things set out in subsections (a) through (j) above; but, in each case, not including any Permitted Leakage. For the purposes of this definition, an Affiliate of the Seller shall not include a Group Company.</w:t>
      </w:r>
    </w:p>
    <w:p>
      <w:pPr>
        <w:spacing w:after="0" w:line="181" w:lineRule="exact"/>
        <w:rPr>
          <w:sz w:val="20"/>
          <w:szCs w:val="20"/>
          <w:color w:val="auto"/>
        </w:rPr>
      </w:pPr>
    </w:p>
    <w:p>
      <w:pPr>
        <w:ind w:right="20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Leakage Amount</w:t>
      </w:r>
      <w:r>
        <w:rPr>
          <w:rFonts w:ascii="Arial" w:cs="Arial" w:eastAsia="Arial" w:hAnsi="Arial"/>
          <w:sz w:val="17"/>
          <w:szCs w:val="17"/>
          <w:color w:val="auto"/>
        </w:rPr>
        <w:t>” means the amount in respect of any Leakage which has accrued or been paid, incurred, assumed, indemnified, waived or committed by any Group Company between the Balance Sheet Date and the Closing Date.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Leakage Notice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6.13(c)</w:t>
      </w:r>
      <w:r>
        <w:rPr>
          <w:rFonts w:ascii="Arial" w:cs="Arial" w:eastAsia="Arial" w:hAnsi="Arial"/>
          <w:sz w:val="18"/>
          <w:szCs w:val="18"/>
          <w:color w:val="auto"/>
        </w:rPr>
        <w:t>.</w:t>
      </w:r>
    </w:p>
    <w:p>
      <w:pPr>
        <w:spacing w:after="0" w:line="225" w:lineRule="exact"/>
        <w:rPr>
          <w:sz w:val="20"/>
          <w:szCs w:val="20"/>
          <w:color w:val="auto"/>
        </w:rPr>
      </w:pPr>
    </w:p>
    <w:p>
      <w:pPr>
        <w:ind w:right="4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Legal Proceeding</w:t>
      </w:r>
      <w:r>
        <w:rPr>
          <w:rFonts w:ascii="Arial" w:cs="Arial" w:eastAsia="Arial" w:hAnsi="Arial"/>
          <w:sz w:val="17"/>
          <w:szCs w:val="17"/>
          <w:color w:val="auto"/>
        </w:rPr>
        <w:t>” means any judicial, administrative or arbitral actions, suits, proceedings or investigations (whether civil or criminal, judicial or administrative, at law or in equity, or public or private) by or before a Government Authority.</w:t>
      </w:r>
    </w:p>
    <w:p>
      <w:pPr>
        <w:spacing w:after="0" w:line="146" w:lineRule="exact"/>
        <w:rPr>
          <w:sz w:val="20"/>
          <w:szCs w:val="20"/>
          <w:color w:val="auto"/>
        </w:rPr>
      </w:pPr>
    </w:p>
    <w:p>
      <w:pPr>
        <w:jc w:val="both"/>
        <w:ind w:right="1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indebtedness, liability or obligation (whether direct or indirect, absolute or contingent, accrued or unaccrued, liquidated or unliquidated, or due or to become due), including those arising under any Law, Order, Legal Proceeding or Contract and including all costs and expenses relating thereto.</w:t>
      </w:r>
    </w:p>
    <w:p>
      <w:pPr>
        <w:spacing w:after="0" w:line="184"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means Intellectual Property licensed to any Group Company pursuant to the Company IP Agreements to which it is a party.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7" w:name="page308"/>
    <w:bookmarkEnd w:id="307"/>
    <w:p>
      <w:pPr>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lien (including, without limitation, tax lien), encumbrance, pledge, mortgage, deed of trust, security interest, claim, lease, charge, option, restrictive covenant, right of first refusal, right of first offer, easement, servitude or restriction of any kind, including, without limitation on the use, voting, transfer, receipt of income or other exercise of any attributes of ownership.</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6.21</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Stop Date</w:t>
      </w:r>
      <w:r>
        <w:rPr>
          <w:rFonts w:ascii="Arial" w:cs="Arial" w:eastAsia="Arial" w:hAnsi="Arial"/>
          <w:sz w:val="18"/>
          <w:szCs w:val="18"/>
          <w:color w:val="auto"/>
        </w:rPr>
        <w:t>” means the date that is one (1) month after the date hereof.</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9.2(a)</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xml:space="preserve">” means (x) with respect to the Warrantors or the Company, any change, circumstance, condition, event or effect that, individually or in the aggregate, is or would reasonably be expected to be materially adverse to (a) the Business, operations, assets, Liabilities, condition (financial or otherwise) or results of operations of the Group Companies, taken as a whole; or (b) the ability of the Company or any Warrantor to consummate the transactions contemplated by this Agreement and to perform its obligations hereunder and under any other Transaction Documents without any material delay;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with respect to subsection (a) only, none of the following, either alone or in combination, shall be taken into account in determining whether a Material Adverse Effect has occurred or would reasonably be likely to occur: (i) changes in the economy or financial markets generally in the PRC; (ii) changes that are the result of factors generally affecting the industry in which the Group Companies operate; (iii) changes in any Law of general applicability or in GAAP or other accounting standards or interpretations thereof used by the Group Companies after the date hereof; (iv) changes resulting from any weather event or natural disaster, or any outbreak of illness or other public health event, in the PRC, whether or not caused by any Person (other than the Warrantors, Group Companies or any of their respective Affiliates); (v) changes in regional, national or international political conditions (including any outbreak or escalation of hostilities or any acts of war, trade war or terrorism or any other national or international calamity, crisis or emergency); (vi) any failure by the Group Companies to meet any estimates of revenues or earnings for any period ending on or after the date hereof and prior to the Closing; provided, that the exception in this subsection (vi) shall not prevent or otherwise affect a determination that any change, effect, circumstance or development underlying such failure has resulted in, or contributed to, a Material Adverse Effect; (vii) any action or inaction by the Warrantors or Group Companies taken or omitted to be taken at the Purchaser’s express written request after the date hereof; or (viii) any action taken by the Warrantors or Group Companies which is expressly required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w:t>
      </w:r>
      <w:r>
        <w:rPr>
          <w:rFonts w:ascii="Arial" w:cs="Arial" w:eastAsia="Arial" w:hAnsi="Arial"/>
          <w:sz w:val="16"/>
          <w:szCs w:val="16"/>
          <w:u w:val="single" w:color="auto"/>
          <w:color w:val="auto"/>
        </w:rPr>
        <w:t>that</w:t>
      </w:r>
      <w:r>
        <w:rPr>
          <w:rFonts w:ascii="Arial" w:cs="Arial" w:eastAsia="Arial" w:hAnsi="Arial"/>
          <w:sz w:val="16"/>
          <w:szCs w:val="16"/>
          <w:color w:val="auto"/>
        </w:rPr>
        <w:t>, with respect to subsections (i) through (v), such change, event, circumstance or development (as the case may be) shall not be excluded from determining whether a Material Adverse Effect has occurred or would be reasonably be likely to occur to the extent any such change, event, circumstance or development (as the case may be) has a disproportionate effect on the Business compared to other businesses of similar size operating in the industry of in which the Group Companies operate; and (y) with respect to the Purchaser, any change, circumstance, condition, event or effect that, individually or in the aggregate, is or would reasonably be expected to be materially adverse to the ability of the Purchaser to consummate the transactions contemplated by this Agreement and to perform its obligations hereunder and under any other Transaction Documents without any material delay.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3.14(a)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08" w:name="page309"/>
    <w:bookmarkEnd w:id="308"/>
    <w:p>
      <w:pPr>
        <w:jc w:val="both"/>
        <w:ind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Debt</w:t>
      </w:r>
      <w:r>
        <w:rPr>
          <w:rFonts w:ascii="Arial" w:cs="Arial" w:eastAsia="Arial" w:hAnsi="Arial"/>
          <w:sz w:val="16"/>
          <w:szCs w:val="16"/>
          <w:color w:val="auto"/>
        </w:rPr>
        <w:t xml:space="preserve">” means an amount in US$ that equals: (a) the sum of the amounts attributable to each of the line items under the heading “indebtedness” in </w:t>
      </w:r>
      <w:r>
        <w:rPr>
          <w:rFonts w:ascii="Arial" w:cs="Arial" w:eastAsia="Arial" w:hAnsi="Arial"/>
          <w:sz w:val="16"/>
          <w:szCs w:val="16"/>
          <w:u w:val="single" w:color="auto"/>
          <w:color w:val="auto"/>
        </w:rPr>
        <w:t>Schedule B-1</w:t>
      </w:r>
      <w:r>
        <w:rPr>
          <w:rFonts w:ascii="Arial" w:cs="Arial" w:eastAsia="Arial" w:hAnsi="Arial"/>
          <w:sz w:val="16"/>
          <w:szCs w:val="16"/>
          <w:color w:val="auto"/>
        </w:rPr>
        <w:t xml:space="preserve"> as of such time, </w:t>
      </w:r>
      <w:r>
        <w:rPr>
          <w:rFonts w:ascii="Arial" w:cs="Arial" w:eastAsia="Arial" w:hAnsi="Arial"/>
          <w:sz w:val="16"/>
          <w:szCs w:val="16"/>
          <w:i w:val="1"/>
          <w:iCs w:val="1"/>
          <w:color w:val="auto"/>
        </w:rPr>
        <w:t>minus</w:t>
      </w:r>
      <w:r>
        <w:rPr>
          <w:rFonts w:ascii="Arial" w:cs="Arial" w:eastAsia="Arial" w:hAnsi="Arial"/>
          <w:sz w:val="16"/>
          <w:szCs w:val="16"/>
          <w:color w:val="auto"/>
        </w:rPr>
        <w:t xml:space="preserve"> (b) the sum of the amounts attributable to each of the line items under the heading “Cash and Cash Equivalents” in </w:t>
      </w:r>
      <w:r>
        <w:rPr>
          <w:rFonts w:ascii="Arial" w:cs="Arial" w:eastAsia="Arial" w:hAnsi="Arial"/>
          <w:sz w:val="16"/>
          <w:szCs w:val="16"/>
          <w:u w:val="single" w:color="auto"/>
          <w:color w:val="auto"/>
        </w:rPr>
        <w:t>Schedule B-1</w:t>
      </w:r>
      <w:r>
        <w:rPr>
          <w:rFonts w:ascii="Arial" w:cs="Arial" w:eastAsia="Arial" w:hAnsi="Arial"/>
          <w:sz w:val="16"/>
          <w:szCs w:val="16"/>
          <w:color w:val="auto"/>
        </w:rPr>
        <w:t xml:space="preserve"> as of such time, calculated in accordance with the Calculation Principles.</w:t>
      </w:r>
    </w:p>
    <w:p>
      <w:pPr>
        <w:spacing w:after="0" w:line="149" w:lineRule="exact"/>
        <w:rPr>
          <w:sz w:val="20"/>
          <w:szCs w:val="20"/>
          <w:color w:val="auto"/>
        </w:rPr>
      </w:pPr>
    </w:p>
    <w:p>
      <w:pPr>
        <w:ind w:right="34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means an amount in US$ that equals the sum of the amounts attributable to each of the line items set forth in </w:t>
      </w:r>
      <w:r>
        <w:rPr>
          <w:rFonts w:ascii="Arial" w:cs="Arial" w:eastAsia="Arial" w:hAnsi="Arial"/>
          <w:sz w:val="18"/>
          <w:szCs w:val="18"/>
          <w:u w:val="single" w:color="auto"/>
          <w:color w:val="auto"/>
        </w:rPr>
        <w:t>Schedule B-2</w:t>
      </w:r>
      <w:r>
        <w:rPr>
          <w:rFonts w:ascii="Arial" w:cs="Arial" w:eastAsia="Arial" w:hAnsi="Arial"/>
          <w:sz w:val="18"/>
          <w:szCs w:val="18"/>
          <w:color w:val="auto"/>
        </w:rPr>
        <w:t xml:space="preserve"> as of such time, calculated in accordance with the Calculation Principles.</w:t>
      </w:r>
    </w:p>
    <w:p>
      <w:pPr>
        <w:spacing w:after="0" w:line="170" w:lineRule="exact"/>
        <w:rPr>
          <w:sz w:val="20"/>
          <w:szCs w:val="20"/>
          <w:color w:val="auto"/>
        </w:rPr>
      </w:pPr>
    </w:p>
    <w:p>
      <w:pPr>
        <w:ind w:right="5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NetEase Agreement</w:t>
      </w:r>
      <w:r>
        <w:rPr>
          <w:rFonts w:ascii="Arial" w:cs="Arial" w:eastAsia="Arial" w:hAnsi="Arial"/>
          <w:sz w:val="18"/>
          <w:szCs w:val="18"/>
          <w:color w:val="auto"/>
        </w:rPr>
        <w:t xml:space="preserve">” means the agreement to be entered into by and between the Seller Parent and each of the individuals listed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in the form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w:t>
      </w:r>
    </w:p>
    <w:p>
      <w:pPr>
        <w:spacing w:after="0" w:line="170" w:lineRule="exact"/>
        <w:rPr>
          <w:sz w:val="20"/>
          <w:szCs w:val="20"/>
          <w:color w:val="auto"/>
        </w:rPr>
      </w:pPr>
    </w:p>
    <w:p>
      <w:pPr>
        <w:ind w:right="14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NetEase Group Award Grantees</w:t>
      </w:r>
      <w:r>
        <w:rPr>
          <w:rFonts w:ascii="Arial" w:cs="Arial" w:eastAsia="Arial" w:hAnsi="Arial"/>
          <w:sz w:val="18"/>
          <w:szCs w:val="18"/>
          <w:color w:val="auto"/>
        </w:rPr>
        <w:t xml:space="preserve">” means the Persons set forth in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hereto (with the names of the individuals listed in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redacted) that are employed by the Seller Parent or its Affiliates (excluding the Group Companies) and have been granted the Company Share Awards in accordance with the Company Share Incentive Plan.</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NetEase RSUs</w:t>
      </w:r>
      <w:r>
        <w:rPr>
          <w:rFonts w:ascii="Arial" w:cs="Arial" w:eastAsia="Arial" w:hAnsi="Arial"/>
          <w:sz w:val="16"/>
          <w:szCs w:val="16"/>
          <w:color w:val="auto"/>
        </w:rPr>
        <w:t>” means the restricted share units granted under the 2009 Restricted Share Unit Plan of NetEase,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5"/>
          </w:tcPr>
          <w:p>
            <w:pPr>
              <w:ind w:left="1300"/>
              <w:spacing w:after="0"/>
              <w:rPr>
                <w:sz w:val="20"/>
                <w:szCs w:val="20"/>
                <w:color w:val="auto"/>
              </w:rPr>
            </w:pPr>
            <w:r>
              <w:rPr>
                <w:rFonts w:ascii="Arial" w:cs="Arial" w:eastAsia="Arial" w:hAnsi="Arial"/>
                <w:sz w:val="18"/>
                <w:szCs w:val="18"/>
                <w:color w:val="auto"/>
              </w:rPr>
              <w:t>“NetEase Yanxuan” means NetEase Yanxuan Trading Co., Ltd. (</w:t>
            </w:r>
          </w:p>
        </w:tc>
        <w:tc>
          <w:tcPr>
            <w:tcW w:w="3220" w:type="dxa"/>
            <w:vAlign w:val="bottom"/>
          </w:tcPr>
          <w:p>
            <w:pPr>
              <w:ind w:left="480"/>
              <w:spacing w:after="0"/>
              <w:rPr>
                <w:sz w:val="20"/>
                <w:szCs w:val="20"/>
                <w:color w:val="auto"/>
              </w:rPr>
            </w:pPr>
            <w:r>
              <w:rPr>
                <w:rFonts w:ascii="Arial" w:cs="Arial" w:eastAsia="Arial" w:hAnsi="Arial"/>
                <w:sz w:val="18"/>
                <w:szCs w:val="18"/>
                <w:color w:val="auto"/>
                <w:w w:val="92"/>
              </w:rPr>
              <w:t>) or another Affiliate of the Seller that</w:t>
            </w:r>
          </w:p>
        </w:tc>
      </w:tr>
      <w:tr>
        <w:trPr>
          <w:trHeight w:val="20"/>
        </w:trPr>
        <w:tc>
          <w:tcPr>
            <w:tcW w:w="1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4120" w:type="dxa"/>
            <w:vAlign w:val="bottom"/>
            <w:gridSpan w:val="4"/>
          </w:tcPr>
          <w:p>
            <w:pPr>
              <w:spacing w:after="0"/>
              <w:rPr>
                <w:sz w:val="20"/>
                <w:szCs w:val="20"/>
                <w:color w:val="auto"/>
              </w:rPr>
            </w:pPr>
            <w:r>
              <w:rPr>
                <w:rFonts w:ascii="Arial" w:cs="Arial" w:eastAsia="Arial" w:hAnsi="Arial"/>
                <w:sz w:val="18"/>
                <w:szCs w:val="18"/>
                <w:color w:val="auto"/>
                <w:w w:val="93"/>
              </w:rPr>
              <w:t>operates the e-commerce platform NetEase Yanxuan (</w:t>
            </w:r>
          </w:p>
        </w:tc>
        <w:tc>
          <w:tcPr>
            <w:tcW w:w="2440" w:type="dxa"/>
            <w:vAlign w:val="bottom"/>
          </w:tcPr>
          <w:p>
            <w:pPr>
              <w:jc w:val="right"/>
              <w:ind w:right="2030"/>
              <w:spacing w:after="0"/>
              <w:rPr>
                <w:sz w:val="20"/>
                <w:szCs w:val="20"/>
                <w:color w:val="auto"/>
              </w:rPr>
            </w:pPr>
            <w:r>
              <w:rPr>
                <w:rFonts w:ascii="Arial" w:cs="Arial" w:eastAsia="Arial" w:hAnsi="Arial"/>
                <w:sz w:val="18"/>
                <w:szCs w:val="18"/>
                <w:color w:val="auto"/>
              </w:rPr>
              <w:t>).</w:t>
            </w:r>
          </w:p>
        </w:tc>
        <w:tc>
          <w:tcPr>
            <w:tcW w:w="3220" w:type="dxa"/>
            <w:vAlign w:val="bottom"/>
          </w:tcPr>
          <w:p>
            <w:pPr>
              <w:spacing w:after="0"/>
              <w:rPr>
                <w:sz w:val="20"/>
                <w:szCs w:val="20"/>
                <w:color w:val="auto"/>
              </w:rPr>
            </w:pPr>
          </w:p>
        </w:tc>
      </w:tr>
      <w:tr>
        <w:trPr>
          <w:trHeight w:val="391"/>
        </w:trPr>
        <w:tc>
          <w:tcPr>
            <w:tcW w:w="6560" w:type="dxa"/>
            <w:vAlign w:val="bottom"/>
            <w:gridSpan w:val="5"/>
          </w:tcPr>
          <w:p>
            <w:pPr>
              <w:ind w:left="1300"/>
              <w:spacing w:after="0"/>
              <w:rPr>
                <w:sz w:val="20"/>
                <w:szCs w:val="20"/>
                <w:color w:val="auto"/>
              </w:rPr>
            </w:pPr>
            <w:r>
              <w:rPr>
                <w:rFonts w:ascii="Arial" w:cs="Arial" w:eastAsia="Arial" w:hAnsi="Arial"/>
                <w:sz w:val="18"/>
                <w:szCs w:val="18"/>
                <w:color w:val="auto"/>
              </w:rPr>
              <w:t>“Ningbo Youmai” means Ningbo Youmai E-commerce Co., Ltd. (</w:t>
            </w:r>
          </w:p>
        </w:tc>
        <w:tc>
          <w:tcPr>
            <w:tcW w:w="3220" w:type="dxa"/>
            <w:vAlign w:val="bottom"/>
          </w:tcPr>
          <w:p>
            <w:pPr>
              <w:ind w:left="800"/>
              <w:spacing w:after="0"/>
              <w:rPr>
                <w:sz w:val="20"/>
                <w:szCs w:val="20"/>
                <w:color w:val="auto"/>
              </w:rPr>
            </w:pPr>
            <w:r>
              <w:rPr>
                <w:rFonts w:ascii="Arial" w:cs="Arial" w:eastAsia="Arial" w:hAnsi="Arial"/>
                <w:sz w:val="18"/>
                <w:szCs w:val="18"/>
                <w:color w:val="auto"/>
                <w:w w:val="99"/>
              </w:rPr>
              <w:t>), in which HQG, Limited owns</w:t>
            </w:r>
          </w:p>
        </w:tc>
      </w:tr>
      <w:tr>
        <w:trPr>
          <w:trHeight w:val="20"/>
        </w:trPr>
        <w:tc>
          <w:tcPr>
            <w:tcW w:w="1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4120" w:type="dxa"/>
            <w:vAlign w:val="bottom"/>
            <w:gridSpan w:val="4"/>
          </w:tcPr>
          <w:p>
            <w:pPr>
              <w:spacing w:after="0"/>
              <w:rPr>
                <w:sz w:val="20"/>
                <w:szCs w:val="20"/>
                <w:color w:val="auto"/>
              </w:rPr>
            </w:pPr>
            <w:r>
              <w:rPr>
                <w:rFonts w:ascii="Arial" w:cs="Arial" w:eastAsia="Arial" w:hAnsi="Arial"/>
                <w:sz w:val="18"/>
                <w:szCs w:val="18"/>
                <w:color w:val="auto"/>
              </w:rPr>
              <w:t>50% of the equity interest.</w:t>
            </w:r>
          </w:p>
        </w:tc>
        <w:tc>
          <w:tcPr>
            <w:tcW w:w="2440" w:type="dxa"/>
            <w:vAlign w:val="bottom"/>
          </w:tcPr>
          <w:p>
            <w:pPr>
              <w:spacing w:after="0"/>
              <w:rPr>
                <w:sz w:val="20"/>
                <w:szCs w:val="20"/>
                <w:color w:val="auto"/>
              </w:rPr>
            </w:pPr>
          </w:p>
        </w:tc>
        <w:tc>
          <w:tcPr>
            <w:tcW w:w="3220" w:type="dxa"/>
            <w:vAlign w:val="bottom"/>
          </w:tcPr>
          <w:p>
            <w:pPr>
              <w:spacing w:after="0"/>
              <w:rPr>
                <w:sz w:val="20"/>
                <w:szCs w:val="20"/>
                <w:color w:val="auto"/>
              </w:rPr>
            </w:pPr>
          </w:p>
        </w:tc>
      </w:tr>
    </w:tbl>
    <w:p>
      <w:pPr>
        <w:spacing w:after="0" w:line="202" w:lineRule="exact"/>
        <w:rPr>
          <w:sz w:val="20"/>
          <w:szCs w:val="20"/>
          <w:color w:val="auto"/>
        </w:rPr>
      </w:pPr>
    </w:p>
    <w:p>
      <w:pPr>
        <w:jc w:val="both"/>
        <w:ind w:right="24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Non-compete Undertaking</w:t>
      </w:r>
      <w:r>
        <w:rPr>
          <w:rFonts w:ascii="Arial" w:cs="Arial" w:eastAsia="Arial" w:hAnsi="Arial"/>
          <w:sz w:val="17"/>
          <w:szCs w:val="17"/>
          <w:color w:val="auto"/>
        </w:rPr>
        <w:t xml:space="preserve">” means the non-compete undertaking to be executed by each of the individuals listed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hereto for the benefit of the Purchaser and its Affiliates in the form set forth in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Group Company</w:t>
      </w:r>
      <w:r>
        <w:rPr>
          <w:rFonts w:ascii="Arial" w:cs="Arial" w:eastAsia="Arial" w:hAnsi="Arial"/>
          <w:sz w:val="18"/>
          <w:szCs w:val="18"/>
          <w:color w:val="auto"/>
        </w:rPr>
        <w:t>” means each Group Company that is incorporated outside the PRC.</w:t>
      </w:r>
    </w:p>
    <w:p>
      <w:pPr>
        <w:spacing w:after="0" w:line="225"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Offshore Shareholder Loans</w:t>
      </w:r>
      <w:r>
        <w:rPr>
          <w:rFonts w:ascii="Arial" w:cs="Arial" w:eastAsia="Arial" w:hAnsi="Arial"/>
          <w:sz w:val="18"/>
          <w:szCs w:val="18"/>
          <w:color w:val="auto"/>
        </w:rPr>
        <w:t xml:space="preserve">” means the shareholder loans extended by the Seller or its offshore Affiliates (excluding the Group Companies) to the Offshore Group Companies with a total principal amount of (a) RMB 4,918,914,422, </w:t>
      </w:r>
      <w:r>
        <w:rPr>
          <w:rFonts w:ascii="Arial" w:cs="Arial" w:eastAsia="Arial" w:hAnsi="Arial"/>
          <w:sz w:val="18"/>
          <w:szCs w:val="18"/>
          <w:i w:val="1"/>
          <w:iCs w:val="1"/>
          <w:color w:val="auto"/>
        </w:rPr>
        <w:t>plus</w:t>
      </w:r>
      <w:r>
        <w:rPr>
          <w:rFonts w:ascii="Arial" w:cs="Arial" w:eastAsia="Arial" w:hAnsi="Arial"/>
          <w:sz w:val="18"/>
          <w:szCs w:val="18"/>
          <w:color w:val="auto"/>
        </w:rPr>
        <w:t xml:space="preserve"> (b) EUR 2,721,846, </w:t>
      </w:r>
      <w:r>
        <w:rPr>
          <w:rFonts w:ascii="Arial" w:cs="Arial" w:eastAsia="Arial" w:hAnsi="Arial"/>
          <w:sz w:val="18"/>
          <w:szCs w:val="18"/>
          <w:i w:val="1"/>
          <w:iCs w:val="1"/>
          <w:color w:val="auto"/>
        </w:rPr>
        <w:t>plus</w:t>
      </w:r>
      <w:r>
        <w:rPr>
          <w:rFonts w:ascii="Arial" w:cs="Arial" w:eastAsia="Arial" w:hAnsi="Arial"/>
          <w:sz w:val="18"/>
          <w:szCs w:val="18"/>
          <w:color w:val="auto"/>
        </w:rPr>
        <w:t xml:space="preserve"> (c) HK$ 525,905,618. For the avoidance of doubt, the Offshore Shareholder Loans have not accrued, and shall not accrue, any interests thereon.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Onshore Equity Transfers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2.4(i)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Onshore Purchase Price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2.4(i)</w:t>
      </w:r>
      <w:r>
        <w:rPr>
          <w:rFonts w:ascii="Arial" w:cs="Arial" w:eastAsia="Arial" w:hAnsi="Arial"/>
          <w:sz w:val="18"/>
          <w:szCs w:val="18"/>
          <w:color w:val="auto"/>
        </w:rPr>
        <w:t>.</w:t>
      </w:r>
    </w:p>
    <w:p>
      <w:pPr>
        <w:spacing w:after="0" w:line="225"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Onshore Shareholder Loans</w:t>
      </w:r>
      <w:r>
        <w:rPr>
          <w:rFonts w:ascii="Arial" w:cs="Arial" w:eastAsia="Arial" w:hAnsi="Arial"/>
          <w:sz w:val="18"/>
          <w:szCs w:val="18"/>
          <w:color w:val="auto"/>
        </w:rPr>
        <w:t>” means the shareholder loans extended by the Seller’s Affiliates (excluding the Group Companies) established in the PRC to the PRC</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09" w:name="page310"/>
    <w:bookmarkEnd w:id="309"/>
    <w:p>
      <w:pPr>
        <w:spacing w:after="0"/>
        <w:rPr>
          <w:sz w:val="20"/>
          <w:szCs w:val="20"/>
          <w:color w:val="auto"/>
        </w:rPr>
      </w:pPr>
      <w:r>
        <w:rPr>
          <w:rFonts w:ascii="Arial" w:cs="Arial" w:eastAsia="Arial" w:hAnsi="Arial"/>
          <w:sz w:val="17"/>
          <w:szCs w:val="17"/>
          <w:color w:val="auto"/>
        </w:rPr>
        <w:t>Group Companies with a total principal amount of RMB1,591 million and accrued interests of RMB51,006,498 as of the Closing.</w:t>
      </w:r>
    </w:p>
    <w:p>
      <w:pPr>
        <w:spacing w:after="0" w:line="237"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written order, injunction, judgment, decree, legally binding notice, ruling, writ, assessment or arbitration award of a Government Authority.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Outgoing Directors</w:t>
      </w:r>
      <w:r>
        <w:rPr>
          <w:rFonts w:ascii="Arial" w:cs="Arial" w:eastAsia="Arial" w:hAnsi="Arial"/>
          <w:sz w:val="18"/>
          <w:szCs w:val="18"/>
          <w:color w:val="auto"/>
        </w:rPr>
        <w:t>” means the individuals indicated as an “</w:t>
      </w:r>
      <w:r>
        <w:rPr>
          <w:rFonts w:ascii="Arial" w:cs="Arial" w:eastAsia="Arial" w:hAnsi="Arial"/>
          <w:sz w:val="18"/>
          <w:szCs w:val="18"/>
          <w:u w:val="single" w:color="auto"/>
          <w:color w:val="auto"/>
        </w:rPr>
        <w:t>Outgoing Director</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means a party to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w:t>
      </w:r>
      <w:r>
        <w:rPr>
          <w:rFonts w:ascii="Arial" w:cs="Arial" w:eastAsia="Arial" w:hAnsi="Arial"/>
          <w:sz w:val="17"/>
          <w:szCs w:val="17"/>
          <w:color w:val="auto"/>
        </w:rPr>
        <w:t>” means any approval, authorization, consent, license, permit or certificate of or issued by a Government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Authority.</w:t>
      </w:r>
    </w:p>
    <w:p>
      <w:pPr>
        <w:spacing w:after="0" w:line="211" w:lineRule="exact"/>
        <w:rPr>
          <w:sz w:val="20"/>
          <w:szCs w:val="20"/>
          <w:color w:val="auto"/>
        </w:rPr>
      </w:pPr>
    </w:p>
    <w:p>
      <w:pPr>
        <w:ind w:firstLine="129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Leakage</w:t>
      </w:r>
      <w:r>
        <w:rPr>
          <w:rFonts w:ascii="Arial" w:cs="Arial" w:eastAsia="Arial" w:hAnsi="Arial"/>
          <w:sz w:val="17"/>
          <w:szCs w:val="17"/>
          <w:color w:val="auto"/>
        </w:rPr>
        <w:t xml:space="preserve">” means (a) any Leakage in relation to, or arising from, any payment made or agreed to be made or liability incurred in respect of any matter undertaken at the written request of the Purchaser; (b) payments in respect of compensation for employment services rendered or for holding an office as director of any Group Company, employment-related benefits and expense reimbursement, in each case to the extent made in the ordinary course of business consistent with past practice; (c) any Leakage in respect of the cancellation, termination or forfeiture of the Company Share Awards or NetEase RSUs as required by the Transaction Documents and having been included in the ESOP Fees; (d) any Leakage arising from any transaction that is at least as favorable to the Group Companies as would have been obtainable by it at the time in a comparable arm’s-length transaction with an unrelated party as set forth in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of the Disclosure Schedule, and (e) any other payment specifically agreed by the Purchaser in writing after the date hereof as Permitted Leakage.</w:t>
      </w:r>
    </w:p>
    <w:p>
      <w:pPr>
        <w:spacing w:after="0" w:line="181" w:lineRule="exact"/>
        <w:rPr>
          <w:sz w:val="20"/>
          <w:szCs w:val="20"/>
          <w:color w:val="auto"/>
        </w:rPr>
      </w:pPr>
    </w:p>
    <w:p>
      <w:pPr>
        <w:ind w:right="20" w:firstLine="129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means (i) Liens for Taxes, assessments or other governmental charges (A) not yet delinquent (or which may be paid without interest or penalties) or (B) the amount or validity of which is being contested in good faith by appropriate proceedings and for which adequate reserves have been established in accordance with GAAP or other accounting standards used by the Group Companies; (ii) mechanics’, materialmens’, warehousemans’, landlords’, carriers’, workers’, repairers’ and similar Liens granted, arising or incurred in the ordinary course of business or the amount or validity of which is being contested in good faith by appropriate proceedings in the ordinary course of business; (iii) pledges, deposits or other Liens to the performance of leases incurred or made in the ordinary course of business; (iv) zoning, building code, entitlement and other land use and environmental Laws by any Governmental Entity and that would not, individually or in the aggregate, reasonably be likely to materially impair the value, current occupancy or current use of a Party’s leased or owned real property; (v) non-exclusive licenses to and covenants not to sue under Intellectual Property granted in the ordinary course of business; (vi) any matters of public record; (vii) easements, permits, rights of way, restrictions, covenants, reservations or encroachments, minor defects or irregularities in and other similar matters affecting title to any real property that do not materially impair the value or current use and operation of the affected real property, and (viii) title of a lessor under a capital or operating lease.</w:t>
      </w:r>
    </w:p>
    <w:p>
      <w:pPr>
        <w:spacing w:after="0" w:line="186" w:lineRule="exact"/>
        <w:rPr>
          <w:sz w:val="20"/>
          <w:szCs w:val="20"/>
          <w:color w:val="auto"/>
        </w:rPr>
      </w:pPr>
    </w:p>
    <w:p>
      <w:pPr>
        <w:ind w:right="28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 Authority or other entity.</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10" w:name="page311"/>
    <w:bookmarkEnd w:id="310"/>
    <w:p>
      <w:pPr>
        <w:ind w:right="20"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 Information</w:t>
      </w:r>
      <w:r>
        <w:rPr>
          <w:rFonts w:ascii="Arial" w:cs="Arial" w:eastAsia="Arial" w:hAnsi="Arial"/>
          <w:sz w:val="17"/>
          <w:szCs w:val="17"/>
          <w:color w:val="auto"/>
        </w:rPr>
        <w:t>” means any information that is recorded electronically or in any other way that could identify a specific natural person or reflect any activity of such a person, either by its own or in combination with other information.</w:t>
      </w:r>
    </w:p>
    <w:p>
      <w:pPr>
        <w:spacing w:after="0" w:line="146"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w:t>
      </w:r>
      <w:r>
        <w:rPr>
          <w:rFonts w:ascii="Arial" w:cs="Arial" w:eastAsia="Arial" w:hAnsi="Arial"/>
          <w:sz w:val="18"/>
          <w:szCs w:val="18"/>
          <w:color w:val="auto"/>
        </w:rPr>
        <w:t>” or “</w:t>
      </w:r>
      <w:r>
        <w:rPr>
          <w:rFonts w:ascii="Arial" w:cs="Arial" w:eastAsia="Arial" w:hAnsi="Arial"/>
          <w:sz w:val="18"/>
          <w:szCs w:val="18"/>
          <w:u w:val="single" w:color="auto"/>
          <w:color w:val="auto"/>
        </w:rPr>
        <w:t>China</w:t>
      </w:r>
      <w:r>
        <w:rPr>
          <w:rFonts w:ascii="Arial" w:cs="Arial" w:eastAsia="Arial" w:hAnsi="Arial"/>
          <w:sz w:val="18"/>
          <w:szCs w:val="18"/>
          <w:color w:val="auto"/>
        </w:rPr>
        <w:t>” means the People’s Republic of China, excluding, for the purposes of this Agreement, Hong Kong, Macau Special Administrative Region of the PRC and the island of Taiwan.</w:t>
      </w:r>
    </w:p>
    <w:p>
      <w:pPr>
        <w:spacing w:after="0" w:line="170" w:lineRule="exact"/>
        <w:rPr>
          <w:sz w:val="20"/>
          <w:szCs w:val="20"/>
          <w:color w:val="auto"/>
        </w:rPr>
      </w:pPr>
    </w:p>
    <w:p>
      <w:pPr>
        <w:ind w:left="1300"/>
        <w:spacing w:after="0"/>
        <w:tabs>
          <w:tab w:leader="none" w:pos="942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PRC Anti-Unfair Competition Law</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Anti-Unfair Competition Law of the PRC</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promulgated by the Standing Committee of the National People’s Congress of the PRC and effective on September 2, 1993, as amended from time to time.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PRC Group Companies</w:t>
      </w:r>
      <w:r>
        <w:rPr>
          <w:rFonts w:ascii="Arial" w:cs="Arial" w:eastAsia="Arial" w:hAnsi="Arial"/>
          <w:sz w:val="16"/>
          <w:szCs w:val="16"/>
          <w:color w:val="auto"/>
        </w:rPr>
        <w:t>” means, collectively, each of the Group Companies incorporated under the Laws of the PRC.</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Payment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3.15(d)</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Purchased Shares</w:t>
      </w:r>
      <w:r>
        <w:rPr>
          <w:rFonts w:ascii="Arial" w:cs="Arial" w:eastAsia="Arial" w:hAnsi="Arial"/>
          <w:sz w:val="18"/>
          <w:szCs w:val="18"/>
          <w:color w:val="auto"/>
        </w:rPr>
        <w:t>” has the meaning ascribed to it in the Recitals.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ascribed to it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Indemnitee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9.2(a)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Nominees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2.4(i)</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3.11(b)</w:t>
      </w:r>
      <w:r>
        <w:rPr>
          <w:rFonts w:ascii="Arial" w:cs="Arial" w:eastAsia="Arial" w:hAnsi="Arial"/>
          <w:sz w:val="18"/>
          <w:szCs w:val="18"/>
          <w:color w:val="auto"/>
        </w:rPr>
        <w:t>.</w:t>
      </w:r>
    </w:p>
    <w:p>
      <w:pPr>
        <w:spacing w:after="0" w:line="225" w:lineRule="exact"/>
        <w:rPr>
          <w:sz w:val="20"/>
          <w:szCs w:val="20"/>
          <w:color w:val="auto"/>
        </w:rPr>
      </w:pPr>
    </w:p>
    <w:p>
      <w:pPr>
        <w:ind w:right="100"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(a) the members or shareholders or equity interest holders (in each case, whether direct or indirect, but excluding any Group Company) of any Group Company immediately prior to the Closing, other than the direct or indirect shareholders or equity interest holders of the Seller Parent, (b) the directors or executive officers of any Group Company immediately prior to the Closing, and (c) the Affiliates of the Persons enumerated under subsections (a) and (b).</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3.18(a)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Claims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Persons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Portion</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Releasing Persons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PRC Tax Authority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6.8(a)</w:t>
      </w:r>
      <w:r>
        <w:rPr>
          <w:rFonts w:ascii="Arial" w:cs="Arial" w:eastAsia="Arial" w:hAnsi="Arial"/>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Reporting Transactions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6.8(a).</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5" w:right="1099" w:bottom="1440" w:gutter="0" w:footer="0" w:header="0"/>
        </w:sectPr>
      </w:pPr>
    </w:p>
    <w:bookmarkStart w:id="311" w:name="page312"/>
    <w:bookmarkEnd w:id="311"/>
    <w:p>
      <w:pPr>
        <w:ind w:right="100" w:firstLine="127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License</w:t>
      </w:r>
      <w:r>
        <w:rPr>
          <w:rFonts w:ascii="Arial" w:cs="Arial" w:eastAsia="Arial" w:hAnsi="Arial"/>
          <w:sz w:val="17"/>
          <w:szCs w:val="17"/>
          <w:color w:val="auto"/>
        </w:rPr>
        <w:t>” means all franchises, permits, licenses, approvals, authorizations and any similar document issued or granted by any Government Authority that are required for the conduct of the Business of the Group Companies.</w:t>
      </w:r>
    </w:p>
    <w:p>
      <w:pPr>
        <w:spacing w:after="0" w:line="14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 Loss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Firm</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2.7(d)</w:t>
      </w:r>
      <w:r>
        <w:rPr>
          <w:rFonts w:ascii="Arial" w:cs="Arial" w:eastAsia="Arial" w:hAnsi="Arial"/>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RMB</w:t>
      </w:r>
      <w:r>
        <w:rPr>
          <w:rFonts w:ascii="Arial" w:cs="Arial" w:eastAsia="Arial" w:hAnsi="Arial"/>
          <w:sz w:val="18"/>
          <w:szCs w:val="18"/>
          <w:color w:val="auto"/>
        </w:rPr>
        <w:t>” means Renminbi, the lawful currency of the PRC.</w:t>
      </w:r>
    </w:p>
    <w:p>
      <w:pPr>
        <w:spacing w:after="0" w:line="225" w:lineRule="exact"/>
        <w:rPr>
          <w:sz w:val="20"/>
          <w:szCs w:val="20"/>
          <w:color w:val="auto"/>
        </w:rPr>
      </w:pPr>
    </w:p>
    <w:p>
      <w:pPr>
        <w:ind w:right="100" w:firstLine="127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RSU Compensation Fees</w:t>
      </w:r>
      <w:r>
        <w:rPr>
          <w:rFonts w:ascii="Arial" w:cs="Arial" w:eastAsia="Arial" w:hAnsi="Arial"/>
          <w:sz w:val="18"/>
          <w:szCs w:val="18"/>
          <w:color w:val="auto"/>
        </w:rPr>
        <w:t>” means US$ equivalent to RMB57,720,821, which the total amount of payment to be made by the Purchaser’s PRC Affiliate(s) to the relevant Group Company Award Grantees in the PRC in RMB.</w:t>
      </w:r>
    </w:p>
    <w:p>
      <w:pPr>
        <w:spacing w:after="0" w:line="170"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w:t>
      </w:r>
      <w:r>
        <w:rPr>
          <w:rFonts w:ascii="Arial" w:cs="Arial" w:eastAsia="Arial" w:hAnsi="Arial"/>
          <w:sz w:val="18"/>
          <w:szCs w:val="18"/>
          <w:color w:val="auto"/>
        </w:rPr>
        <w:t>” means the State Administration of Foreign Exchange.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SAFE Regulations</w:t>
      </w:r>
      <w:r>
        <w:rPr>
          <w:rFonts w:ascii="Arial" w:cs="Arial" w:eastAsia="Arial" w:hAnsi="Arial"/>
          <w:sz w:val="18"/>
          <w:szCs w:val="18"/>
          <w:color w:val="auto"/>
        </w:rPr>
        <w:t>” means all the applicable laws, regulations and rules promulgated by SAFE.</w:t>
      </w:r>
    </w:p>
    <w:p>
      <w:pPr>
        <w:spacing w:after="0" w:line="225" w:lineRule="exact"/>
        <w:rPr>
          <w:sz w:val="20"/>
          <w:szCs w:val="20"/>
          <w:color w:val="auto"/>
        </w:rPr>
      </w:pPr>
    </w:p>
    <w:p>
      <w:pPr>
        <w:ind w:right="280" w:firstLine="1296"/>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SAMR</w:t>
      </w:r>
      <w:r>
        <w:rPr>
          <w:rFonts w:ascii="Arial" w:cs="Arial" w:eastAsia="Arial" w:hAnsi="Arial"/>
          <w:sz w:val="16"/>
          <w:szCs w:val="16"/>
          <w:color w:val="auto"/>
        </w:rPr>
        <w:t>” means the State Administration for Market Regulation of the PRC or, with respect to the issuance of any business license or filing or registration to be effected by or with the State Administration for Market Regulation, any Government Authority which is similarly competent to issue such business license or accept such filing or registration under the Laws of the PRC.</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Installment Payment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Installment Payment Conditions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6.11(h)</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Installment Payment Date</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2.7(f)</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ascribed to it in the Preamble.</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Guarantee</w:t>
      </w:r>
      <w:r>
        <w:rPr>
          <w:rFonts w:ascii="Arial" w:cs="Arial" w:eastAsia="Arial" w:hAnsi="Arial"/>
          <w:sz w:val="18"/>
          <w:szCs w:val="18"/>
          <w:color w:val="auto"/>
        </w:rPr>
        <w:t>” means the customs guarantees provided by the Seller’s Affiliates (excluding the Group Companies) to and for the benefit of the operation of warehouses of the Group Companies as of the date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Parent</w:t>
      </w:r>
      <w:r>
        <w:rPr>
          <w:rFonts w:ascii="Arial" w:cs="Arial" w:eastAsia="Arial" w:hAnsi="Arial"/>
          <w:sz w:val="18"/>
          <w:szCs w:val="18"/>
          <w:color w:val="auto"/>
        </w:rPr>
        <w:t>” has the meaning ascribed to it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Taxes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6.8(d)</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Managers</w:t>
      </w:r>
      <w:r>
        <w:rPr>
          <w:rFonts w:ascii="Arial" w:cs="Arial" w:eastAsia="Arial" w:hAnsi="Arial"/>
          <w:sz w:val="17"/>
          <w:szCs w:val="17"/>
          <w:color w:val="auto"/>
        </w:rPr>
        <w:t>” means the chief executive officer (or equivalent), chief financial officer, chief operating officer, president, vice presidents and business unit leaders of the Group Companies and all other members of management who report directly to the board of directors of the Company or the chief executive officer (or equivalent) of the Group Companies.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ordinary shares, par value US$0.0005 per share, in the share capital of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12" w:name="page313"/>
    <w:bookmarkEnd w:id="312"/>
    <w:p>
      <w:pPr>
        <w:ind w:right="160" w:firstLine="129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Laws</w:t>
      </w:r>
      <w:r>
        <w:rPr>
          <w:rFonts w:ascii="Arial" w:cs="Arial" w:eastAsia="Arial" w:hAnsi="Arial"/>
          <w:sz w:val="16"/>
          <w:szCs w:val="16"/>
          <w:color w:val="auto"/>
        </w:rPr>
        <w:t xml:space="preserve">” means the Cyber Security and Data Protection Related Laws, Drug Administration Laws, E-commerce Laws, Food Safety Laws, Intellectual Property Laws, PRC Anti-Unfair Competition Law, </w:t>
      </w:r>
      <w:r>
        <w:rPr>
          <w:rFonts w:ascii="Arial" w:cs="Arial" w:eastAsia="Arial" w:hAnsi="Arial"/>
          <w:sz w:val="16"/>
          <w:szCs w:val="16"/>
          <w:i w:val="1"/>
          <w:iCs w:val="1"/>
          <w:color w:val="auto"/>
        </w:rPr>
        <w:t>Telecommunication Regulation of</w:t>
      </w:r>
    </w:p>
    <w:p>
      <w:pPr>
        <w:ind w:right="140"/>
        <w:spacing w:after="0" w:line="250" w:lineRule="auto"/>
        <w:rPr>
          <w:sz w:val="20"/>
          <w:szCs w:val="20"/>
          <w:color w:val="auto"/>
        </w:rPr>
      </w:pPr>
      <w:r>
        <w:rPr>
          <w:rFonts w:ascii="Arial" w:cs="Arial" w:eastAsia="Arial" w:hAnsi="Arial"/>
          <w:sz w:val="18"/>
          <w:szCs w:val="18"/>
          <w:i w:val="1"/>
          <w:iCs w:val="1"/>
          <w:color w:val="auto"/>
        </w:rPr>
        <w:t xml:space="preserve">the PRC </w:t>
      </w:r>
      <w:r>
        <w:rPr>
          <w:rFonts w:ascii="Arial" w:cs="Arial" w:eastAsia="Arial" w:hAnsi="Arial"/>
          <w:sz w:val="18"/>
          <w:szCs w:val="18"/>
          <w:color w:val="auto"/>
        </w:rPr>
        <w:t>( ),</w:t>
      </w:r>
      <w:r>
        <w:rPr>
          <w:rFonts w:ascii="Arial" w:cs="Arial" w:eastAsia="Arial" w:hAnsi="Arial"/>
          <w:sz w:val="18"/>
          <w:szCs w:val="18"/>
          <w:i w:val="1"/>
          <w:iCs w:val="1"/>
          <w:color w:val="auto"/>
        </w:rPr>
        <w:t xml:space="preserve"> Content of Categories of Telecommunication Business </w:t>
      </w:r>
      <w:r>
        <w:rPr>
          <w:rFonts w:ascii="Arial" w:cs="Arial" w:eastAsia="Arial" w:hAnsi="Arial"/>
          <w:sz w:val="18"/>
          <w:szCs w:val="18"/>
          <w:color w:val="auto"/>
        </w:rPr>
        <w:t>(</w:t>
      </w:r>
      <w:r>
        <w:rPr>
          <w:rFonts w:ascii="Arial" w:cs="Arial" w:eastAsia="Arial" w:hAnsi="Arial"/>
          <w:sz w:val="18"/>
          <w:szCs w:val="18"/>
          <w:i w:val="1"/>
          <w:iCs w:val="1"/>
          <w:color w:val="auto"/>
        </w:rPr>
        <w:t xml:space="preserve">2015) </w:t>
      </w:r>
      <w:r>
        <w:rPr>
          <w:rFonts w:ascii="Arial" w:cs="Arial" w:eastAsia="Arial" w:hAnsi="Arial"/>
          <w:sz w:val="18"/>
          <w:szCs w:val="18"/>
          <w:color w:val="auto"/>
        </w:rPr>
        <w:t>( (2015 )),</w:t>
      </w:r>
      <w:r>
        <w:rPr>
          <w:rFonts w:ascii="Arial" w:cs="Arial" w:eastAsia="Arial" w:hAnsi="Arial"/>
          <w:sz w:val="18"/>
          <w:szCs w:val="18"/>
          <w:i w:val="1"/>
          <w:iCs w:val="1"/>
          <w:color w:val="auto"/>
        </w:rPr>
        <w:t xml:space="preserve"> Notice of Ministry of Industry and Information Technology on Removing the Restrictions on Foreign Equity Ratios in Online Data Processing (Operating</w:t>
      </w:r>
    </w:p>
    <w:p>
      <w:pPr>
        <w:spacing w:after="0" w:line="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i w:val="1"/>
          <w:iCs w:val="1"/>
          <w:color w:val="auto"/>
        </w:rPr>
        <w:t xml:space="preserve">E-commerce) Business </w:t>
      </w:r>
      <w:r>
        <w:rPr>
          <w:rFonts w:ascii="Arial" w:cs="Arial" w:eastAsia="Arial" w:hAnsi="Arial"/>
          <w:sz w:val="18"/>
          <w:szCs w:val="18"/>
          <w:color w:val="auto"/>
        </w:rPr>
        <w:t>( ( ) ) and the</w:t>
      </w:r>
      <w:r>
        <w:rPr>
          <w:rFonts w:ascii="Arial" w:cs="Arial" w:eastAsia="Arial" w:hAnsi="Arial"/>
          <w:sz w:val="18"/>
          <w:szCs w:val="18"/>
          <w:i w:val="1"/>
          <w:iCs w:val="1"/>
          <w:color w:val="auto"/>
        </w:rPr>
        <w:t xml:space="preserve"> International Tax Co-operation (Economic Substance) Law (2018) of the Cayman Islands</w:t>
      </w:r>
      <w:r>
        <w:rPr>
          <w:rFonts w:ascii="Arial" w:cs="Arial" w:eastAsia="Arial" w:hAnsi="Arial"/>
          <w:sz w:val="18"/>
          <w:szCs w:val="18"/>
          <w:color w:val="auto"/>
        </w:rPr>
        <w: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includes but does not end on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Shares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given Person, any other Person that is Controlled directly or indirectly by such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given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Subsidy</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3.13(r)</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Taxes</w:t>
      </w:r>
      <w:r>
        <w:rPr>
          <w:rFonts w:ascii="Arial" w:cs="Arial" w:eastAsia="Arial" w:hAnsi="Arial"/>
          <w:sz w:val="16"/>
          <w:szCs w:val="16"/>
          <w:color w:val="auto"/>
        </w:rPr>
        <w:t>” means (a) in the PRC: (i) any national, provincial, municipal, or local taxes, charges, fees, levies, or other assessments, including, without limitation, all net income (including but not limited to enterprise income tax and individual income withholding tax), turnover (including but not limited to value-added tax, business tax, and consumption tax), resource (including but not limited to urban and township land use tax), special purpose (including but not limited to land value-added tax, urban maintenance and construction tax, and additional education fees), property (including but not limited to urban real estate tax and land use fees), documentation (including but not limited to stamp duty and deed tax), filing, recording, social insurance (including but not limited to pension, medical, unemployment, housing, and other social insurance withholding), tariffs (including but not limited to import duty and import value-added tax), and estimated and provisional taxes, charges, fees, levies, or other assessments in the nature of taxes, in each case, imposed by a Government Authority, (ii) all interest, penalties (but not limited to administrative, civil or criminal), or additional amounts imposed by any Government Authority in connection with any item described in subsection (i) above, and (iii) any form of transferor liability imposed by any Government Authority in connection with any item described in subsections (i) and (ii) above, and (b) in any jurisdiction other than the PRC: all similar liabilities as described in subsection (a) above.</w:t>
      </w:r>
    </w:p>
    <w:p>
      <w:pPr>
        <w:spacing w:after="0" w:line="168" w:lineRule="exact"/>
        <w:rPr>
          <w:sz w:val="20"/>
          <w:szCs w:val="20"/>
          <w:color w:val="auto"/>
        </w:rPr>
      </w:pPr>
    </w:p>
    <w:p>
      <w:pPr>
        <w:ind w:right="16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or statement required to be filed with a Government Authority with respect to any Tax (including any attachments thereto, and any amendment thereof), including any information return, claim for refund, amended return or declaration of estimated Tax, and including, where permitted or required, combined, consolidated or unitary returns for any group of entities that includes any Group Company.</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9.2(c)(ii)</w:t>
      </w:r>
      <w:r>
        <w:rPr>
          <w:rFonts w:ascii="Arial" w:cs="Arial" w:eastAsia="Arial" w:hAnsi="Arial"/>
          <w:sz w:val="18"/>
          <w:szCs w:val="18"/>
          <w:color w:val="auto"/>
        </w:rPr>
        <w:t>.</w:t>
      </w:r>
    </w:p>
    <w:p>
      <w:pPr>
        <w:spacing w:after="0" w:line="225" w:lineRule="exact"/>
        <w:rPr>
          <w:sz w:val="20"/>
          <w:szCs w:val="20"/>
          <w:color w:val="auto"/>
        </w:rPr>
      </w:pPr>
    </w:p>
    <w:p>
      <w:pPr>
        <w:ind w:right="16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Transitional Services Agreement, the NetEase Agreements, the Non-compete Undertakings, the Waiver Letters, the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13" w:name="page314"/>
    <w:bookmarkEnd w:id="313"/>
    <w:p>
      <w:pPr>
        <w:jc w:val="both"/>
        <w:ind w:right="140"/>
        <w:spacing w:after="0" w:line="342" w:lineRule="auto"/>
        <w:rPr>
          <w:sz w:val="20"/>
          <w:szCs w:val="20"/>
          <w:color w:val="auto"/>
        </w:rPr>
      </w:pPr>
      <w:r>
        <w:rPr>
          <w:rFonts w:ascii="Arial" w:cs="Arial" w:eastAsia="Arial" w:hAnsi="Arial"/>
          <w:sz w:val="16"/>
          <w:szCs w:val="16"/>
          <w:color w:val="auto"/>
        </w:rPr>
        <w:t xml:space="preserve">transaction documents contemplated by </w:t>
      </w:r>
      <w:r>
        <w:rPr>
          <w:rFonts w:ascii="Arial" w:cs="Arial" w:eastAsia="Arial" w:hAnsi="Arial"/>
          <w:sz w:val="16"/>
          <w:szCs w:val="16"/>
          <w:u w:val="single" w:color="auto"/>
          <w:color w:val="auto"/>
        </w:rPr>
        <w:t>Section 6.11</w:t>
      </w:r>
      <w:r>
        <w:rPr>
          <w:rFonts w:ascii="Arial" w:cs="Arial" w:eastAsia="Arial" w:hAnsi="Arial"/>
          <w:sz w:val="16"/>
          <w:szCs w:val="16"/>
          <w:color w:val="auto"/>
        </w:rPr>
        <w:t>, and other agreements, documents, or instruments or certificates that are executed and delivered by any party to any other party concurrently with or in connection with the transactions contemplated by this Agreement.</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with respect to any Subject Shares, directly or indirectly, by operation of Law, contract or otherwise,</w:t>
      </w:r>
    </w:p>
    <w:p>
      <w:pPr>
        <w:spacing w:after="0" w:line="23" w:lineRule="exact"/>
        <w:rPr>
          <w:sz w:val="20"/>
          <w:szCs w:val="20"/>
          <w:color w:val="auto"/>
        </w:rPr>
      </w:pPr>
    </w:p>
    <w:p>
      <w:pPr>
        <w:ind w:firstLine="9"/>
        <w:spacing w:after="0" w:line="251" w:lineRule="auto"/>
        <w:tabs>
          <w:tab w:leader="none" w:pos="2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sell, contract to sell, give, assign, hypothecate, pledge, encumber or create or permit to subsist any Liens over, grant a security interest in, offer, sell any option or contract to purchase, purchase any option or contract to sell, grant any option, right or warrant to purchase, lend or otherwise transfer or dispose of any economic, voting or other rights in or to such Subject Shares (or any interest therein), (b) to engage in any hedging, swap, forward contract or other transaction that is designed to or which reasonably could be expected to lead to or result in a sale or disposition of beneficial ownership of, or pecuniary interest in, such Subject Shares, including any short sale or any purchase, sale or grant of any right (including without limitation any put or call option) with respect to such Subject Shares, or (c) to enter into a short sale of, or trade in, derivative securities representing the right to vote or economic benefits of, such Subject Shares.</w:t>
      </w:r>
    </w:p>
    <w:p>
      <w:pPr>
        <w:spacing w:after="0" w:line="198" w:lineRule="exact"/>
        <w:rPr>
          <w:sz w:val="20"/>
          <w:szCs w:val="20"/>
          <w:color w:val="auto"/>
        </w:rPr>
      </w:pPr>
    </w:p>
    <w:p>
      <w:pPr>
        <w:jc w:val="both"/>
        <w:ind w:right="300"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Services Agreement</w:t>
      </w:r>
      <w:r>
        <w:rPr>
          <w:rFonts w:ascii="Arial" w:cs="Arial" w:eastAsia="Arial" w:hAnsi="Arial"/>
          <w:sz w:val="18"/>
          <w:szCs w:val="18"/>
          <w:color w:val="auto"/>
        </w:rPr>
        <w:t xml:space="preserve">” means the transitional services agreement to be entered into by and among the Seller and certain Seller’s Affiliates as designated by the Seller, on the one hand, and the Company,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Unresolved Claim</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United States dollars, the lawful currency of the United States.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Waiver Letters</w:t>
      </w:r>
      <w:r>
        <w:rPr>
          <w:rFonts w:ascii="Arial" w:cs="Arial" w:eastAsia="Arial" w:hAnsi="Arial"/>
          <w:sz w:val="18"/>
          <w:szCs w:val="18"/>
          <w:color w:val="auto"/>
        </w:rPr>
        <w:t xml:space="preserve">” means the waiver letters to be executed by each of the NetEase Group Award Grantees for the benefit of the Company in the form set forth in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Warrantors</w:t>
      </w:r>
      <w:r>
        <w:rPr>
          <w:rFonts w:ascii="Arial" w:cs="Arial" w:eastAsia="Arial" w:hAnsi="Arial"/>
          <w:sz w:val="18"/>
          <w:szCs w:val="18"/>
          <w:color w:val="auto"/>
        </w:rPr>
        <w:t>” means, collectively, the Seller and the Seller Parent.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Warrantor Fundamental Warranties</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7.2(a)</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8200" w:val="left"/>
        </w:tabs>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Zhejiang Anxiong</w:t>
      </w:r>
      <w:r>
        <w:rPr>
          <w:rFonts w:ascii="Arial" w:cs="Arial" w:eastAsia="Arial" w:hAnsi="Arial"/>
          <w:sz w:val="18"/>
          <w:szCs w:val="18"/>
          <w:color w:val="auto"/>
        </w:rPr>
        <w:t>” means Zhejiang Anxiong Internet Technology Co., Ltd. (</w:t>
      </w:r>
      <w:r>
        <w:rPr>
          <w:sz w:val="20"/>
          <w:szCs w:val="20"/>
          <w:color w:val="auto"/>
        </w:rPr>
        <w:tab/>
      </w:r>
      <w:r>
        <w:rPr>
          <w:rFonts w:ascii="Arial" w:cs="Arial" w:eastAsia="Arial" w:hAnsi="Arial"/>
          <w:sz w:val="16"/>
          <w:szCs w:val="16"/>
          <w:color w:val="auto"/>
        </w:rPr>
        <w:t>).</w:t>
      </w:r>
    </w:p>
    <w:p>
      <w:pPr>
        <w:spacing w:after="0" w:line="225"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Interpretation and Rules of Construction</w:t>
      </w:r>
      <w:r>
        <w:rPr>
          <w:rFonts w:ascii="Arial" w:cs="Arial" w:eastAsia="Arial" w:hAnsi="Arial"/>
          <w:sz w:val="16"/>
          <w:szCs w:val="16"/>
          <w:color w:val="auto"/>
        </w:rPr>
        <w:t>.</w:t>
      </w:r>
    </w:p>
    <w:p>
      <w:pPr>
        <w:spacing w:after="0" w:line="225" w:lineRule="exact"/>
        <w:rPr>
          <w:sz w:val="20"/>
          <w:szCs w:val="20"/>
          <w:color w:val="auto"/>
        </w:rPr>
      </w:pPr>
    </w:p>
    <w:p>
      <w:pPr>
        <w:ind w:left="2600" w:hanging="647"/>
        <w:spacing w:after="0"/>
        <w:tabs>
          <w:tab w:leader="none" w:pos="26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Unless otherwise expressly provided, for the purposes of this Agreement, the following rules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interpretation shall apply:</w:t>
      </w:r>
    </w:p>
    <w:p>
      <w:pPr>
        <w:spacing w:after="0" w:line="210" w:lineRule="exact"/>
        <w:rPr>
          <w:rFonts w:ascii="Arial" w:cs="Arial" w:eastAsia="Arial" w:hAnsi="Arial"/>
          <w:sz w:val="17"/>
          <w:szCs w:val="17"/>
          <w:color w:val="auto"/>
        </w:rPr>
      </w:pPr>
    </w:p>
    <w:p>
      <w:pPr>
        <w:ind w:left="1300" w:right="60" w:firstLine="1301"/>
        <w:spacing w:after="0" w:line="263" w:lineRule="auto"/>
        <w:tabs>
          <w:tab w:leader="none" w:pos="3306" w:val="left"/>
        </w:tabs>
        <w:numPr>
          <w:ilvl w:val="1"/>
          <w:numId w:val="190"/>
        </w:numPr>
        <w:rPr>
          <w:rFonts w:ascii="Arial" w:cs="Arial" w:eastAsia="Arial" w:hAnsi="Arial"/>
          <w:sz w:val="18"/>
          <w:szCs w:val="18"/>
          <w:color w:val="auto"/>
        </w:rPr>
      </w:pPr>
      <w:r>
        <w:rPr>
          <w:rFonts w:ascii="Arial" w:cs="Arial" w:eastAsia="Arial" w:hAnsi="Arial"/>
          <w:sz w:val="18"/>
          <w:szCs w:val="18"/>
          <w:color w:val="auto"/>
        </w:rPr>
        <w:t>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83" w:lineRule="exact"/>
        <w:rPr>
          <w:rFonts w:ascii="Arial" w:cs="Arial" w:eastAsia="Arial" w:hAnsi="Arial"/>
          <w:sz w:val="18"/>
          <w:szCs w:val="18"/>
          <w:color w:val="auto"/>
        </w:rPr>
      </w:pPr>
    </w:p>
    <w:p>
      <w:pPr>
        <w:ind w:left="1300" w:right="20" w:firstLine="1301"/>
        <w:spacing w:after="0" w:line="277" w:lineRule="auto"/>
        <w:tabs>
          <w:tab w:leader="none" w:pos="331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any reference in this Agreement to an Article, Section, Exhibit or Schedule, such reference is to an Article or Section of, or a</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14" w:name="page315"/>
    <w:bookmarkEnd w:id="314"/>
    <w:p>
      <w:pPr>
        <w:ind w:left="840" w:right="260"/>
        <w:spacing w:after="0" w:line="308" w:lineRule="auto"/>
        <w:rPr>
          <w:sz w:val="20"/>
          <w:szCs w:val="20"/>
          <w:color w:val="auto"/>
        </w:rPr>
      </w:pPr>
      <w:r>
        <w:rPr>
          <w:rFonts w:ascii="Arial" w:cs="Arial" w:eastAsia="Arial" w:hAnsi="Arial"/>
          <w:sz w:val="17"/>
          <w:szCs w:val="17"/>
          <w:color w:val="auto"/>
        </w:rPr>
        <w:t>Schedule or Exhibit to, this Agreement, unless otherwise indicated. All Exhibits and Schedules hereto or referred to herein are hereby incorporated in and made a part of this Agreement as if set forth in full herein;</w:t>
      </w:r>
    </w:p>
    <w:p>
      <w:pPr>
        <w:spacing w:after="0" w:line="146" w:lineRule="exact"/>
        <w:rPr>
          <w:sz w:val="20"/>
          <w:szCs w:val="20"/>
          <w:color w:val="auto"/>
        </w:rPr>
      </w:pPr>
    </w:p>
    <w:p>
      <w:pPr>
        <w:ind w:left="840" w:right="220" w:firstLine="1301"/>
        <w:spacing w:after="0" w:line="277" w:lineRule="auto"/>
        <w:tabs>
          <w:tab w:leader="none" w:pos="281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any reference in this Agreement to gender shall include all genders, and words imparting the singular number only shall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40" w:right="380" w:firstLine="1301"/>
        <w:spacing w:after="0" w:line="263" w:lineRule="auto"/>
        <w:tabs>
          <w:tab w:leader="none" w:pos="280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word “including” or any variation thereof means (unless the context of its usage otherwise requires) “including, without limitation” and shall not be construed to limit any general statement that it follows to the specific or similar items or matters immediately following it;</w:t>
      </w:r>
    </w:p>
    <w:p>
      <w:pPr>
        <w:spacing w:after="0" w:line="183" w:lineRule="exact"/>
        <w:rPr>
          <w:rFonts w:ascii="Arial" w:cs="Arial" w:eastAsia="Arial" w:hAnsi="Arial"/>
          <w:sz w:val="18"/>
          <w:szCs w:val="18"/>
          <w:color w:val="auto"/>
        </w:rPr>
      </w:pPr>
    </w:p>
    <w:p>
      <w:pPr>
        <w:ind w:left="840" w:right="100" w:firstLine="1301"/>
        <w:spacing w:after="0" w:line="308" w:lineRule="auto"/>
        <w:tabs>
          <w:tab w:leader="none" w:pos="2796" w:val="left"/>
        </w:tabs>
        <w:numPr>
          <w:ilvl w:val="1"/>
          <w:numId w:val="191"/>
        </w:numPr>
        <w:rPr>
          <w:rFonts w:ascii="Arial" w:cs="Arial" w:eastAsia="Arial" w:hAnsi="Arial"/>
          <w:sz w:val="17"/>
          <w:szCs w:val="17"/>
          <w:color w:val="auto"/>
        </w:rPr>
      </w:pPr>
      <w:r>
        <w:rPr>
          <w:rFonts w:ascii="Arial" w:cs="Arial" w:eastAsia="Arial" w:hAnsi="Arial"/>
          <w:sz w:val="17"/>
          <w:szCs w:val="17"/>
          <w:color w:val="auto"/>
        </w:rPr>
        <w:t>words such as “herein,” “hereinafter,” “hereof” and “hereunder” refer to this Agreement as a whole and not merely to a subdivision in which such words appear unless the context otherwise requires;</w:t>
      </w:r>
    </w:p>
    <w:p>
      <w:pPr>
        <w:spacing w:after="0" w:line="146" w:lineRule="exact"/>
        <w:rPr>
          <w:rFonts w:ascii="Arial" w:cs="Arial" w:eastAsia="Arial" w:hAnsi="Arial"/>
          <w:sz w:val="17"/>
          <w:szCs w:val="17"/>
          <w:color w:val="auto"/>
        </w:rPr>
      </w:pPr>
    </w:p>
    <w:p>
      <w:pPr>
        <w:ind w:left="840" w:right="60" w:firstLine="1301"/>
        <w:spacing w:after="0" w:line="263" w:lineRule="auto"/>
        <w:tabs>
          <w:tab w:leader="none" w:pos="281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when calculating the period of time before which, within which or following which any act is to be done or step taken pursuant to this Agreement, the date that is the reference date in calculating such period shall be excluded; and</w:t>
      </w:r>
    </w:p>
    <w:p>
      <w:pPr>
        <w:spacing w:after="0" w:line="183" w:lineRule="exact"/>
        <w:rPr>
          <w:rFonts w:ascii="Arial" w:cs="Arial" w:eastAsia="Arial" w:hAnsi="Arial"/>
          <w:sz w:val="18"/>
          <w:szCs w:val="18"/>
          <w:color w:val="auto"/>
        </w:rPr>
      </w:pPr>
    </w:p>
    <w:p>
      <w:pPr>
        <w:ind w:left="840" w:firstLine="1301"/>
        <w:spacing w:after="0" w:line="291" w:lineRule="auto"/>
        <w:tabs>
          <w:tab w:leader="none" w:pos="2851"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if the conversion between US$ and RMB is necessary for the purposes of this Agreement, unless specifically provided otherwise, such conversion shall be conducted at the US$:RMB middle exchange rate last published by the People’s Bank of China as of the date that is one (1) Business Day prior to the date hereof; if the conversion between US$ and other currencies (other than RMB) is necessary for the purposes of this Agreement, the applicable exchange rate should be the spot rate at which such currency may be exchanged into US$, as set forth on the China Foreign Exchange Trade System (http://www.chinamoney.com.cn/chinese/ mkdatapfx/) at 12:00 noon (Beijing time) as of the date that is one (1) Business Day prior to the date hereof.</w:t>
      </w:r>
    </w:p>
    <w:p>
      <w:pPr>
        <w:spacing w:after="0" w:line="166" w:lineRule="exact"/>
        <w:rPr>
          <w:rFonts w:ascii="Arial" w:cs="Arial" w:eastAsia="Arial" w:hAnsi="Arial"/>
          <w:sz w:val="16"/>
          <w:szCs w:val="16"/>
          <w:color w:val="auto"/>
        </w:rPr>
      </w:pPr>
    </w:p>
    <w:p>
      <w:pPr>
        <w:ind w:left="200" w:right="240" w:firstLine="1293"/>
        <w:spacing w:after="0" w:line="259" w:lineRule="auto"/>
        <w:tabs>
          <w:tab w:leader="none" w:pos="2152"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15" w:name="page316"/>
    <w:bookmarkEnd w:id="315"/>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Sale and Purchase of Shares</w:t>
      </w:r>
    </w:p>
    <w:p>
      <w:pPr>
        <w:spacing w:after="0" w:line="22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Purchase of Shares</w:t>
      </w:r>
      <w:r>
        <w:rPr>
          <w:rFonts w:ascii="Arial" w:cs="Arial" w:eastAsia="Arial" w:hAnsi="Arial"/>
          <w:sz w:val="18"/>
          <w:szCs w:val="18"/>
          <w:color w:val="auto"/>
        </w:rPr>
        <w:t>. Upon the terms and subject to the conditions contained herein, at the Closing, the Seller shall sell to the Purchaser, and the Purchaser shall purchase from the Seller, the Purchased Shares free and clear of all Liens.</w:t>
      </w:r>
    </w:p>
    <w:p>
      <w:pPr>
        <w:spacing w:after="0" w:line="184"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5"/>
          <w:szCs w:val="15"/>
          <w:u w:val="single" w:color="auto"/>
          <w:color w:val="auto"/>
        </w:rPr>
        <w:t>Purchase Price</w:t>
      </w:r>
      <w:r>
        <w:rPr>
          <w:rFonts w:ascii="Arial" w:cs="Arial" w:eastAsia="Arial" w:hAnsi="Arial"/>
          <w:sz w:val="15"/>
          <w:szCs w:val="15"/>
          <w:color w:val="auto"/>
        </w:rPr>
        <w:t>.</w:t>
      </w:r>
    </w:p>
    <w:p>
      <w:pPr>
        <w:spacing w:after="0" w:line="225" w:lineRule="exact"/>
        <w:rPr>
          <w:sz w:val="20"/>
          <w:szCs w:val="20"/>
          <w:color w:val="auto"/>
        </w:rPr>
      </w:pPr>
    </w:p>
    <w:p>
      <w:pPr>
        <w:ind w:left="2580" w:hanging="640"/>
        <w:spacing w:after="0"/>
        <w:tabs>
          <w:tab w:leader="none" w:pos="25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On the date hereof, the Seller shall execute and deliver to the Purchaser a notice setting out:</w:t>
      </w:r>
    </w:p>
    <w:p>
      <w:pPr>
        <w:spacing w:after="0" w:line="237" w:lineRule="exact"/>
        <w:rPr>
          <w:sz w:val="20"/>
          <w:szCs w:val="20"/>
          <w:color w:val="auto"/>
        </w:rPr>
      </w:pPr>
    </w:p>
    <w:p>
      <w:pPr>
        <w:ind w:left="2600" w:hanging="660"/>
        <w:spacing w:after="0"/>
        <w:tabs>
          <w:tab w:leader="none" w:pos="26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good faith estimated Net Debt of the Group as of the Balance Sheet Date (the “</w:t>
      </w:r>
      <w:r>
        <w:rPr>
          <w:rFonts w:ascii="Arial" w:cs="Arial" w:eastAsia="Arial" w:hAnsi="Arial"/>
          <w:sz w:val="16"/>
          <w:szCs w:val="16"/>
          <w:u w:val="single" w:color="auto"/>
          <w:color w:val="auto"/>
        </w:rPr>
        <w:t>Estimated Balance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Sheet Date Net Debt</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right="440" w:firstLine="1280"/>
        <w:spacing w:after="0" w:line="277" w:lineRule="auto"/>
        <w:tabs>
          <w:tab w:leader="none" w:pos="261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good faith estimated Net Working Capital of the Group as of June 30, 2019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Reference Date Net Working Capital</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20" w:hanging="680"/>
        <w:spacing w:after="0"/>
        <w:tabs>
          <w:tab w:leader="none" w:pos="262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good faith estimated Net Working Capital of the Group as of the Balance Sheet Date (the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Balance Sheet Date Net Working Capital</w:t>
      </w:r>
      <w:r>
        <w:rPr>
          <w:rFonts w:ascii="Arial" w:cs="Arial" w:eastAsia="Arial" w:hAnsi="Arial"/>
          <w:sz w:val="18"/>
          <w:szCs w:val="18"/>
          <w:color w:val="auto"/>
        </w:rPr>
        <w:t>”); and</w:t>
      </w:r>
    </w:p>
    <w:p>
      <w:pPr>
        <w:spacing w:after="0" w:line="211" w:lineRule="exact"/>
        <w:rPr>
          <w:sz w:val="20"/>
          <w:szCs w:val="20"/>
          <w:color w:val="auto"/>
        </w:rPr>
      </w:pPr>
    </w:p>
    <w:p>
      <w:pPr>
        <w:ind w:left="2600" w:hanging="660"/>
        <w:spacing w:after="0"/>
        <w:tabs>
          <w:tab w:leader="none" w:pos="26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estimated purchase price which is calculated as follows:</w:t>
      </w:r>
    </w:p>
    <w:p>
      <w:pPr>
        <w:spacing w:after="0" w:line="225" w:lineRule="exact"/>
        <w:rPr>
          <w:rFonts w:ascii="Arial" w:cs="Arial" w:eastAsia="Arial" w:hAnsi="Arial"/>
          <w:sz w:val="18"/>
          <w:szCs w:val="18"/>
          <w:color w:val="auto"/>
        </w:rPr>
      </w:pPr>
    </w:p>
    <w:p>
      <w:pPr>
        <w:ind w:left="2980" w:hanging="379"/>
        <w:spacing w:after="0"/>
        <w:tabs>
          <w:tab w:leader="none" w:pos="29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Agreed Enterprise Value,</w:t>
      </w:r>
    </w:p>
    <w:p>
      <w:pPr>
        <w:spacing w:after="0" w:line="225" w:lineRule="exact"/>
        <w:rPr>
          <w:rFonts w:ascii="Arial" w:cs="Arial" w:eastAsia="Arial" w:hAnsi="Arial"/>
          <w:sz w:val="18"/>
          <w:szCs w:val="18"/>
          <w:color w:val="auto"/>
        </w:rPr>
      </w:pPr>
    </w:p>
    <w:p>
      <w:pPr>
        <w:ind w:left="2980" w:hanging="379"/>
        <w:spacing w:after="0"/>
        <w:tabs>
          <w:tab w:leader="none" w:pos="2980"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Estimated Balance Sheet Date Net Debt,</w:t>
      </w:r>
    </w:p>
    <w:p>
      <w:pPr>
        <w:spacing w:after="0" w:line="225" w:lineRule="exact"/>
        <w:rPr>
          <w:rFonts w:ascii="Arial" w:cs="Arial" w:eastAsia="Arial" w:hAnsi="Arial"/>
          <w:sz w:val="18"/>
          <w:szCs w:val="18"/>
          <w:color w:val="auto"/>
        </w:rPr>
      </w:pPr>
    </w:p>
    <w:p>
      <w:pPr>
        <w:ind w:left="2960" w:right="60" w:hanging="359"/>
        <w:spacing w:after="0" w:line="291" w:lineRule="auto"/>
        <w:tabs>
          <w:tab w:leader="none" w:pos="2939" w:val="left"/>
        </w:tabs>
        <w:numPr>
          <w:ilvl w:val="1"/>
          <w:numId w:val="195"/>
        </w:numPr>
        <w:rPr>
          <w:rFonts w:ascii="Arial" w:cs="Arial" w:eastAsia="Arial" w:hAnsi="Arial"/>
          <w:sz w:val="16"/>
          <w:szCs w:val="16"/>
          <w:color w:val="auto"/>
        </w:rPr>
      </w:pPr>
      <w:r>
        <w:rPr>
          <w:rFonts w:ascii="Arial" w:cs="Arial" w:eastAsia="Arial" w:hAnsi="Arial"/>
          <w:sz w:val="16"/>
          <w:szCs w:val="16"/>
          <w:color w:val="auto"/>
        </w:rPr>
        <w:t xml:space="preserve">(x)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difference between the Estimated Balance Sheet Date Net Working Capital and the Estimated Reference Date Net Working Capital in its absolute value if the Estimated Balance Sheet Date Net Working Capital exceeds the Estimated Reference Date Net Working Capital by more than RMB10,000,000, or (y)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difference between the Estimated Reference Date Net Working Capital and the Estimated Balance Sheet Date Net Working Capital in its absolute value if the Estimated Reference Date Net Working Capital exceeds the Estimated Balance Sheet Date Net Working Capital by more than RMB10,000,000,</w:t>
      </w:r>
    </w:p>
    <w:p>
      <w:pPr>
        <w:spacing w:after="0" w:line="166" w:lineRule="exact"/>
        <w:rPr>
          <w:rFonts w:ascii="Arial" w:cs="Arial" w:eastAsia="Arial" w:hAnsi="Arial"/>
          <w:sz w:val="16"/>
          <w:szCs w:val="16"/>
          <w:color w:val="auto"/>
        </w:rPr>
      </w:pPr>
    </w:p>
    <w:p>
      <w:pPr>
        <w:ind w:left="3000" w:hanging="399"/>
        <w:spacing w:after="0"/>
        <w:tabs>
          <w:tab w:leader="none" w:pos="3000"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Onshore Purchase Price,</w:t>
      </w:r>
    </w:p>
    <w:p>
      <w:pPr>
        <w:spacing w:after="0" w:line="225" w:lineRule="exact"/>
        <w:rPr>
          <w:rFonts w:ascii="Arial" w:cs="Arial" w:eastAsia="Arial" w:hAnsi="Arial"/>
          <w:sz w:val="18"/>
          <w:szCs w:val="18"/>
          <w:color w:val="auto"/>
        </w:rPr>
      </w:pPr>
    </w:p>
    <w:p>
      <w:pPr>
        <w:ind w:left="2960" w:right="100" w:hanging="359"/>
        <w:spacing w:after="0" w:line="257" w:lineRule="auto"/>
        <w:tabs>
          <w:tab w:leader="none" w:pos="3014"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the total amount of onshore loans and the accrued interests to be repaid by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shareholders of Hangzhou Youmai and Zhejiang Anxiong to Hangzhou Wuweixiong in accordance with the Control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 shall reimburse the Purchaser for the Tax actually incurred (if any) by Hangzhou Wuweixiong in connection with the foregoing repayment,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t>and the Purchaser shall be entitled to deduct such amount from the Indemnity Withheld Amount,</w:t>
      </w:r>
    </w:p>
    <w:p>
      <w:pPr>
        <w:spacing w:after="0" w:line="225" w:lineRule="exact"/>
        <w:rPr>
          <w:sz w:val="20"/>
          <w:szCs w:val="20"/>
          <w:color w:val="auto"/>
        </w:rPr>
      </w:pPr>
    </w:p>
    <w:p>
      <w:pPr>
        <w:ind w:left="2960" w:hanging="359"/>
        <w:spacing w:after="0"/>
        <w:tabs>
          <w:tab w:leader="none" w:pos="29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ESOP Fees,</w:t>
      </w:r>
    </w:p>
    <w:p>
      <w:pPr>
        <w:spacing w:after="0" w:line="225" w:lineRule="exact"/>
        <w:rPr>
          <w:rFonts w:ascii="Arial" w:cs="Arial" w:eastAsia="Arial" w:hAnsi="Arial"/>
          <w:sz w:val="18"/>
          <w:szCs w:val="18"/>
          <w:color w:val="auto"/>
        </w:rPr>
      </w:pPr>
    </w:p>
    <w:p>
      <w:pPr>
        <w:ind w:left="2960" w:hanging="359"/>
        <w:spacing w:after="0"/>
        <w:tabs>
          <w:tab w:leader="none" w:pos="2960" w:val="left"/>
        </w:tabs>
        <w:numPr>
          <w:ilvl w:val="0"/>
          <w:numId w:val="196"/>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RSU Compensation Fees,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inclusive of all applicable Taxes (the “</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w:t>
      </w:r>
    </w:p>
    <w:p>
      <w:pPr>
        <w:spacing w:after="0" w:line="225" w:lineRule="exact"/>
        <w:rPr>
          <w:sz w:val="20"/>
          <w:szCs w:val="20"/>
          <w:color w:val="auto"/>
        </w:rPr>
      </w:pPr>
    </w:p>
    <w:p>
      <w:pPr>
        <w:ind w:left="1600" w:right="680" w:firstLine="1"/>
        <w:spacing w:after="0" w:line="342" w:lineRule="auto"/>
        <w:rPr>
          <w:sz w:val="20"/>
          <w:szCs w:val="20"/>
          <w:color w:val="auto"/>
        </w:rPr>
      </w:pPr>
      <w:r>
        <w:rPr>
          <w:rFonts w:ascii="Arial" w:cs="Arial" w:eastAsia="Arial" w:hAnsi="Arial"/>
          <w:sz w:val="16"/>
          <w:szCs w:val="16"/>
          <w:color w:val="auto"/>
        </w:rPr>
        <w:t>in the cases of (i), (ii) and (iii), each calculated in accordance with the Calculation Principles. For clarity, references to the “Balance Sheet Date” in (i), (ii) and (iii) mean 11:59 pm on the Balance Sheet Date.</w:t>
      </w:r>
    </w:p>
    <w:p>
      <w:pPr>
        <w:spacing w:after="0" w:line="124" w:lineRule="exact"/>
        <w:rPr>
          <w:sz w:val="20"/>
          <w:szCs w:val="20"/>
          <w:color w:val="auto"/>
        </w:rPr>
      </w:pPr>
    </w:p>
    <w:p>
      <w:pPr>
        <w:jc w:val="both"/>
        <w:ind w:left="660" w:firstLine="1293"/>
        <w:spacing w:after="0" w:line="286" w:lineRule="auto"/>
        <w:tabs>
          <w:tab w:leader="none" w:pos="2567"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The Final Purchase Price will be paid by the Purchaser in combination of cash and Alibaba Shares, in which US$299,999,983 will be paid in Alibaba Shares to be newly issued by Alibaba Group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First Installment Payment</w:t>
      </w:r>
      <w:r>
        <w:rPr>
          <w:rFonts w:ascii="Arial" w:cs="Arial" w:eastAsia="Arial" w:hAnsi="Arial"/>
          <w:sz w:val="17"/>
          <w:szCs w:val="17"/>
          <w:color w:val="auto"/>
        </w:rPr>
        <w:t>”) and the remaining portion of the Final Purchase Price will be paid in US$.</w:t>
      </w:r>
    </w:p>
    <w:p>
      <w:pPr>
        <w:spacing w:after="0" w:line="16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Closing Date</w:t>
      </w:r>
      <w:r>
        <w:rPr>
          <w:rFonts w:ascii="Arial" w:cs="Arial" w:eastAsia="Arial" w:hAnsi="Arial"/>
          <w:sz w:val="18"/>
          <w:szCs w:val="18"/>
          <w:color w:val="auto"/>
        </w:rPr>
        <w:t>. Subject to the terms and conditions of this Agreement, the sale and purchase of all Purchased Shares as contemplated by this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via the remote exchange of electronic documents and signatures on a date that is no later than the 1</w:t>
      </w:r>
      <w:r>
        <w:rPr>
          <w:rFonts w:ascii="Arial" w:cs="Arial" w:eastAsia="Arial" w:hAnsi="Arial"/>
          <w:sz w:val="11"/>
          <w:szCs w:val="11"/>
          <w:color w:val="auto"/>
        </w:rPr>
        <w:t>st</w:t>
      </w:r>
      <w:r>
        <w:rPr>
          <w:rFonts w:ascii="Arial" w:cs="Arial" w:eastAsia="Arial" w:hAnsi="Arial"/>
          <w:sz w:val="18"/>
          <w:szCs w:val="18"/>
          <w:color w:val="auto"/>
        </w:rPr>
        <w:t xml:space="preserve"> (first) Business Day after the satisfaction or valid waiver of each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conditions that by their nature are to be satisfied at the Closing, but subject to the satisfaction or waiver of those conditions at such time), unless another time, date or place is agreed in writing by the Purchaser and the Seller (the date on which the Closing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92" w:lineRule="exact"/>
        <w:rPr>
          <w:sz w:val="20"/>
          <w:szCs w:val="20"/>
          <w:color w:val="auto"/>
        </w:rPr>
      </w:pPr>
    </w:p>
    <w:p>
      <w:pPr>
        <w:ind w:right="100" w:firstLine="1296"/>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Closing Deliverables by the Company</w:t>
      </w:r>
      <w:r>
        <w:rPr>
          <w:rFonts w:ascii="Arial" w:cs="Arial" w:eastAsia="Arial" w:hAnsi="Arial"/>
          <w:sz w:val="18"/>
          <w:szCs w:val="18"/>
          <w:color w:val="auto"/>
        </w:rPr>
        <w:t>. At the Closing, the Company shall, and the Warrantors shall procure the Company to, deliver or cause to be delivered to the Purchaser:</w:t>
      </w:r>
    </w:p>
    <w:p>
      <w:pPr>
        <w:spacing w:after="0" w:line="170" w:lineRule="exact"/>
        <w:rPr>
          <w:sz w:val="20"/>
          <w:szCs w:val="20"/>
          <w:color w:val="auto"/>
        </w:rPr>
      </w:pPr>
    </w:p>
    <w:p>
      <w:pPr>
        <w:ind w:left="660" w:right="40" w:firstLine="1293"/>
        <w:spacing w:after="0" w:line="342" w:lineRule="auto"/>
        <w:tabs>
          <w:tab w:leader="none" w:pos="256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copy of the register of members of the Company, dated as of the Closing Date and duly certified by the registered office provider of the Company, evidencing the ownership by the Purchaser of all the Purchased Shares;</w:t>
      </w:r>
    </w:p>
    <w:p>
      <w:pPr>
        <w:spacing w:after="0" w:line="123" w:lineRule="exact"/>
        <w:rPr>
          <w:rFonts w:ascii="Arial" w:cs="Arial" w:eastAsia="Arial" w:hAnsi="Arial"/>
          <w:sz w:val="16"/>
          <w:szCs w:val="16"/>
          <w:color w:val="auto"/>
        </w:rPr>
      </w:pPr>
    </w:p>
    <w:p>
      <w:pPr>
        <w:ind w:left="660" w:right="300" w:firstLine="1293"/>
        <w:spacing w:after="0" w:line="259" w:lineRule="auto"/>
        <w:tabs>
          <w:tab w:leader="none" w:pos="2571"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a copy of the register of directors of each of the Offshore Group Companies set forth on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G</w:t>
      </w:r>
      <w:r>
        <w:rPr>
          <w:rFonts w:ascii="Arial" w:cs="Arial" w:eastAsia="Arial" w:hAnsi="Arial"/>
          <w:sz w:val="18"/>
          <w:szCs w:val="18"/>
          <w:color w:val="auto"/>
        </w:rPr>
        <w:t xml:space="preserve"> hereto, dated as of the Closing Date and duly certified by the registered agent (or equivalent) of such Offshore Group Company, evidencing the replacement of each of the directors of such Offshore Group Company with individuals designated by the Purchaser;</w:t>
      </w:r>
    </w:p>
    <w:p>
      <w:pPr>
        <w:spacing w:after="0" w:line="186" w:lineRule="exact"/>
        <w:rPr>
          <w:rFonts w:ascii="Arial" w:cs="Arial" w:eastAsia="Arial" w:hAnsi="Arial"/>
          <w:sz w:val="18"/>
          <w:szCs w:val="18"/>
          <w:color w:val="auto"/>
        </w:rPr>
      </w:pPr>
    </w:p>
    <w:p>
      <w:pPr>
        <w:ind w:left="660" w:firstLine="1293"/>
        <w:spacing w:after="0" w:line="285" w:lineRule="auto"/>
        <w:tabs>
          <w:tab w:leader="none" w:pos="2561"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 copy of the resolutions duly and validly adopted by the board of directors of the Company and certified by a director of the Company, evidencing the authorization by the board of directors of the Company of the execution and delivery of this Agreement and the other Transaction Documents to which the Company is a party and the consummation of the transactions contemplated hereby and thereby, including (A) the replacement of each of the Outgoing Directors of the Company with individuals designated by the Purchaser (the effectiveness of which may be conditioned upon the Closing);</w:t>
      </w:r>
    </w:p>
    <w:p>
      <w:pPr>
        <w:spacing w:after="0" w:line="1" w:lineRule="exact"/>
        <w:rPr>
          <w:rFonts w:ascii="Arial" w:cs="Arial" w:eastAsia="Arial" w:hAnsi="Arial"/>
          <w:sz w:val="16"/>
          <w:szCs w:val="16"/>
          <w:color w:val="auto"/>
        </w:rPr>
      </w:pPr>
    </w:p>
    <w:p>
      <w:pPr>
        <w:ind w:left="940" w:hanging="283"/>
        <w:spacing w:after="0"/>
        <w:tabs>
          <w:tab w:leader="none" w:pos="9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transfer of the Purchased Shares as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17" w:name="page318"/>
    <w:bookmarkEnd w:id="317"/>
    <w:p>
      <w:pPr>
        <w:ind w:left="200" w:right="400"/>
        <w:spacing w:after="0" w:line="291" w:lineRule="auto"/>
        <w:rPr>
          <w:sz w:val="20"/>
          <w:szCs w:val="20"/>
          <w:color w:val="auto"/>
        </w:rPr>
      </w:pPr>
      <w:r>
        <w:rPr>
          <w:rFonts w:ascii="Arial" w:cs="Arial" w:eastAsia="Arial" w:hAnsi="Arial"/>
          <w:sz w:val="16"/>
          <w:szCs w:val="16"/>
          <w:color w:val="auto"/>
        </w:rPr>
        <w:t xml:space="preserve">contemplated by this Agreement, and (C) such additional resolutions with respect to the termination of the Company Share Incentive Plan and cancellation of the Company Share Awards as necessary to give effect to </w:t>
      </w:r>
      <w:r>
        <w:rPr>
          <w:rFonts w:ascii="Arial" w:cs="Arial" w:eastAsia="Arial" w:hAnsi="Arial"/>
          <w:sz w:val="16"/>
          <w:szCs w:val="16"/>
          <w:u w:val="single" w:color="auto"/>
          <w:color w:val="auto"/>
        </w:rPr>
        <w:t>Section 6.12</w:t>
      </w:r>
      <w:r>
        <w:rPr>
          <w:rFonts w:ascii="Arial" w:cs="Arial" w:eastAsia="Arial" w:hAnsi="Arial"/>
          <w:sz w:val="16"/>
          <w:szCs w:val="16"/>
          <w:color w:val="auto"/>
        </w:rPr>
        <w:t>, in each case of</w:t>
      </w:r>
    </w:p>
    <w:p>
      <w:pPr>
        <w:ind w:left="500" w:hanging="303"/>
        <w:spacing w:after="0"/>
        <w:tabs>
          <w:tab w:leader="none" w:pos="5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through (C), effective no later than the Closing;</w:t>
      </w:r>
    </w:p>
    <w:p>
      <w:pPr>
        <w:spacing w:after="0" w:line="210" w:lineRule="exact"/>
        <w:rPr>
          <w:rFonts w:ascii="Arial" w:cs="Arial" w:eastAsia="Arial" w:hAnsi="Arial"/>
          <w:sz w:val="18"/>
          <w:szCs w:val="18"/>
          <w:color w:val="auto"/>
        </w:rPr>
      </w:pPr>
    </w:p>
    <w:p>
      <w:pPr>
        <w:ind w:left="200" w:right="80" w:firstLine="1293"/>
        <w:spacing w:after="0" w:line="257" w:lineRule="auto"/>
        <w:tabs>
          <w:tab w:leader="none" w:pos="211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a copy of the resolutions duly and validly adopted by the board of directors and shareholders of each of the Offshore Group Companies (excluding the Company) set forth on </w:t>
      </w:r>
      <w:r>
        <w:rPr>
          <w:rFonts w:ascii="Arial" w:cs="Arial" w:eastAsia="Arial" w:hAnsi="Arial"/>
          <w:sz w:val="18"/>
          <w:szCs w:val="18"/>
          <w:u w:val="single" w:color="auto"/>
          <w:color w:val="auto"/>
        </w:rPr>
        <w:t>Part 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G</w:t>
      </w:r>
      <w:r>
        <w:rPr>
          <w:rFonts w:ascii="Arial" w:cs="Arial" w:eastAsia="Arial" w:hAnsi="Arial"/>
          <w:sz w:val="18"/>
          <w:szCs w:val="18"/>
          <w:color w:val="auto"/>
        </w:rPr>
        <w:t xml:space="preserve"> hereto and certified by a director of such Offshore Group Company, evidencing the replacement of each of the Outgoing Directors of such Offshore Group Company with individuals designated by the Purchaser (the effectiveness of which may be conditioned upon the Closing), in each case, effective no later than the Closing;</w:t>
      </w:r>
    </w:p>
    <w:p>
      <w:pPr>
        <w:spacing w:after="0" w:line="187" w:lineRule="exact"/>
        <w:rPr>
          <w:rFonts w:ascii="Arial" w:cs="Arial" w:eastAsia="Arial" w:hAnsi="Arial"/>
          <w:sz w:val="18"/>
          <w:szCs w:val="18"/>
          <w:color w:val="auto"/>
        </w:rPr>
      </w:pPr>
    </w:p>
    <w:p>
      <w:pPr>
        <w:jc w:val="both"/>
        <w:ind w:left="200" w:right="60" w:firstLine="1293"/>
        <w:spacing w:after="0" w:line="263" w:lineRule="auto"/>
        <w:tabs>
          <w:tab w:leader="none" w:pos="210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duly executed resignation and release letters (the effectiveness of which may be conditioned upon the Closing), dated no later than the Closing Date, of each of the Outgoing Directors of each Offshore Group Company, in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83" w:lineRule="exact"/>
        <w:rPr>
          <w:rFonts w:ascii="Arial" w:cs="Arial" w:eastAsia="Arial" w:hAnsi="Arial"/>
          <w:sz w:val="18"/>
          <w:szCs w:val="18"/>
          <w:color w:val="auto"/>
        </w:rPr>
      </w:pPr>
    </w:p>
    <w:p>
      <w:pPr>
        <w:ind w:left="200" w:right="60" w:firstLine="1293"/>
        <w:spacing w:after="0" w:line="263" w:lineRule="auto"/>
        <w:tabs>
          <w:tab w:leader="none" w:pos="208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official chop, financial chop and contract chop of each Group Company and all other chops capable of representing any Group Company (if any), the books and accounts of each Group Company together with a checklist on which all these delivered items are listed;</w:t>
      </w:r>
    </w:p>
    <w:p>
      <w:pPr>
        <w:spacing w:after="0" w:line="183" w:lineRule="exact"/>
        <w:rPr>
          <w:rFonts w:ascii="Arial" w:cs="Arial" w:eastAsia="Arial" w:hAnsi="Arial"/>
          <w:sz w:val="18"/>
          <w:szCs w:val="18"/>
          <w:color w:val="auto"/>
        </w:rPr>
      </w:pPr>
    </w:p>
    <w:p>
      <w:pPr>
        <w:ind w:left="200" w:right="300" w:firstLine="1293"/>
        <w:spacing w:after="0" w:line="263" w:lineRule="auto"/>
        <w:tabs>
          <w:tab w:leader="none" w:pos="211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originals of all the forms and documents required by the relevant banks to effect the change of authorized signatures to all bank accounts of each Group Company, duly affixed with the company chop of such Group Company;</w:t>
      </w:r>
    </w:p>
    <w:p>
      <w:pPr>
        <w:spacing w:after="0" w:line="183" w:lineRule="exact"/>
        <w:rPr>
          <w:rFonts w:ascii="Arial" w:cs="Arial" w:eastAsia="Arial" w:hAnsi="Arial"/>
          <w:sz w:val="18"/>
          <w:szCs w:val="18"/>
          <w:color w:val="auto"/>
        </w:rPr>
      </w:pPr>
    </w:p>
    <w:p>
      <w:pPr>
        <w:ind w:left="2100" w:hanging="607"/>
        <w:spacing w:after="0"/>
        <w:tabs>
          <w:tab w:leader="none" w:pos="210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following items in respect of each of the PRC Group Companies:</w:t>
      </w:r>
    </w:p>
    <w:p>
      <w:pPr>
        <w:spacing w:after="0" w:line="225" w:lineRule="exact"/>
        <w:rPr>
          <w:rFonts w:ascii="Arial" w:cs="Arial" w:eastAsia="Arial" w:hAnsi="Arial"/>
          <w:sz w:val="18"/>
          <w:szCs w:val="18"/>
          <w:color w:val="auto"/>
        </w:rPr>
      </w:pPr>
    </w:p>
    <w:p>
      <w:pPr>
        <w:ind w:left="2800" w:hanging="659"/>
        <w:spacing w:after="0"/>
        <w:tabs>
          <w:tab w:leader="none" w:pos="280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its current business license;</w:t>
      </w:r>
    </w:p>
    <w:p>
      <w:pPr>
        <w:spacing w:after="0" w:line="225" w:lineRule="exact"/>
        <w:rPr>
          <w:rFonts w:ascii="Arial" w:cs="Arial" w:eastAsia="Arial" w:hAnsi="Arial"/>
          <w:sz w:val="18"/>
          <w:szCs w:val="18"/>
          <w:color w:val="auto"/>
        </w:rPr>
      </w:pPr>
    </w:p>
    <w:p>
      <w:pPr>
        <w:ind w:left="2820" w:hanging="679"/>
        <w:spacing w:after="0"/>
        <w:tabs>
          <w:tab w:leader="none" w:pos="2820" w:val="left"/>
        </w:tabs>
        <w:numPr>
          <w:ilvl w:val="2"/>
          <w:numId w:val="200"/>
        </w:numPr>
        <w:rPr>
          <w:rFonts w:ascii="Arial" w:cs="Arial" w:eastAsia="Arial" w:hAnsi="Arial"/>
          <w:sz w:val="16"/>
          <w:szCs w:val="16"/>
          <w:color w:val="auto"/>
        </w:rPr>
      </w:pPr>
      <w:r>
        <w:rPr>
          <w:rFonts w:ascii="Arial" w:cs="Arial" w:eastAsia="Arial" w:hAnsi="Arial"/>
          <w:sz w:val="16"/>
          <w:szCs w:val="16"/>
          <w:color w:val="auto"/>
        </w:rPr>
        <w:t>the USB Keys (U ) and other electronic devices to operate all of its existing bank accounts</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(if applicable); and</w:t>
      </w:r>
    </w:p>
    <w:p>
      <w:pPr>
        <w:spacing w:after="0" w:line="210" w:lineRule="exact"/>
        <w:rPr>
          <w:rFonts w:ascii="Arial" w:cs="Arial" w:eastAsia="Arial" w:hAnsi="Arial"/>
          <w:sz w:val="16"/>
          <w:szCs w:val="16"/>
          <w:color w:val="auto"/>
        </w:rPr>
      </w:pPr>
    </w:p>
    <w:p>
      <w:pPr>
        <w:ind w:left="840" w:right="320" w:firstLine="1301"/>
        <w:spacing w:after="0" w:line="342" w:lineRule="auto"/>
        <w:tabs>
          <w:tab w:leader="none" w:pos="2766" w:val="left"/>
        </w:tabs>
        <w:numPr>
          <w:ilvl w:val="2"/>
          <w:numId w:val="200"/>
        </w:numPr>
        <w:rPr>
          <w:rFonts w:ascii="Arial" w:cs="Arial" w:eastAsia="Arial" w:hAnsi="Arial"/>
          <w:sz w:val="16"/>
          <w:szCs w:val="16"/>
          <w:color w:val="auto"/>
        </w:rPr>
      </w:pPr>
      <w:r>
        <w:rPr>
          <w:rFonts w:ascii="Arial" w:cs="Arial" w:eastAsia="Arial" w:hAnsi="Arial"/>
          <w:sz w:val="16"/>
          <w:szCs w:val="16"/>
          <w:color w:val="auto"/>
        </w:rPr>
        <w:t>duly executed originals of all the forms and documents required by the relevant banks to effect the change of authorized signatures to all of its bank accounts, as determined by the Purchaser;</w:t>
      </w:r>
    </w:p>
    <w:p>
      <w:pPr>
        <w:spacing w:after="0" w:line="123" w:lineRule="exact"/>
        <w:rPr>
          <w:rFonts w:ascii="Arial" w:cs="Arial" w:eastAsia="Arial" w:hAnsi="Arial"/>
          <w:sz w:val="16"/>
          <w:szCs w:val="16"/>
          <w:color w:val="auto"/>
        </w:rPr>
      </w:pPr>
    </w:p>
    <w:p>
      <w:pPr>
        <w:ind w:left="200" w:firstLine="1293"/>
        <w:spacing w:after="0" w:line="272" w:lineRule="auto"/>
        <w:tabs>
          <w:tab w:leader="none" w:pos="220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with respect to (A) the transfer of all of the equity interests in each of the Hangzhou Youmai and Zhejiang Anxiong to be transferred to one or more Persons designated by the Purchaser (the “</w:t>
      </w:r>
      <w:r>
        <w:rPr>
          <w:rFonts w:ascii="Arial" w:cs="Arial" w:eastAsia="Arial" w:hAnsi="Arial"/>
          <w:sz w:val="17"/>
          <w:szCs w:val="17"/>
          <w:u w:val="single" w:color="auto"/>
          <w:color w:val="auto"/>
        </w:rPr>
        <w:t>Purchaser Nominees</w:t>
      </w:r>
      <w:r>
        <w:rPr>
          <w:rFonts w:ascii="Arial" w:cs="Arial" w:eastAsia="Arial" w:hAnsi="Arial"/>
          <w:sz w:val="17"/>
          <w:szCs w:val="17"/>
          <w:color w:val="auto"/>
        </w:rPr>
        <w:t xml:space="preserve">”), for purchase prices provided in the Onshore Equity Transfer Agreements in the form set forth in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hereto (the aggregate amount of all such purchase prices, the “</w:t>
      </w:r>
      <w:r>
        <w:rPr>
          <w:rFonts w:ascii="Arial" w:cs="Arial" w:eastAsia="Arial" w:hAnsi="Arial"/>
          <w:sz w:val="17"/>
          <w:szCs w:val="17"/>
          <w:u w:val="single" w:color="auto"/>
          <w:color w:val="auto"/>
        </w:rPr>
        <w:t>Onshore Purchase Price</w:t>
      </w:r>
      <w:r>
        <w:rPr>
          <w:rFonts w:ascii="Arial" w:cs="Arial" w:eastAsia="Arial" w:hAnsi="Arial"/>
          <w:sz w:val="17"/>
          <w:szCs w:val="17"/>
          <w:color w:val="auto"/>
        </w:rPr>
        <w:t>”) and on such other terms and conditions therein (the “</w:t>
      </w:r>
      <w:r>
        <w:rPr>
          <w:rFonts w:ascii="Arial" w:cs="Arial" w:eastAsia="Arial" w:hAnsi="Arial"/>
          <w:sz w:val="17"/>
          <w:szCs w:val="17"/>
          <w:u w:val="single" w:color="auto"/>
          <w:color w:val="auto"/>
        </w:rPr>
        <w:t>Onshore</w:t>
      </w:r>
      <w:r>
        <w:rPr>
          <w:rFonts w:ascii="Arial" w:cs="Arial" w:eastAsia="Arial" w:hAnsi="Arial"/>
          <w:sz w:val="17"/>
          <w:szCs w:val="17"/>
          <w:color w:val="auto"/>
        </w:rPr>
        <w:t xml:space="preserve"> </w:t>
      </w:r>
      <w:r>
        <w:rPr>
          <w:rFonts w:ascii="Arial" w:cs="Arial" w:eastAsia="Arial" w:hAnsi="Arial"/>
          <w:sz w:val="17"/>
          <w:szCs w:val="17"/>
          <w:u w:val="single" w:color="auto"/>
          <w:color w:val="auto"/>
        </w:rPr>
        <w:t>Equity Transfers</w:t>
      </w:r>
      <w:r>
        <w:rPr>
          <w:rFonts w:ascii="Arial" w:cs="Arial" w:eastAsia="Arial" w:hAnsi="Arial"/>
          <w:sz w:val="17"/>
          <w:szCs w:val="17"/>
          <w:color w:val="auto"/>
        </w:rPr>
        <w:t>”), and (B) termination of the existing Control Documents with respect to Hangzhou Youmai and Zhejiang Anxiong and the entry into new control agreements between Purchaser Nominees and Hangzhou Wuweixiong with respect to each of Hangzhou Youmai and Zhejiang Anxiong:</w:t>
      </w:r>
    </w:p>
    <w:p>
      <w:pPr>
        <w:spacing w:after="0" w:line="39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18" w:name="page319"/>
    <w:bookmarkEnd w:id="318"/>
    <w:p>
      <w:pPr>
        <w:ind w:left="1300" w:right="40" w:firstLine="1301"/>
        <w:spacing w:after="0" w:line="257" w:lineRule="auto"/>
        <w:tabs>
          <w:tab w:leader="none" w:pos="330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originals of all filings and documents required by the relevant Government Authorities (including without limitation, the SAMR) executed by such PRC Group Company and its existing legal representative and other supporting/application documents necessary to effect the Onshore Equity Transfers (other than those that shall be signed by the individual(s) nominated by the Purchaser), each in such form and contain such information as required by the relevant Government Authorities;</w:t>
      </w:r>
    </w:p>
    <w:p>
      <w:pPr>
        <w:spacing w:after="0" w:line="187" w:lineRule="exact"/>
        <w:rPr>
          <w:rFonts w:ascii="Arial" w:cs="Arial" w:eastAsia="Arial" w:hAnsi="Arial"/>
          <w:sz w:val="18"/>
          <w:szCs w:val="18"/>
          <w:color w:val="auto"/>
        </w:rPr>
      </w:pPr>
    </w:p>
    <w:p>
      <w:pPr>
        <w:ind w:left="1300" w:right="20" w:firstLine="1301"/>
        <w:spacing w:after="0" w:line="263" w:lineRule="auto"/>
        <w:tabs>
          <w:tab w:leader="none" w:pos="331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the termination agreements, each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in respect of the termination of the existing Control Documents with respect to Hangzhou Youmai and Zhejiang Anxiong, each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duly executed by each party thereto; and</w:t>
      </w:r>
    </w:p>
    <w:p>
      <w:pPr>
        <w:spacing w:after="0" w:line="183" w:lineRule="exact"/>
        <w:rPr>
          <w:rFonts w:ascii="Arial" w:cs="Arial" w:eastAsia="Arial" w:hAnsi="Arial"/>
          <w:sz w:val="18"/>
          <w:szCs w:val="18"/>
          <w:color w:val="auto"/>
        </w:rPr>
      </w:pPr>
    </w:p>
    <w:p>
      <w:pPr>
        <w:ind w:left="1300" w:right="100" w:firstLine="1301"/>
        <w:spacing w:after="0" w:line="263" w:lineRule="auto"/>
        <w:tabs>
          <w:tab w:leader="none" w:pos="331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the new control agreements, each in the form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with respect to each of Hangzhou Youmai and Zhejiang Anxiong, duly executed by each party thereto, other than the Purchaser Nominees;</w:t>
      </w:r>
    </w:p>
    <w:p>
      <w:pPr>
        <w:spacing w:after="0" w:line="183" w:lineRule="exact"/>
        <w:rPr>
          <w:rFonts w:ascii="Arial" w:cs="Arial" w:eastAsia="Arial" w:hAnsi="Arial"/>
          <w:sz w:val="18"/>
          <w:szCs w:val="18"/>
          <w:color w:val="auto"/>
        </w:rPr>
      </w:pPr>
    </w:p>
    <w:p>
      <w:pPr>
        <w:ind w:left="660" w:right="80" w:firstLine="1293"/>
        <w:spacing w:after="0" w:line="263" w:lineRule="auto"/>
        <w:tabs>
          <w:tab w:leader="none" w:pos="253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the accounting book ledgers (whether in electronic or hard copies) of the financial system, the accounting documents, financial statements, audit reports, contracts, documents and certificates of each Group Company since its incorporation to the Closing Date;</w:t>
      </w:r>
    </w:p>
    <w:p>
      <w:pPr>
        <w:spacing w:after="0" w:line="183" w:lineRule="exact"/>
        <w:rPr>
          <w:rFonts w:ascii="Arial" w:cs="Arial" w:eastAsia="Arial" w:hAnsi="Arial"/>
          <w:sz w:val="18"/>
          <w:szCs w:val="18"/>
          <w:color w:val="auto"/>
        </w:rPr>
      </w:pPr>
    </w:p>
    <w:p>
      <w:pPr>
        <w:ind w:left="660" w:right="280" w:firstLine="1293"/>
        <w:spacing w:after="0" w:line="277" w:lineRule="auto"/>
        <w:tabs>
          <w:tab w:leader="none" w:pos="257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certificate of good standing of the Company, dated as of a date no earlier than ten (10) Business Days prior to the Closing Date, issued by the Registrar of Companies of the Cayman Islands; and</w:t>
      </w:r>
    </w:p>
    <w:p>
      <w:pPr>
        <w:spacing w:after="0" w:line="170" w:lineRule="exact"/>
        <w:rPr>
          <w:rFonts w:ascii="Arial" w:cs="Arial" w:eastAsia="Arial" w:hAnsi="Arial"/>
          <w:sz w:val="18"/>
          <w:szCs w:val="18"/>
          <w:color w:val="auto"/>
        </w:rPr>
      </w:pPr>
    </w:p>
    <w:p>
      <w:pPr>
        <w:ind w:left="660" w:right="80" w:firstLine="1293"/>
        <w:spacing w:after="0" w:line="277" w:lineRule="auto"/>
        <w:tabs>
          <w:tab w:leader="none" w:pos="253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 copy of the related party termination agreement, dated as of the Closing Date and duly executed by each party thereto in the form set forth in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w:t>
      </w:r>
    </w:p>
    <w:p>
      <w:pPr>
        <w:spacing w:after="0" w:line="170" w:lineRule="exact"/>
        <w:rPr>
          <w:sz w:val="20"/>
          <w:szCs w:val="20"/>
          <w:color w:val="auto"/>
        </w:rPr>
      </w:pPr>
    </w:p>
    <w:p>
      <w:pPr>
        <w:ind w:right="360" w:firstLine="1296"/>
        <w:spacing w:after="0" w:line="263" w:lineRule="auto"/>
        <w:rPr>
          <w:sz w:val="20"/>
          <w:szCs w:val="20"/>
          <w:color w:val="auto"/>
        </w:rPr>
      </w:pPr>
      <w:r>
        <w:rPr>
          <w:rFonts w:ascii="Arial" w:cs="Arial" w:eastAsia="Arial" w:hAnsi="Arial"/>
          <w:sz w:val="18"/>
          <w:szCs w:val="18"/>
          <w:color w:val="auto"/>
        </w:rPr>
        <w:t>provided, in the case of the items described in (f) to (h) and (j) above, such item shall be deemed to have been delivered if it is made available for inspection by the Purchaser or its representatives at the principal place of business of any Group Company.</w:t>
      </w:r>
    </w:p>
    <w:p>
      <w:pPr>
        <w:spacing w:after="0" w:line="184" w:lineRule="exact"/>
        <w:rPr>
          <w:sz w:val="20"/>
          <w:szCs w:val="20"/>
          <w:color w:val="auto"/>
        </w:rPr>
      </w:pPr>
    </w:p>
    <w:p>
      <w:pPr>
        <w:jc w:val="right"/>
        <w:spacing w:after="0"/>
        <w:tabs>
          <w:tab w:leader="none" w:pos="728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Closing Deliverables by the Seller</w:t>
      </w:r>
      <w:r>
        <w:rPr>
          <w:rFonts w:ascii="Arial" w:cs="Arial" w:eastAsia="Arial" w:hAnsi="Arial"/>
          <w:sz w:val="16"/>
          <w:szCs w:val="16"/>
          <w:color w:val="auto"/>
        </w:rPr>
        <w:t>. At the Closing, the Seller shall deliver or cause to be delivered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Purchaser:</w:t>
      </w:r>
    </w:p>
    <w:p>
      <w:pPr>
        <w:spacing w:after="0" w:line="211" w:lineRule="exact"/>
        <w:rPr>
          <w:sz w:val="20"/>
          <w:szCs w:val="20"/>
          <w:color w:val="auto"/>
        </w:rPr>
      </w:pPr>
    </w:p>
    <w:p>
      <w:pPr>
        <w:ind w:left="660" w:right="120" w:firstLine="1293"/>
        <w:spacing w:after="0" w:line="277" w:lineRule="auto"/>
        <w:tabs>
          <w:tab w:leader="none" w:pos="256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 instrument of transfer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with respect to the Purchased Shares of the Seller, duly executed by the Seller;</w:t>
      </w:r>
    </w:p>
    <w:p>
      <w:pPr>
        <w:spacing w:after="0" w:line="170" w:lineRule="exact"/>
        <w:rPr>
          <w:rFonts w:ascii="Arial" w:cs="Arial" w:eastAsia="Arial" w:hAnsi="Arial"/>
          <w:sz w:val="18"/>
          <w:szCs w:val="18"/>
          <w:color w:val="auto"/>
        </w:rPr>
      </w:pPr>
    </w:p>
    <w:p>
      <w:pPr>
        <w:ind w:left="660" w:right="120" w:firstLine="1293"/>
        <w:spacing w:after="0" w:line="277" w:lineRule="auto"/>
        <w:tabs>
          <w:tab w:leader="none" w:pos="257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affidavit evidencing the loss of the original share certificate(s) representing the Purchased Shares in form and substance reasonably satisfactory to the Purchaser;</w:t>
      </w:r>
    </w:p>
    <w:p>
      <w:pPr>
        <w:spacing w:after="0" w:line="170" w:lineRule="exact"/>
        <w:rPr>
          <w:rFonts w:ascii="Arial" w:cs="Arial" w:eastAsia="Arial" w:hAnsi="Arial"/>
          <w:sz w:val="18"/>
          <w:szCs w:val="18"/>
          <w:color w:val="auto"/>
        </w:rPr>
      </w:pPr>
    </w:p>
    <w:p>
      <w:pPr>
        <w:ind w:left="660" w:right="360" w:firstLine="1293"/>
        <w:spacing w:after="0" w:line="277" w:lineRule="auto"/>
        <w:tabs>
          <w:tab w:leader="none" w:pos="256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duly executed resignation and release letters, dated no later than the Closing Date, of each of the Outgoing Directors, in each case, in the form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w:t>
      </w:r>
    </w:p>
    <w:p>
      <w:pPr>
        <w:spacing w:after="0" w:line="170" w:lineRule="exact"/>
        <w:rPr>
          <w:rFonts w:ascii="Arial" w:cs="Arial" w:eastAsia="Arial" w:hAnsi="Arial"/>
          <w:sz w:val="18"/>
          <w:szCs w:val="18"/>
          <w:color w:val="auto"/>
        </w:rPr>
      </w:pPr>
    </w:p>
    <w:p>
      <w:pPr>
        <w:ind w:left="660" w:right="280" w:firstLine="1293"/>
        <w:spacing w:after="0" w:line="277" w:lineRule="auto"/>
        <w:tabs>
          <w:tab w:leader="none" w:pos="257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copy of the resolutions or other internal authorizations duly and validly adopted by the board of directors, shareholders and/or other equivalent</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319" w:name="page320"/>
    <w:bookmarkEnd w:id="319"/>
    <w:p>
      <w:pPr>
        <w:ind w:left="660" w:right="140"/>
        <w:spacing w:after="0" w:line="263" w:lineRule="auto"/>
        <w:rPr>
          <w:sz w:val="20"/>
          <w:szCs w:val="20"/>
          <w:color w:val="auto"/>
        </w:rPr>
      </w:pPr>
      <w:r>
        <w:rPr>
          <w:rFonts w:ascii="Arial" w:cs="Arial" w:eastAsia="Arial" w:hAnsi="Arial"/>
          <w:sz w:val="18"/>
          <w:szCs w:val="18"/>
          <w:color w:val="auto"/>
        </w:rPr>
        <w:t>corporate organs of the Seller and certified by a duly authorized signatory of the Seller evidencing its authorization of the execution and delivery of this Agreement and the other Transaction Documents to which it is a party and the consummation of the transactions contemplated hereby and thereby.</w:t>
      </w:r>
    </w:p>
    <w:p>
      <w:pPr>
        <w:spacing w:after="0" w:line="184" w:lineRule="exact"/>
        <w:rPr>
          <w:sz w:val="20"/>
          <w:szCs w:val="20"/>
          <w:color w:val="auto"/>
        </w:rPr>
      </w:pPr>
    </w:p>
    <w:p>
      <w:pPr>
        <w:ind w:right="20" w:firstLine="1296"/>
        <w:spacing w:after="0" w:line="286"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Closing Deliverables by the Purchaser</w:t>
      </w:r>
      <w:r>
        <w:rPr>
          <w:rFonts w:ascii="Arial" w:cs="Arial" w:eastAsia="Arial" w:hAnsi="Arial"/>
          <w:sz w:val="17"/>
          <w:szCs w:val="17"/>
          <w:color w:val="auto"/>
        </w:rPr>
        <w:t>. At the Closing, the Purchaser shall deliver to the Seller a copy of an extract from the register of members of Alibaba Group, dated as of the Closing Date and duly certified by the registered agent of Alibaba Group, evidencing the ownership by the Seller of 14,329,896 Alibaba Shares (the “</w:t>
      </w:r>
      <w:r>
        <w:rPr>
          <w:rFonts w:ascii="Arial" w:cs="Arial" w:eastAsia="Arial" w:hAnsi="Arial"/>
          <w:sz w:val="17"/>
          <w:szCs w:val="17"/>
          <w:u w:val="single" w:color="auto"/>
          <w:color w:val="auto"/>
        </w:rPr>
        <w:t>Subject Shares</w:t>
      </w:r>
      <w:r>
        <w:rPr>
          <w:rFonts w:ascii="Arial" w:cs="Arial" w:eastAsia="Arial" w:hAnsi="Arial"/>
          <w:sz w:val="17"/>
          <w:szCs w:val="17"/>
          <w:color w:val="auto"/>
        </w:rPr>
        <w:t>”).</w:t>
      </w:r>
    </w:p>
    <w:p>
      <w:pPr>
        <w:spacing w:after="0" w:line="165"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Post-Closing Examination Adjustment</w:t>
      </w:r>
      <w:r>
        <w:rPr>
          <w:rFonts w:ascii="Arial" w:cs="Arial" w:eastAsia="Arial" w:hAnsi="Arial"/>
          <w:sz w:val="16"/>
          <w:szCs w:val="16"/>
          <w:color w:val="auto"/>
        </w:rPr>
        <w:t>.</w:t>
      </w:r>
    </w:p>
    <w:p>
      <w:pPr>
        <w:spacing w:after="0" w:line="225" w:lineRule="exact"/>
        <w:rPr>
          <w:sz w:val="20"/>
          <w:szCs w:val="20"/>
          <w:color w:val="auto"/>
        </w:rPr>
      </w:pPr>
    </w:p>
    <w:p>
      <w:pPr>
        <w:ind w:left="660" w:firstLine="1293"/>
        <w:spacing w:after="0" w:line="287" w:lineRule="auto"/>
        <w:tabs>
          <w:tab w:leader="none" w:pos="2551"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After the Closing Date, the Purchaser shall engage one of the Big Four (other than PricewaterhouseCoopers or its Affiliates,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to conduct an examination of the consolidated balance sheet, statement of income and statement of cash flows of the Group (including without limitation, the inventory age and stock count) as of the Balance Sheet Date and as of June 30</w:t>
      </w:r>
      <w:r>
        <w:rPr>
          <w:rFonts w:ascii="Arial" w:cs="Arial" w:eastAsia="Arial" w:hAnsi="Arial"/>
          <w:sz w:val="10"/>
          <w:szCs w:val="10"/>
          <w:color w:val="auto"/>
        </w:rPr>
        <w:t>th</w:t>
      </w:r>
      <w:r>
        <w:rPr>
          <w:rFonts w:ascii="Arial" w:cs="Arial" w:eastAsia="Arial" w:hAnsi="Arial"/>
          <w:sz w:val="16"/>
          <w:szCs w:val="16"/>
          <w:color w:val="auto"/>
        </w:rPr>
        <w:t>, 2019 and for the period beginning on January 1, 2019 and ended as of the Balance Sheet Date in conformity with the Applicable Accounting Standards (the “</w:t>
      </w:r>
      <w:r>
        <w:rPr>
          <w:rFonts w:ascii="Arial" w:cs="Arial" w:eastAsia="Arial" w:hAnsi="Arial"/>
          <w:sz w:val="16"/>
          <w:szCs w:val="16"/>
          <w:u w:val="single" w:color="auto"/>
          <w:color w:val="auto"/>
        </w:rPr>
        <w:t>Closing Examination</w:t>
      </w:r>
      <w:r>
        <w:rPr>
          <w:rFonts w:ascii="Arial" w:cs="Arial" w:eastAsia="Arial" w:hAnsi="Arial"/>
          <w:sz w:val="16"/>
          <w:szCs w:val="16"/>
          <w:color w:val="auto"/>
        </w:rPr>
        <w:t>”). The Purchaser shall direct the Accounting Firm to deliver to the Purchaser and the Seller, as soon as practicable following the Closing Date but in any event within forty-five (45) days after the Closing Date, a statement based on the results of the Closing Examination (as may be modified by the Review Firm,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setting forth the Accounting Firm’s calculation of (i) the Group’s Net Debt as of the Balance Sheet Date (the “</w:t>
      </w:r>
      <w:r>
        <w:rPr>
          <w:rFonts w:ascii="Arial" w:cs="Arial" w:eastAsia="Arial" w:hAnsi="Arial"/>
          <w:sz w:val="16"/>
          <w:szCs w:val="16"/>
          <w:u w:val="single" w:color="auto"/>
          <w:color w:val="auto"/>
        </w:rPr>
        <w:t>Final Balance Sheet Date Net Debt</w:t>
      </w:r>
      <w:r>
        <w:rPr>
          <w:rFonts w:ascii="Arial" w:cs="Arial" w:eastAsia="Arial" w:hAnsi="Arial"/>
          <w:sz w:val="16"/>
          <w:szCs w:val="16"/>
          <w:color w:val="auto"/>
        </w:rPr>
        <w:t>”), (ii) the Group’s Net Working Capital as of June 30, 2019 (the “</w:t>
      </w:r>
      <w:r>
        <w:rPr>
          <w:rFonts w:ascii="Arial" w:cs="Arial" w:eastAsia="Arial" w:hAnsi="Arial"/>
          <w:sz w:val="16"/>
          <w:szCs w:val="16"/>
          <w:u w:val="single" w:color="auto"/>
          <w:color w:val="auto"/>
        </w:rPr>
        <w:t>Final Reference Date Net Working Capital</w:t>
      </w:r>
      <w:r>
        <w:rPr>
          <w:rFonts w:ascii="Arial" w:cs="Arial" w:eastAsia="Arial" w:hAnsi="Arial"/>
          <w:sz w:val="16"/>
          <w:szCs w:val="16"/>
          <w:color w:val="auto"/>
        </w:rPr>
        <w:t>”), (iii) the Group’s Net Working Capital as of the Balance Sheet Date (the “</w:t>
      </w:r>
      <w:r>
        <w:rPr>
          <w:rFonts w:ascii="Arial" w:cs="Arial" w:eastAsia="Arial" w:hAnsi="Arial"/>
          <w:sz w:val="16"/>
          <w:szCs w:val="16"/>
          <w:u w:val="single" w:color="auto"/>
          <w:color w:val="auto"/>
        </w:rPr>
        <w:t>Final Balance Sheet Date Net Working Capital</w:t>
      </w:r>
      <w:r>
        <w:rPr>
          <w:rFonts w:ascii="Arial" w:cs="Arial" w:eastAsia="Arial" w:hAnsi="Arial"/>
          <w:sz w:val="16"/>
          <w:szCs w:val="16"/>
          <w:color w:val="auto"/>
        </w:rPr>
        <w:t>”), and (iv) the final purchase price calculated as follows:</w:t>
      </w:r>
    </w:p>
    <w:p>
      <w:pPr>
        <w:spacing w:after="0" w:line="171" w:lineRule="exact"/>
        <w:rPr>
          <w:rFonts w:ascii="Arial" w:cs="Arial" w:eastAsia="Arial" w:hAnsi="Arial"/>
          <w:sz w:val="16"/>
          <w:szCs w:val="16"/>
          <w:color w:val="auto"/>
        </w:rPr>
      </w:pPr>
    </w:p>
    <w:p>
      <w:pPr>
        <w:ind w:left="3040" w:hanging="439"/>
        <w:spacing w:after="0"/>
        <w:tabs>
          <w:tab w:leader="none" w:pos="30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Agreed Enterprise Value,</w:t>
      </w:r>
    </w:p>
    <w:p>
      <w:pPr>
        <w:spacing w:after="0" w:line="225" w:lineRule="exact"/>
        <w:rPr>
          <w:rFonts w:ascii="Arial" w:cs="Arial" w:eastAsia="Arial" w:hAnsi="Arial"/>
          <w:sz w:val="18"/>
          <w:szCs w:val="18"/>
          <w:color w:val="auto"/>
        </w:rPr>
      </w:pPr>
    </w:p>
    <w:p>
      <w:pPr>
        <w:ind w:left="2980" w:hanging="379"/>
        <w:spacing w:after="0"/>
        <w:tabs>
          <w:tab w:leader="none" w:pos="2980"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Final Balance Sheet Date Net Debt,</w:t>
      </w:r>
    </w:p>
    <w:p>
      <w:pPr>
        <w:spacing w:after="0" w:line="225" w:lineRule="exact"/>
        <w:rPr>
          <w:rFonts w:ascii="Arial" w:cs="Arial" w:eastAsia="Arial" w:hAnsi="Arial"/>
          <w:sz w:val="18"/>
          <w:szCs w:val="18"/>
          <w:color w:val="auto"/>
        </w:rPr>
      </w:pPr>
    </w:p>
    <w:p>
      <w:pPr>
        <w:ind w:left="2960" w:hanging="359"/>
        <w:spacing w:after="0" w:line="254" w:lineRule="auto"/>
        <w:tabs>
          <w:tab w:leader="none" w:pos="2939"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(x)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difference between the Final Balance Sheet Date Net Working Capital and the Final Reference Date Net Working Capital in its absolute value if the Final Balance Sheet Date Net Working Capital exceeds the Final Reference Date Net Working Capital by more than RMB10,000,000, or (y)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difference between the Final Reference Date Net Working Capital and the Final Balance Sheet Date Net Working Capital in its absolute value if the Final Reference Date Net Working Capital exceeds the Final Balance Sheet Date Net Working Capital by more than RMB10,000,000,</w:t>
      </w:r>
    </w:p>
    <w:p>
      <w:pPr>
        <w:spacing w:after="0" w:line="194" w:lineRule="exact"/>
        <w:rPr>
          <w:rFonts w:ascii="Arial" w:cs="Arial" w:eastAsia="Arial" w:hAnsi="Arial"/>
          <w:sz w:val="18"/>
          <w:szCs w:val="18"/>
          <w:color w:val="auto"/>
        </w:rPr>
      </w:pPr>
    </w:p>
    <w:p>
      <w:pPr>
        <w:ind w:left="2960" w:hanging="359"/>
        <w:spacing w:after="0"/>
        <w:tabs>
          <w:tab w:leader="none" w:pos="2960"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Onshore Purchase Price,</w:t>
      </w:r>
    </w:p>
    <w:p>
      <w:pPr>
        <w:spacing w:after="0" w:line="225" w:lineRule="exact"/>
        <w:rPr>
          <w:rFonts w:ascii="Arial" w:cs="Arial" w:eastAsia="Arial" w:hAnsi="Arial"/>
          <w:sz w:val="18"/>
          <w:szCs w:val="18"/>
          <w:color w:val="auto"/>
        </w:rPr>
      </w:pPr>
    </w:p>
    <w:p>
      <w:pPr>
        <w:ind w:left="2960" w:right="360" w:hanging="359"/>
        <w:spacing w:after="0" w:line="277" w:lineRule="auto"/>
        <w:tabs>
          <w:tab w:leader="none" w:pos="2987"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 xml:space="preserve">plus </w:t>
      </w:r>
      <w:r>
        <w:rPr>
          <w:rFonts w:ascii="Arial" w:cs="Arial" w:eastAsia="Arial" w:hAnsi="Arial"/>
          <w:sz w:val="18"/>
          <w:szCs w:val="18"/>
          <w:color w:val="auto"/>
        </w:rPr>
        <w:t>the total amount of onshore loans and the accrued interests to be repaid by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of</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20" w:name="page321"/>
    <w:bookmarkEnd w:id="320"/>
    <w:p>
      <w:pPr>
        <w:ind w:left="2460" w:right="140"/>
        <w:spacing w:after="0" w:line="257" w:lineRule="auto"/>
        <w:rPr>
          <w:sz w:val="20"/>
          <w:szCs w:val="20"/>
          <w:color w:val="auto"/>
        </w:rPr>
      </w:pPr>
      <w:r>
        <w:rPr>
          <w:rFonts w:ascii="Arial" w:cs="Arial" w:eastAsia="Arial" w:hAnsi="Arial"/>
          <w:sz w:val="18"/>
          <w:szCs w:val="18"/>
          <w:color w:val="auto"/>
        </w:rPr>
        <w:t xml:space="preserve">Hangzhou Youmai and Zhejiang Anxiong to Hangzhou Wuweixiong in accordance with the Control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 shall reimburse the Purchaser for the Tax actually incurred (if any) by Hangzhou Wuweixiong in connection with the foregoing repayment which shall first be paid out of the Indemnity Withheld Amount, to the extent any such amount remains,</w:t>
      </w:r>
    </w:p>
    <w:p>
      <w:pPr>
        <w:spacing w:after="0" w:line="188" w:lineRule="exact"/>
        <w:rPr>
          <w:sz w:val="20"/>
          <w:szCs w:val="20"/>
          <w:color w:val="auto"/>
        </w:rPr>
      </w:pPr>
    </w:p>
    <w:p>
      <w:pPr>
        <w:ind w:left="2500" w:hanging="359"/>
        <w:spacing w:after="0"/>
        <w:tabs>
          <w:tab w:leader="none" w:pos="250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ESOP Fees,</w:t>
      </w:r>
    </w:p>
    <w:p>
      <w:pPr>
        <w:spacing w:after="0" w:line="225" w:lineRule="exact"/>
        <w:rPr>
          <w:rFonts w:ascii="Arial" w:cs="Arial" w:eastAsia="Arial" w:hAnsi="Arial"/>
          <w:sz w:val="18"/>
          <w:szCs w:val="18"/>
          <w:color w:val="auto"/>
        </w:rPr>
      </w:pPr>
    </w:p>
    <w:p>
      <w:pPr>
        <w:ind w:left="2480" w:hanging="339"/>
        <w:spacing w:after="0"/>
        <w:tabs>
          <w:tab w:leader="none" w:pos="2480" w:val="left"/>
        </w:tabs>
        <w:numPr>
          <w:ilvl w:val="0"/>
          <w:numId w:val="205"/>
        </w:numPr>
        <w:rPr>
          <w:rFonts w:ascii="Arial" w:cs="Arial" w:eastAsia="Arial" w:hAnsi="Arial"/>
          <w:sz w:val="18"/>
          <w:szCs w:val="18"/>
          <w:color w:val="auto"/>
        </w:rPr>
      </w:pPr>
      <w:r>
        <w:rPr>
          <w:rFonts w:ascii="Arial" w:cs="Arial" w:eastAsia="Arial" w:hAnsi="Arial"/>
          <w:sz w:val="18"/>
          <w:szCs w:val="18"/>
          <w:i w:val="1"/>
          <w:iCs w:val="1"/>
          <w:color w:val="auto"/>
        </w:rPr>
        <w:t xml:space="preserve">minus </w:t>
      </w:r>
      <w:r>
        <w:rPr>
          <w:rFonts w:ascii="Arial" w:cs="Arial" w:eastAsia="Arial" w:hAnsi="Arial"/>
          <w:sz w:val="18"/>
          <w:szCs w:val="18"/>
          <w:color w:val="auto"/>
        </w:rPr>
        <w:t>the RSU Compensation Fees,</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inclusive of all applicable Taxes (the “</w:t>
      </w:r>
      <w:r>
        <w:rPr>
          <w:rFonts w:ascii="Arial" w:cs="Arial" w:eastAsia="Arial" w:hAnsi="Arial"/>
          <w:sz w:val="18"/>
          <w:szCs w:val="18"/>
          <w:u w:val="single" w:color="auto"/>
          <w:color w:val="auto"/>
        </w:rPr>
        <w:t>Closing Examination Final Purchase Price</w:t>
      </w:r>
      <w:r>
        <w:rPr>
          <w:rFonts w:ascii="Arial" w:cs="Arial" w:eastAsia="Arial" w:hAnsi="Arial"/>
          <w:sz w:val="18"/>
          <w:szCs w:val="18"/>
          <w:color w:val="auto"/>
        </w:rPr>
        <w:t>”);</w:t>
      </w:r>
    </w:p>
    <w:p>
      <w:pPr>
        <w:spacing w:after="0" w:line="225" w:lineRule="exact"/>
        <w:rPr>
          <w:sz w:val="20"/>
          <w:szCs w:val="20"/>
          <w:color w:val="auto"/>
        </w:rPr>
      </w:pPr>
    </w:p>
    <w:p>
      <w:pPr>
        <w:ind w:left="1840"/>
        <w:spacing w:after="0" w:line="342" w:lineRule="auto"/>
        <w:rPr>
          <w:sz w:val="20"/>
          <w:szCs w:val="20"/>
          <w:color w:val="auto"/>
        </w:rPr>
      </w:pPr>
      <w:r>
        <w:rPr>
          <w:rFonts w:ascii="Arial" w:cs="Arial" w:eastAsia="Arial" w:hAnsi="Arial"/>
          <w:sz w:val="16"/>
          <w:szCs w:val="16"/>
          <w:color w:val="auto"/>
        </w:rPr>
        <w:t>in the cases of (i), (ii) and (iii), each calculated in accordance with the Calculation Principles. For clarity, references to the “Balance Sheet Date” in (i), (ii) and (iii) mean 11:59 pm on the Balance Sheet Date.</w:t>
      </w:r>
    </w:p>
    <w:p>
      <w:pPr>
        <w:spacing w:after="0" w:line="124" w:lineRule="exact"/>
        <w:rPr>
          <w:sz w:val="20"/>
          <w:szCs w:val="20"/>
          <w:color w:val="auto"/>
        </w:rPr>
      </w:pPr>
    </w:p>
    <w:p>
      <w:pPr>
        <w:ind w:left="200" w:right="20" w:firstLine="1293"/>
        <w:spacing w:after="0" w:line="271" w:lineRule="auto"/>
        <w:tabs>
          <w:tab w:leader="none" w:pos="2107"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Company shall, and the Purchaser shall cause each Group Company to, provide the Accounting Firm with reasonable access to all relevant books and records and other documents, personnel and representatives of the Group Companies and other items reasonably requested by the Accounting Firm in connection with the Closing Examination or for the purposes of delivering the Closing Statement, and such Parties shall otherwise reasonably cooperate with the Accounting Firm in connection therewith. The Seller shall, and shall cause its Affiliates to, upon written request from the Accounting Firm, promptly provide all documents in their possession that are necessary for the Accounting Firm to conduct the Closing Examination. Notwithstanding anything to the contrary contained in this Agreement, the fees and expenses of the Accounting Firm shall be borne by the Purchaser.</w:t>
      </w:r>
    </w:p>
    <w:p>
      <w:pPr>
        <w:spacing w:after="0" w:line="178" w:lineRule="exact"/>
        <w:rPr>
          <w:rFonts w:ascii="Arial" w:cs="Arial" w:eastAsia="Arial" w:hAnsi="Arial"/>
          <w:sz w:val="17"/>
          <w:szCs w:val="17"/>
          <w:color w:val="auto"/>
        </w:rPr>
      </w:pPr>
    </w:p>
    <w:p>
      <w:pPr>
        <w:ind w:left="200" w:right="20" w:firstLine="1293"/>
        <w:spacing w:after="0" w:line="255" w:lineRule="auto"/>
        <w:tabs>
          <w:tab w:leader="none" w:pos="209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Within five (5) Business Days after delivery of the Closing Statement, the Seller shall deliver a notice to the Purchaser confirming whether it agrees to the Accounting Firm’s calculation of the Closing Examination Final Purchase Price. If the Seller agrees to such calculation, then the Purchaser shall make the Second Installment Payment in accordance with </w:t>
      </w:r>
      <w:r>
        <w:rPr>
          <w:rFonts w:ascii="Arial" w:cs="Arial" w:eastAsia="Arial" w:hAnsi="Arial"/>
          <w:sz w:val="18"/>
          <w:szCs w:val="18"/>
          <w:u w:val="single" w:color="auto"/>
          <w:color w:val="auto"/>
        </w:rPr>
        <w:t>Section 2.7(f)</w:t>
      </w:r>
      <w:r>
        <w:rPr>
          <w:rFonts w:ascii="Arial" w:cs="Arial" w:eastAsia="Arial" w:hAnsi="Arial"/>
          <w:sz w:val="18"/>
          <w:szCs w:val="18"/>
          <w:color w:val="auto"/>
        </w:rPr>
        <w:t>. If the Seller disagrees with such calculation, any such notice of disagreement shall specify those items or amounts as to which the Seller disagrees, and the Seller shall be deemed to have agreed with all other items and amounts contained in the Closing Statement.</w:t>
      </w:r>
    </w:p>
    <w:p>
      <w:pPr>
        <w:spacing w:after="0" w:line="192" w:lineRule="exact"/>
        <w:rPr>
          <w:rFonts w:ascii="Arial" w:cs="Arial" w:eastAsia="Arial" w:hAnsi="Arial"/>
          <w:sz w:val="18"/>
          <w:szCs w:val="18"/>
          <w:color w:val="auto"/>
        </w:rPr>
      </w:pPr>
    </w:p>
    <w:p>
      <w:pPr>
        <w:ind w:left="200" w:right="160" w:firstLine="1293"/>
        <w:spacing w:after="0" w:line="291" w:lineRule="auto"/>
        <w:tabs>
          <w:tab w:leader="none" w:pos="211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If a notice of disagreement is duly delivered pursuant to </w:t>
      </w:r>
      <w:r>
        <w:rPr>
          <w:rFonts w:ascii="Arial" w:cs="Arial" w:eastAsia="Arial" w:hAnsi="Arial"/>
          <w:sz w:val="16"/>
          <w:szCs w:val="16"/>
          <w:u w:val="single" w:color="auto"/>
          <w:color w:val="auto"/>
        </w:rPr>
        <w:t>Section 2.7(c)</w:t>
      </w:r>
      <w:r>
        <w:rPr>
          <w:rFonts w:ascii="Arial" w:cs="Arial" w:eastAsia="Arial" w:hAnsi="Arial"/>
          <w:sz w:val="16"/>
          <w:szCs w:val="16"/>
          <w:color w:val="auto"/>
        </w:rPr>
        <w:t>, the Purchaser and the Seller shall, during the ten (10) Business Days following such delivery, use their reasonable best efforts to reach agreement on the disputed items or amounts in order to determine the amount of the Final Purchase Price. If the Purchaser and the Seller are unable to reach such agreement during such period, they shall jointly engage another Big Four (other than PricewaterhouseCoopers, the Accounting Firm and their respective Affiliates) (the “</w:t>
      </w:r>
      <w:r>
        <w:rPr>
          <w:rFonts w:ascii="Arial" w:cs="Arial" w:eastAsia="Arial" w:hAnsi="Arial"/>
          <w:sz w:val="16"/>
          <w:szCs w:val="16"/>
          <w:u w:val="single" w:color="auto"/>
          <w:color w:val="auto"/>
        </w:rPr>
        <w:t>Review Firm</w:t>
      </w:r>
      <w:r>
        <w:rPr>
          <w:rFonts w:ascii="Arial" w:cs="Arial" w:eastAsia="Arial" w:hAnsi="Arial"/>
          <w:sz w:val="16"/>
          <w:szCs w:val="16"/>
          <w:color w:val="auto"/>
        </w:rPr>
        <w:t>”) to promptly review this Agreement and the disputed items or amounts for the purpose of calculating the Final Purchase Price in accordance with the Calculation Principles. In making such calculation, the Review Firm shall consider only those items or amounts</w:t>
      </w:r>
    </w:p>
    <w:p>
      <w:pPr>
        <w:spacing w:after="0" w:line="38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21" w:name="page322"/>
    <w:bookmarkEnd w:id="321"/>
    <w:p>
      <w:pPr>
        <w:ind w:left="660" w:right="160"/>
        <w:spacing w:after="0" w:line="289" w:lineRule="auto"/>
        <w:rPr>
          <w:sz w:val="20"/>
          <w:szCs w:val="20"/>
          <w:color w:val="auto"/>
        </w:rPr>
      </w:pPr>
      <w:r>
        <w:rPr>
          <w:rFonts w:ascii="Arial" w:cs="Arial" w:eastAsia="Arial" w:hAnsi="Arial"/>
          <w:sz w:val="16"/>
          <w:szCs w:val="16"/>
          <w:color w:val="auto"/>
        </w:rPr>
        <w:t>as to which the Seller has disagreed. The Seller and the Purchaser shall cause the Review Firm to deliver to the Purchaser and the Seller, as promptly as practicable (but in no event later than 30 days from its engagement), a report setting forth its calculation of each of the disputed items and resulting calculation of the Closing Examination Final Purchase Price. In resolving any disputed item, the Review Firm may not assign a value to any item greater than the greatest value for such item claimed by either Party or less than the smallest value for such item claimed by either Party. Such report shall be final and binding upon the Purchaser and the Seller. The fees and expenses of the Review Firm shall be borne by the Seller, on the one hand, and/or the Purchaser, on the other hand proportionately, based on the amount assigned by each Party to items in dispute, on a net basis, relative to the amount finally determined by the Review Firm (or equally in the event the Parties’ assigned amounts were, on a net basis, equally far from the amount finally determined by the Review Firm).</w:t>
      </w:r>
    </w:p>
    <w:p>
      <w:pPr>
        <w:spacing w:after="0" w:line="166" w:lineRule="exact"/>
        <w:rPr>
          <w:sz w:val="20"/>
          <w:szCs w:val="20"/>
          <w:color w:val="auto"/>
        </w:rPr>
      </w:pPr>
    </w:p>
    <w:p>
      <w:pPr>
        <w:ind w:left="2560" w:hanging="607"/>
        <w:spacing w:after="0"/>
        <w:tabs>
          <w:tab w:leader="none" w:pos="25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Closing Examination Final Purchase Price as finally determined in accordance with</w:t>
      </w:r>
    </w:p>
    <w:p>
      <w:pPr>
        <w:spacing w:after="0" w:line="23" w:lineRule="exact"/>
        <w:rPr>
          <w:sz w:val="20"/>
          <w:szCs w:val="20"/>
          <w:color w:val="auto"/>
        </w:rPr>
      </w:pPr>
    </w:p>
    <w:p>
      <w:pPr>
        <w:ind w:left="660"/>
        <w:spacing w:after="0" w:line="253" w:lineRule="auto"/>
        <w:rPr>
          <w:sz w:val="20"/>
          <w:szCs w:val="20"/>
          <w:color w:val="auto"/>
        </w:rPr>
      </w:pPr>
      <w:r>
        <w:rPr>
          <w:rFonts w:ascii="Arial" w:cs="Arial" w:eastAsia="Arial" w:hAnsi="Arial"/>
          <w:sz w:val="18"/>
          <w:szCs w:val="18"/>
          <w:u w:val="single" w:color="auto"/>
          <w:color w:val="auto"/>
        </w:rPr>
        <w:t>Section 2.7(a)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2.7(d)</w:t>
      </w:r>
      <w:r>
        <w:rPr>
          <w:rFonts w:ascii="Arial" w:cs="Arial" w:eastAsia="Arial" w:hAnsi="Arial"/>
          <w:sz w:val="18"/>
          <w:szCs w:val="18"/>
          <w:color w:val="auto"/>
        </w:rPr>
        <w:t>, based on (i) the calculations of the Accounting Firm (if not disputed by the Seller), (ii) the agreement of the Seller and the Purchaser, or (iii) the determination of the Review Firm, as the case may be, is referred to herein as the “</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and the date of such final determination, is referred to herein as the “</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Determination Date</w:t>
      </w:r>
      <w:r>
        <w:rPr>
          <w:rFonts w:ascii="Arial" w:cs="Arial" w:eastAsia="Arial" w:hAnsi="Arial"/>
          <w:sz w:val="18"/>
          <w:szCs w:val="18"/>
          <w:color w:val="auto"/>
        </w:rPr>
        <w:t>”)</w:t>
      </w:r>
    </w:p>
    <w:p>
      <w:pPr>
        <w:spacing w:after="0" w:line="193" w:lineRule="exact"/>
        <w:rPr>
          <w:sz w:val="20"/>
          <w:szCs w:val="20"/>
          <w:color w:val="auto"/>
        </w:rPr>
      </w:pPr>
    </w:p>
    <w:p>
      <w:pPr>
        <w:ind w:left="660" w:right="20" w:firstLine="1293"/>
        <w:spacing w:after="0" w:line="270" w:lineRule="auto"/>
        <w:tabs>
          <w:tab w:leader="none" w:pos="2541" w:val="left"/>
        </w:tabs>
        <w:numPr>
          <w:ilvl w:val="0"/>
          <w:numId w:val="208"/>
        </w:numPr>
        <w:rPr>
          <w:rFonts w:ascii="Arial" w:cs="Arial" w:eastAsia="Arial" w:hAnsi="Arial"/>
          <w:sz w:val="17"/>
          <w:szCs w:val="17"/>
          <w:color w:val="auto"/>
        </w:rPr>
      </w:pPr>
      <w:r>
        <w:rPr>
          <w:rFonts w:ascii="Arial" w:cs="Arial" w:eastAsia="Arial" w:hAnsi="Arial"/>
          <w:sz w:val="17"/>
          <w:szCs w:val="17"/>
          <w:color w:val="auto"/>
        </w:rPr>
        <w:t>On the fifth (5</w:t>
      </w:r>
      <w:r>
        <w:rPr>
          <w:rFonts w:ascii="Arial" w:cs="Arial" w:eastAsia="Arial" w:hAnsi="Arial"/>
          <w:sz w:val="10"/>
          <w:szCs w:val="10"/>
          <w:color w:val="auto"/>
        </w:rPr>
        <w:t>th</w:t>
      </w:r>
      <w:r>
        <w:rPr>
          <w:rFonts w:ascii="Arial" w:cs="Arial" w:eastAsia="Arial" w:hAnsi="Arial"/>
          <w:sz w:val="17"/>
          <w:szCs w:val="17"/>
          <w:color w:val="auto"/>
        </w:rPr>
        <w:t>) Business Day after the Final Purchase Price Determination Date (such date, the “</w:t>
      </w:r>
      <w:r>
        <w:rPr>
          <w:rFonts w:ascii="Arial" w:cs="Arial" w:eastAsia="Arial" w:hAnsi="Arial"/>
          <w:sz w:val="17"/>
          <w:szCs w:val="17"/>
          <w:u w:val="single" w:color="auto"/>
          <w:color w:val="auto"/>
        </w:rPr>
        <w:t>Second Installment Payment Date</w:t>
      </w:r>
      <w:r>
        <w:rPr>
          <w:rFonts w:ascii="Arial" w:cs="Arial" w:eastAsia="Arial" w:hAnsi="Arial"/>
          <w:sz w:val="17"/>
          <w:szCs w:val="17"/>
          <w:color w:val="auto"/>
        </w:rPr>
        <w:t xml:space="preserve">”) and subject to the Seller’s fulfillment of each of the Second Installment Payment Conditions prior to such date, the Purchaser shall deliver or cause to be delivered to the Seller an amount that equals (i) the Final Purchase Price,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First Installment Payment,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(iii) the Indemnity Withheld Amount, by wire transfer of immediately available funds in US$ to the Seller’s designated bank account (the “</w:t>
      </w:r>
      <w:r>
        <w:rPr>
          <w:rFonts w:ascii="Arial" w:cs="Arial" w:eastAsia="Arial" w:hAnsi="Arial"/>
          <w:sz w:val="17"/>
          <w:szCs w:val="17"/>
          <w:u w:val="single" w:color="auto"/>
          <w:color w:val="auto"/>
        </w:rPr>
        <w:t>Second Installment Payment</w:t>
      </w:r>
      <w:r>
        <w:rPr>
          <w:rFonts w:ascii="Arial" w:cs="Arial" w:eastAsia="Arial" w:hAnsi="Arial"/>
          <w:sz w:val="17"/>
          <w:szCs w:val="17"/>
          <w:color w:val="auto"/>
        </w:rPr>
        <w:t>”), provided, that, in the event that any Second Installment Payment Condition is not satisfied by the Second Installment Payment Date and the Second Installment Payment is not made on the Second Installment Payment Date as a result thereof, the Purchaser shall make the Second Installment Payment to the Seller within five (5) Business Days following the satisfaction of the last Second Installment Payment Condition to be satisfied.</w:t>
      </w:r>
    </w:p>
    <w:p>
      <w:pPr>
        <w:spacing w:after="0" w:line="181"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Repayment of Shareholder Loans</w:t>
      </w:r>
      <w:r>
        <w:rPr>
          <w:rFonts w:ascii="Arial" w:cs="Arial" w:eastAsia="Arial" w:hAnsi="Arial"/>
          <w:sz w:val="17"/>
          <w:szCs w:val="17"/>
          <w:color w:val="auto"/>
        </w:rPr>
        <w:t xml:space="preserve">. The Purchaser shall, or shall cause the relevant Group Companies to, fully repay (a) the Onshore Shareholder Loans within five (5) Business Days after the Closing Date, and (b) the Offshore Shareholder Loans within five (5) Business Days after it receives the Seller’s notice in accordance with </w:t>
      </w:r>
      <w:r>
        <w:rPr>
          <w:rFonts w:ascii="Arial" w:cs="Arial" w:eastAsia="Arial" w:hAnsi="Arial"/>
          <w:sz w:val="17"/>
          <w:szCs w:val="17"/>
          <w:u w:val="single" w:color="auto"/>
          <w:color w:val="auto"/>
        </w:rPr>
        <w:t>Section 2.7(c)</w:t>
      </w:r>
      <w:r>
        <w:rPr>
          <w:rFonts w:ascii="Arial" w:cs="Arial" w:eastAsia="Arial" w:hAnsi="Arial"/>
          <w:sz w:val="17"/>
          <w:szCs w:val="17"/>
          <w:color w:val="auto"/>
        </w:rPr>
        <w:t>, regardless of whether the Seller agrees or disagrees with the Accounting Firm’s calculation of the Closing Examination Final Purchase Price.</w:t>
      </w:r>
    </w:p>
    <w:p>
      <w:pPr>
        <w:spacing w:after="0" w:line="171"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Release of the Indemnity Withheld Amount</w:t>
      </w:r>
      <w:r>
        <w:rPr>
          <w:rFonts w:ascii="Arial" w:cs="Arial" w:eastAsia="Arial" w:hAnsi="Arial"/>
          <w:sz w:val="17"/>
          <w:szCs w:val="17"/>
          <w:color w:val="auto"/>
        </w:rPr>
        <w:t>. On the second (2</w:t>
      </w:r>
      <w:r>
        <w:rPr>
          <w:rFonts w:ascii="Arial" w:cs="Arial" w:eastAsia="Arial" w:hAnsi="Arial"/>
          <w:sz w:val="10"/>
          <w:szCs w:val="10"/>
          <w:color w:val="auto"/>
        </w:rPr>
        <w:t>nd</w:t>
      </w:r>
      <w:r>
        <w:rPr>
          <w:rFonts w:ascii="Arial" w:cs="Arial" w:eastAsia="Arial" w:hAnsi="Arial"/>
          <w:sz w:val="17"/>
          <w:szCs w:val="17"/>
          <w:color w:val="auto"/>
        </w:rPr>
        <w:t xml:space="preserve">) anniversary of the Closing Date, the Purchaser shall pay to the Seller such amount that equals (i) the remaining Indemnity Withheld Amount (after deducting all amounts required to be paid or reimbursed by the Seller hereunder out of the Indemnity Withheld Amount, including without limitation, those specified in </w:t>
      </w:r>
      <w:r>
        <w:rPr>
          <w:rFonts w:ascii="Arial" w:cs="Arial" w:eastAsia="Arial" w:hAnsi="Arial"/>
          <w:sz w:val="17"/>
          <w:szCs w:val="17"/>
          <w:u w:val="single" w:color="auto"/>
          <w:color w:val="auto"/>
        </w:rPr>
        <w:t>Section 2.7(a)(iv)(E)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if any,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the aggregate amount of claimed Losses (each, a “</w:t>
      </w:r>
      <w:r>
        <w:rPr>
          <w:rFonts w:ascii="Arial" w:cs="Arial" w:eastAsia="Arial" w:hAnsi="Arial"/>
          <w:sz w:val="17"/>
          <w:szCs w:val="17"/>
          <w:u w:val="single" w:color="auto"/>
          <w:color w:val="auto"/>
        </w:rPr>
        <w:t>Reserved Loss</w:t>
      </w:r>
      <w:r>
        <w:rPr>
          <w:rFonts w:ascii="Arial" w:cs="Arial" w:eastAsia="Arial" w:hAnsi="Arial"/>
          <w:sz w:val="17"/>
          <w:szCs w:val="17"/>
          <w:color w:val="auto"/>
        </w:rPr>
        <w:t>”) for which a claim for indemnification has been validly asserted but not yet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22" w:name="page323"/>
    <w:bookmarkEnd w:id="322"/>
    <w:p>
      <w:pPr>
        <w:spacing w:after="0" w:line="257" w:lineRule="auto"/>
        <w:rPr>
          <w:sz w:val="20"/>
          <w:szCs w:val="20"/>
          <w:color w:val="auto"/>
        </w:rPr>
      </w:pPr>
      <w:r>
        <w:rPr>
          <w:rFonts w:ascii="Arial" w:cs="Arial" w:eastAsia="Arial" w:hAnsi="Arial"/>
          <w:sz w:val="18"/>
          <w:szCs w:val="18"/>
          <w:color w:val="auto"/>
        </w:rPr>
        <w:t>finally resolved or determined (each, an “</w:t>
      </w:r>
      <w:r>
        <w:rPr>
          <w:rFonts w:ascii="Arial" w:cs="Arial" w:eastAsia="Arial" w:hAnsi="Arial"/>
          <w:sz w:val="18"/>
          <w:szCs w:val="18"/>
          <w:u w:val="single" w:color="auto"/>
          <w:color w:val="auto"/>
        </w:rPr>
        <w:t>Unresolved Claim</w:t>
      </w:r>
      <w:r>
        <w:rPr>
          <w:rFonts w:ascii="Arial" w:cs="Arial" w:eastAsia="Arial" w:hAnsi="Arial"/>
          <w:sz w:val="18"/>
          <w:szCs w:val="18"/>
          <w:color w:val="auto"/>
        </w:rPr>
        <w:t>”) as of such date. At any time following such date, upon final resolution of any Unresolved Claim and to the extent that it is finally determined that no Purchaser Indemnitee is entitled to any portion of the corresponding Reserved Loss (such portion, the “</w:t>
      </w:r>
      <w:r>
        <w:rPr>
          <w:rFonts w:ascii="Arial" w:cs="Arial" w:eastAsia="Arial" w:hAnsi="Arial"/>
          <w:sz w:val="18"/>
          <w:szCs w:val="18"/>
          <w:u w:val="single" w:color="auto"/>
          <w:color w:val="auto"/>
        </w:rPr>
        <w:t>Released Portion</w:t>
      </w:r>
      <w:r>
        <w:rPr>
          <w:rFonts w:ascii="Arial" w:cs="Arial" w:eastAsia="Arial" w:hAnsi="Arial"/>
          <w:sz w:val="18"/>
          <w:szCs w:val="18"/>
          <w:color w:val="auto"/>
        </w:rPr>
        <w:t>”), the Purchaser shall, within five (5) Business Days following such final resolution, release to the Seller, from the Indemnity Withheld Amount, an amount equal to the lesser of (A) the remaining Indemnity Withheld Amount, and (B) the Released Portion.</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60"/>
          </w:cols>
          <w:pgMar w:left="980" w:top="125" w:right="115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with Respect to Group Companies</w:t>
      </w:r>
    </w:p>
    <w:p>
      <w:pPr>
        <w:spacing w:after="0" w:line="225" w:lineRule="exact"/>
        <w:rPr>
          <w:sz w:val="20"/>
          <w:szCs w:val="20"/>
          <w:color w:val="auto"/>
        </w:rPr>
      </w:pPr>
    </w:p>
    <w:p>
      <w:pPr>
        <w:ind w:right="40" w:firstLine="1296"/>
        <w:spacing w:after="0" w:line="255" w:lineRule="auto"/>
        <w:rPr>
          <w:sz w:val="20"/>
          <w:szCs w:val="20"/>
          <w:color w:val="auto"/>
        </w:rPr>
      </w:pPr>
      <w:r>
        <w:rPr>
          <w:rFonts w:ascii="Arial" w:cs="Arial" w:eastAsia="Arial" w:hAnsi="Arial"/>
          <w:sz w:val="18"/>
          <w:szCs w:val="18"/>
          <w:color w:val="auto"/>
        </w:rPr>
        <w:t xml:space="preserve">Subject to such exceptions as may be specifically set forth in the Disclosure Schedule (it being agreed that disclosure of any item in any section or subsection of the Disclosure Letter shall be deemed disclosure with respect to any other section or subsection therein to which the relevance of such item is readily apparent on its face based on a plain reading of such disclosure), each of the Warrantors, severally and jointly, represents and warrants to the Purchaser that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correct and complete as of the date hereof and as of the Closing (unless any representations and warranties expressly relate to another date, in which case as of such other date).</w:t>
      </w:r>
    </w:p>
    <w:p>
      <w:pPr>
        <w:spacing w:after="0" w:line="192" w:lineRule="exact"/>
        <w:rPr>
          <w:sz w:val="20"/>
          <w:szCs w:val="20"/>
          <w:color w:val="auto"/>
        </w:rPr>
      </w:pPr>
    </w:p>
    <w:p>
      <w:pPr>
        <w:ind w:right="20" w:firstLine="1296"/>
        <w:spacing w:after="0" w:line="271"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The Company (i) is a company duly organized, validly existing and in good standing under the Laws of the Cayman Islands, (ii) has all requisite corporate power and authority to own, lease and operate its properties and to carry on its Business as now conducted, and (iii) is duly qualified or authorized to do Business and is in good standing under the laws of each jurisdiction in which the conduct of its Business or the ownership of its properties requires such qualification or authorization, except in the case of clause (iii) where the failure to be so qualified or in good standing, or to have such power or authority, would not, individually or in the aggregate, reasonably be likely to have a Material Adverse Effect. Complete and correct copies of the Existing Articles, which are in full force and effect as of the date hereof and as of the Closing and which have not been amended in any way, have been made available to the Purchaser.</w:t>
      </w:r>
    </w:p>
    <w:p>
      <w:pPr>
        <w:spacing w:after="0" w:line="178"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Authorization</w:t>
      </w:r>
      <w:r>
        <w:rPr>
          <w:rFonts w:ascii="Arial" w:cs="Arial" w:eastAsia="Arial" w:hAnsi="Arial"/>
          <w:sz w:val="17"/>
          <w:szCs w:val="17"/>
          <w:color w:val="auto"/>
        </w:rPr>
        <w:t>. The Company has all requisite power and authority to execute and deliver this Agreement and the other Transaction Documents to which the Company is a party, to perform its obligations hereunder and thereunder and to consummate the transactions contemplated hereby and thereby. The execution and delivery of this Agreement and the other Transaction Documents to which the Company is a party and the consummation of the transactions contemplated hereby and thereby have been duly authorized by all requisite corporate action on the part of the Company. This Agreement has been, and each of the other Transaction Documents to which the Company is a party will be at or prior to the Closing, duly and validly executed and delivered by the Company and (assuming the due authorization, execution and delivery by the other parties hereto and thereto) this Agreement constitutes, and the other Transaction Documents to which the Company is a party will constitute, the legal, valid and binding obligations of the Company, enforceable against it in accordance with their respective terms, subject to bankruptcy, insolvency, reorganization, moratorium and similar Laws of general applicability relating to or affecting creditors’ rights and as limited by Laws relating to general equitable remedies.</w:t>
      </w:r>
    </w:p>
    <w:p>
      <w:pPr>
        <w:spacing w:after="0" w:line="182"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Conflicts; Consents of Third Parties</w:t>
      </w:r>
      <w:r>
        <w:rPr>
          <w:rFonts w:ascii="Arial" w:cs="Arial" w:eastAsia="Arial" w:hAnsi="Arial"/>
          <w:sz w:val="16"/>
          <w:szCs w:val="16"/>
          <w:color w:val="auto"/>
        </w:rPr>
        <w:t>.</w:t>
      </w:r>
    </w:p>
    <w:p>
      <w:pPr>
        <w:spacing w:after="0" w:line="225" w:lineRule="exact"/>
        <w:rPr>
          <w:sz w:val="20"/>
          <w:szCs w:val="20"/>
          <w:color w:val="auto"/>
        </w:rPr>
      </w:pPr>
    </w:p>
    <w:p>
      <w:pPr>
        <w:ind w:left="660" w:right="60" w:firstLine="1293"/>
        <w:spacing w:after="0" w:line="255" w:lineRule="auto"/>
        <w:tabs>
          <w:tab w:leader="none" w:pos="260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3.3(a)</w:t>
      </w:r>
      <w:r>
        <w:rPr>
          <w:rFonts w:ascii="Arial" w:cs="Arial" w:eastAsia="Arial" w:hAnsi="Arial"/>
          <w:sz w:val="18"/>
          <w:szCs w:val="18"/>
          <w:color w:val="auto"/>
        </w:rPr>
        <w:t xml:space="preserve"> of the Disclosure Schedule, none of the execution, delivery and performance by the Company of this Agreement or the other Transaction Documents to which the Company is a party, the consummation of the transactions contemplated hereby or thereby, or compliance by the Company with any of the provisions hereof or thereof will breach or conflict with, or result in any violation of or default (with or without notice or lapse of time, or both) or loss of a benefit under, or give rise to a right of termination, consent or cancellation or increase in any fee, liability or obligation under, any provision of (i)</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4" w:name="page325"/>
    <w:bookmarkEnd w:id="324"/>
    <w:p>
      <w:pPr>
        <w:ind w:left="200" w:right="60"/>
        <w:spacing w:after="0" w:line="275" w:lineRule="auto"/>
        <w:rPr>
          <w:sz w:val="20"/>
          <w:szCs w:val="20"/>
          <w:color w:val="auto"/>
        </w:rPr>
      </w:pPr>
      <w:r>
        <w:rPr>
          <w:rFonts w:ascii="Arial" w:cs="Arial" w:eastAsia="Arial" w:hAnsi="Arial"/>
          <w:sz w:val="17"/>
          <w:szCs w:val="17"/>
          <w:color w:val="auto"/>
        </w:rPr>
        <w:t>the Existing Articles or the memorandum and articles of association or comparable organizational documents of any other Group Company; (ii) any Material Contract or Required License; (iii) any Order applicable to any Group Company or by which any of the properties or assets of any Group Company are bound; or (iv) any applicable Law, except, in the case of subsection (ii), (iii) or (iv) above, for any such breach, violation, termination, default, consent, cancellation or increase that would not, individually or in the aggregate, reasonably be likely to have a Material Adverse Effect.</w:t>
      </w:r>
    </w:p>
    <w:p>
      <w:pPr>
        <w:spacing w:after="0" w:line="176" w:lineRule="exact"/>
        <w:rPr>
          <w:sz w:val="20"/>
          <w:szCs w:val="20"/>
          <w:color w:val="auto"/>
        </w:rPr>
      </w:pPr>
    </w:p>
    <w:p>
      <w:pPr>
        <w:ind w:left="200" w:firstLine="1293"/>
        <w:spacing w:after="0" w:line="279" w:lineRule="auto"/>
        <w:tabs>
          <w:tab w:leader="none" w:pos="216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No consent, waiver, approval, Order, Permit or authorization of, or declaration or filing with, or notification to, any Government Authority or any other Person is required on the part of any Group Company in connection with the execution and delivery of this Agreement or the other Transaction Documents or the compliance by the Company with any of the provisions hereof or thereof, or the consummation of the transactions contemplated hereby or thereby.</w:t>
      </w:r>
    </w:p>
    <w:p>
      <w:pPr>
        <w:spacing w:after="0" w:line="171"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200" w:right="400" w:firstLine="1293"/>
        <w:spacing w:after="0" w:line="301" w:lineRule="auto"/>
        <w:tabs>
          <w:tab w:leader="none" w:pos="2097" w:val="left"/>
        </w:tabs>
        <w:numPr>
          <w:ilvl w:val="0"/>
          <w:numId w:val="211"/>
        </w:numPr>
        <w:rPr>
          <w:rFonts w:ascii="Arial" w:cs="Arial" w:eastAsia="Arial" w:hAnsi="Arial"/>
          <w:sz w:val="16"/>
          <w:szCs w:val="16"/>
          <w:color w:val="auto"/>
        </w:rPr>
      </w:pPr>
      <w:r>
        <w:rPr>
          <w:rFonts w:ascii="Arial" w:cs="Arial" w:eastAsia="Arial" w:hAnsi="Arial"/>
          <w:sz w:val="16"/>
          <w:szCs w:val="16"/>
          <w:color w:val="auto"/>
        </w:rPr>
        <w:t>The authorised share capital of the Company consists of US$50,000 divided into 100,000,000 authorized Ordinary Shares of a par value of US$0.0005 each, of which 85,000,000 Shares are issued and outstanding, and 15,000,000 Shares have been reserved for issuance to officers, directors, employees, consultants or service providers of the Company pursuant to the Company Share Incentive Plan as of the date hereof.</w:t>
      </w:r>
    </w:p>
    <w:p>
      <w:pPr>
        <w:spacing w:after="0" w:line="157" w:lineRule="exact"/>
        <w:rPr>
          <w:rFonts w:ascii="Arial" w:cs="Arial" w:eastAsia="Arial" w:hAnsi="Arial"/>
          <w:sz w:val="16"/>
          <w:szCs w:val="16"/>
          <w:color w:val="auto"/>
        </w:rPr>
      </w:pPr>
    </w:p>
    <w:p>
      <w:pPr>
        <w:ind w:left="200" w:right="480" w:firstLine="1293"/>
        <w:spacing w:after="0" w:line="277" w:lineRule="auto"/>
        <w:tabs>
          <w:tab w:leader="none" w:pos="2101"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All of the issued and outstanding Shares are duly authorized, validly issued, fully paid and non-assessable. All issued and outstanding Company Share Awards are duly authorized.</w:t>
      </w:r>
    </w:p>
    <w:p>
      <w:pPr>
        <w:spacing w:after="0" w:line="170" w:lineRule="exact"/>
        <w:rPr>
          <w:rFonts w:ascii="Arial" w:cs="Arial" w:eastAsia="Arial" w:hAnsi="Arial"/>
          <w:sz w:val="18"/>
          <w:szCs w:val="18"/>
          <w:color w:val="auto"/>
        </w:rPr>
      </w:pPr>
    </w:p>
    <w:p>
      <w:pPr>
        <w:ind w:left="200" w:right="120" w:firstLine="1293"/>
        <w:spacing w:after="0" w:line="284" w:lineRule="auto"/>
        <w:tabs>
          <w:tab w:leader="none" w:pos="2114"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D-1</w:t>
      </w:r>
      <w:r>
        <w:rPr>
          <w:rFonts w:ascii="Arial" w:cs="Arial" w:eastAsia="Arial" w:hAnsi="Arial"/>
          <w:sz w:val="16"/>
          <w:szCs w:val="16"/>
          <w:color w:val="auto"/>
        </w:rPr>
        <w:t xml:space="preserve"> hereto and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hereto, when taken as a whole, set forth a complete and accurate list of (i) all of the holders of any issued and outstanding Company Share Award, indicating the total number of issued and outstanding Company Share Awards and, for each such holder, the name (redacted for the purposes of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hereto), number, type, grant date, vesting schedule and status (as of the date hereof and as of the Closing) and exercise price of the Company Share Awards of such holder.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D-1</w:t>
      </w:r>
      <w:r>
        <w:rPr>
          <w:rFonts w:ascii="Arial" w:cs="Arial" w:eastAsia="Arial" w:hAnsi="Arial"/>
          <w:sz w:val="16"/>
          <w:szCs w:val="16"/>
          <w:color w:val="auto"/>
        </w:rPr>
        <w:t xml:space="preserve"> hereto sets forth a complete and accurate list of all of the Group Companies’ employees that have been granted the NetEase RSUs which are unvested as of the Closing, indicating the name, number, type, grant date and vesting schedule for each such holder. Except as described in</w:t>
      </w:r>
    </w:p>
    <w:p>
      <w:pPr>
        <w:spacing w:after="0" w:line="2" w:lineRule="exact"/>
        <w:rPr>
          <w:rFonts w:ascii="Arial" w:cs="Arial" w:eastAsia="Arial" w:hAnsi="Arial"/>
          <w:sz w:val="16"/>
          <w:szCs w:val="16"/>
          <w:color w:val="auto"/>
        </w:rPr>
      </w:pPr>
    </w:p>
    <w:p>
      <w:pPr>
        <w:ind w:left="200" w:right="40"/>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and except as set forth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hereto, there are no outstanding Shares, any other shares or equity of the Company, or any securities convertible into or exercisable or exchangeable for any of the foregoing, or any other options, warrants, rights (including conversion or preemptive rights and rights of first refusal), subscriptions, or other rights, proxy or shareholders agreements or Contracts of any kind, either directly or indirectly, entitling the holder thereof to purchase or otherwise acquire or to compel the Company to issue, repurchase or redeem any share or other securities of the Company. Except as contemplated by the Transaction Documents, the Company is not a party or subject to any Contract that affects or relates to the voting or giving of written consents with respect to, or the right to cause the registration of, any share or other security of the Company. As of the Closing, the Company Share Incentive</w:t>
      </w:r>
    </w:p>
    <w:p>
      <w:pPr>
        <w:spacing w:after="0" w:line="3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25" w:name="page326"/>
    <w:bookmarkEnd w:id="325"/>
    <w:p>
      <w:pPr>
        <w:ind w:left="200"/>
        <w:spacing w:after="0"/>
        <w:rPr>
          <w:sz w:val="20"/>
          <w:szCs w:val="20"/>
          <w:color w:val="auto"/>
        </w:rPr>
      </w:pPr>
      <w:r>
        <w:rPr>
          <w:rFonts w:ascii="Arial" w:cs="Arial" w:eastAsia="Arial" w:hAnsi="Arial"/>
          <w:sz w:val="18"/>
          <w:szCs w:val="18"/>
          <w:color w:val="auto"/>
        </w:rPr>
        <w:t>Plan shall have been terminated and all the Company Share Awards shall have been cancelled.</w:t>
      </w:r>
    </w:p>
    <w:p>
      <w:pPr>
        <w:spacing w:after="0" w:line="225"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Group Companies</w:t>
      </w:r>
      <w:r>
        <w:rPr>
          <w:rFonts w:ascii="Arial" w:cs="Arial" w:eastAsia="Arial" w:hAnsi="Arial"/>
          <w:sz w:val="16"/>
          <w:szCs w:val="16"/>
          <w:color w:val="auto"/>
        </w:rPr>
        <w:t>.</w:t>
      </w:r>
    </w:p>
    <w:p>
      <w:pPr>
        <w:spacing w:after="0" w:line="225" w:lineRule="exact"/>
        <w:rPr>
          <w:sz w:val="20"/>
          <w:szCs w:val="20"/>
          <w:color w:val="auto"/>
        </w:rPr>
      </w:pPr>
    </w:p>
    <w:p>
      <w:pPr>
        <w:ind w:left="200" w:right="20" w:firstLine="1293"/>
        <w:spacing w:after="0" w:line="283" w:lineRule="auto"/>
        <w:tabs>
          <w:tab w:leader="none" w:pos="2114"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of the Disclosure Schedule sets forth a complete and accurate list of the Group Companies (other than the Company) and, for each such Group Company, its name, the jurisdiction in which it is incorporated or organized, the names of its shareholders and the amount of share capital or other equity interest in such Group Company held by each such shareholder. Each such Group Company (i) is a duly organized and validly existing company or other entity and, where applicable, in good standing under the laws of the jurisdiction of its incorporation or organization; (ii) is duly qualified or authorized to do Business as a foreign corporation or entity and, where applicable, is in good standing under the laws of each jurisdiction in which the conduct of its Business or the ownership of its properties requires such qualification or authorization; and (iii) has all requisite corporate or entity power and authority to own, lease and operate its properties and carry on its Business as now conducted. Except as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of the Disclosure Schedule, none of the Group Companies is a participant in any joint venture, partnership or other similar arrangement, or otherwise owns or Controls (directly or indirectly) any share or interest in any Person. Except as disclosed in </w:t>
      </w:r>
      <w:r>
        <w:rPr>
          <w:rFonts w:ascii="Arial" w:cs="Arial" w:eastAsia="Arial" w:hAnsi="Arial"/>
          <w:sz w:val="16"/>
          <w:szCs w:val="16"/>
          <w:u w:val="single" w:color="auto"/>
          <w:color w:val="auto"/>
        </w:rPr>
        <w:t>Section 3.5(a)</w:t>
      </w:r>
      <w:r>
        <w:rPr>
          <w:rFonts w:ascii="Arial" w:cs="Arial" w:eastAsia="Arial" w:hAnsi="Arial"/>
          <w:sz w:val="16"/>
          <w:szCs w:val="16"/>
          <w:color w:val="auto"/>
        </w:rPr>
        <w:t xml:space="preserve"> of the Disclosure Schedule, the Group Companies do</w:t>
      </w:r>
    </w:p>
    <w:p>
      <w:pPr>
        <w:spacing w:after="0" w:line="3"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7"/>
          <w:szCs w:val="17"/>
          <w:color w:val="auto"/>
        </w:rPr>
        <w:t>not maintain any office or branch. As of the date of this Agreement, Amber Wings Limited, Hangzhou Youmai Technology</w:t>
      </w:r>
    </w:p>
    <w:p>
      <w:pPr>
        <w:spacing w:after="0" w:line="206"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Co., Ltd. Suzhou Branch ( ), Shanghai Wangzhixiong Trading Co., Ltd. ( ) and Hangzhou Anbao E-commerce Co., Ltd. ( ) have not engaged in any business operations.</w:t>
      </w:r>
    </w:p>
    <w:p>
      <w:pPr>
        <w:spacing w:after="0" w:line="170" w:lineRule="exact"/>
        <w:rPr>
          <w:sz w:val="20"/>
          <w:szCs w:val="20"/>
          <w:color w:val="auto"/>
        </w:rPr>
      </w:pPr>
    </w:p>
    <w:p>
      <w:pPr>
        <w:ind w:left="200" w:firstLine="1293"/>
        <w:spacing w:after="0" w:line="269" w:lineRule="auto"/>
        <w:tabs>
          <w:tab w:leader="none" w:pos="207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Section 3.5(b)</w:t>
      </w:r>
      <w:r>
        <w:rPr>
          <w:rFonts w:ascii="Arial" w:cs="Arial" w:eastAsia="Arial" w:hAnsi="Arial"/>
          <w:sz w:val="17"/>
          <w:szCs w:val="17"/>
          <w:color w:val="auto"/>
        </w:rPr>
        <w:t xml:space="preserve"> of the Disclosure Schedule, all the outstanding share capital, registered capital or other equity interest of each Group Company is validly issued, fully paid and non-assessable and are owned free and clear of all Liens (other than any Liens created under the Control Documents) by the Persons and in such amounts as indicated in </w:t>
      </w:r>
      <w:r>
        <w:rPr>
          <w:rFonts w:ascii="Arial" w:cs="Arial" w:eastAsia="Arial" w:hAnsi="Arial"/>
          <w:sz w:val="17"/>
          <w:szCs w:val="17"/>
          <w:u w:val="single" w:color="auto"/>
          <w:color w:val="auto"/>
        </w:rPr>
        <w:t>Section 3.5(a)</w:t>
      </w:r>
      <w:r>
        <w:rPr>
          <w:rFonts w:ascii="Arial" w:cs="Arial" w:eastAsia="Arial" w:hAnsi="Arial"/>
          <w:sz w:val="17"/>
          <w:szCs w:val="17"/>
          <w:color w:val="auto"/>
        </w:rPr>
        <w:t xml:space="preserve"> of the Disclosure Schedule. Except as disclosed in </w:t>
      </w:r>
      <w:r>
        <w:rPr>
          <w:rFonts w:ascii="Arial" w:cs="Arial" w:eastAsia="Arial" w:hAnsi="Arial"/>
          <w:sz w:val="17"/>
          <w:szCs w:val="17"/>
          <w:u w:val="single" w:color="auto"/>
          <w:color w:val="auto"/>
        </w:rPr>
        <w:t>Schedule D-1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hereto and except as pursuant to the Control Documents, there are no outstanding options, warrants, rights (including conversion or preemptive rights and rights of first refusal), subscriptions, or other rights, proxy or shareholders agreements or Contracts of any kind, either directly or indirectly, entitling the holder thereof to purchase or otherwise acquire or to compel any Group Company (other than the Company) to issue, repurchase or redeem any share or other securities of any Group Company. Except as pursuant to the Control Documents, no Group Company is a party or subject to any Contract that affects or relates to the voting or giving of written consents with respect to, or the right to cause the registration of, any share or other securities of any Group Company.</w:t>
      </w:r>
    </w:p>
    <w:p>
      <w:pPr>
        <w:spacing w:after="0" w:line="181" w:lineRule="exact"/>
        <w:rPr>
          <w:rFonts w:ascii="Arial" w:cs="Arial" w:eastAsia="Arial" w:hAnsi="Arial"/>
          <w:sz w:val="17"/>
          <w:szCs w:val="17"/>
          <w:color w:val="auto"/>
        </w:rPr>
      </w:pPr>
    </w:p>
    <w:p>
      <w:pPr>
        <w:ind w:left="200" w:right="260" w:firstLine="1293"/>
        <w:spacing w:after="0" w:line="263" w:lineRule="auto"/>
        <w:tabs>
          <w:tab w:leader="none" w:pos="205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The Company has effective Control of each of Hangzhou Youmai and Zhejiang Anxiong and is the sole beneficiary of each of Hangzhou Youmai and Zhejiang Anxiong. The Contracts and other documents set forth in </w:t>
      </w:r>
      <w:r>
        <w:rPr>
          <w:rFonts w:ascii="Arial" w:cs="Arial" w:eastAsia="Arial" w:hAnsi="Arial"/>
          <w:sz w:val="18"/>
          <w:szCs w:val="18"/>
          <w:u w:val="single" w:color="auto"/>
          <w:color w:val="auto"/>
        </w:rPr>
        <w:t>Section 3.5(c)</w:t>
      </w:r>
      <w:r>
        <w:rPr>
          <w:rFonts w:ascii="Arial" w:cs="Arial" w:eastAsia="Arial" w:hAnsi="Arial"/>
          <w:sz w:val="18"/>
          <w:szCs w:val="18"/>
          <w:color w:val="auto"/>
        </w:rPr>
        <w:t xml:space="preserve"> of the Disclosure Schedule (collectively, the “</w:t>
      </w:r>
      <w:r>
        <w:rPr>
          <w:rFonts w:ascii="Arial" w:cs="Arial" w:eastAsia="Arial" w:hAnsi="Arial"/>
          <w:sz w:val="18"/>
          <w:szCs w:val="18"/>
          <w:u w:val="single" w:color="auto"/>
          <w:color w:val="auto"/>
        </w:rPr>
        <w:t>Control Documents</w:t>
      </w:r>
      <w:r>
        <w:rPr>
          <w:rFonts w:ascii="Arial" w:cs="Arial" w:eastAsia="Arial" w:hAnsi="Arial"/>
          <w:sz w:val="18"/>
          <w:szCs w:val="18"/>
          <w:color w:val="auto"/>
        </w:rPr>
        <w:t>”) are</w:t>
      </w:r>
    </w:p>
    <w:p>
      <w:pPr>
        <w:spacing w:after="0" w:line="4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26" w:name="page327"/>
    <w:bookmarkEnd w:id="326"/>
    <w:p>
      <w:pPr>
        <w:ind w:left="660" w:right="300"/>
        <w:spacing w:after="0" w:line="263" w:lineRule="auto"/>
        <w:rPr>
          <w:sz w:val="20"/>
          <w:szCs w:val="20"/>
          <w:color w:val="auto"/>
        </w:rPr>
      </w:pPr>
      <w:r>
        <w:rPr>
          <w:rFonts w:ascii="Arial" w:cs="Arial" w:eastAsia="Arial" w:hAnsi="Arial"/>
          <w:sz w:val="18"/>
          <w:szCs w:val="18"/>
          <w:color w:val="auto"/>
        </w:rPr>
        <w:t>adequate to establish and maintain the intended captive structure, under which the financial statements of Hangzhou Youmai and Zhejiang Anxiong will be consolidated with those of the other Group Companies in accordance with the Applicable Accounting Standard.</w:t>
      </w:r>
    </w:p>
    <w:p>
      <w:pPr>
        <w:spacing w:after="0" w:line="184" w:lineRule="exact"/>
        <w:rPr>
          <w:sz w:val="20"/>
          <w:szCs w:val="20"/>
          <w:color w:val="auto"/>
        </w:rPr>
      </w:pPr>
    </w:p>
    <w:p>
      <w:pPr>
        <w:ind w:left="660" w:right="120" w:firstLine="1293"/>
        <w:spacing w:after="0" w:line="259" w:lineRule="auto"/>
        <w:tabs>
          <w:tab w:leader="none" w:pos="257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Each person serving as a director, Senior Manager, supervisor or legal representative of any Group Company is an employee of the Group Companies or Seller and its Affiliates. No person is serving as an observer on the board of directors of any Group Company, and no Person has the right to appoint any observer to any Group Company (except as pursuant to the Existing Articles).</w:t>
      </w:r>
    </w:p>
    <w:p>
      <w:pPr>
        <w:spacing w:after="0" w:line="187"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Corporate Books and Records</w:t>
      </w:r>
      <w:r>
        <w:rPr>
          <w:rFonts w:ascii="Arial" w:cs="Arial" w:eastAsia="Arial" w:hAnsi="Arial"/>
          <w:sz w:val="17"/>
          <w:szCs w:val="17"/>
          <w:color w:val="auto"/>
        </w:rPr>
        <w:t xml:space="preserve"> To the Knowledge of the Warrantors, (i) true and complete copies of all minute books of each Group Company have been provided to the Purchaser and such copies contain all material amendments and all material minutes of meetings and actions taken by the applicable Group Company’s shareholders and directors since the date of its incorporation, and reflects all transactions referred to in such minutes accurately in all material respects, and (ii) true and complete copies of all material resolutions of the board and the shareholders of each Group Company have been provided to the Purchaser and such copies contain resolutions of all meetings of directors and shareholders of each Group Company and all material actions by written consent without a meeting by the directors and shareholders of each Group Company since the date of its incorporation and accurately reflects all material actions by the directors (and any committee thereof) and shareholders of each Group Company with respect to all transactions referred to in such resolutions. All board and shareholder resolutions, charter documents (and any amendments thereto) and any other required filings of the Group Companies have been duly filed with the relevant Government Authority within the required deadlines, except to the extent any failure to do so would not materially impair the validity or enforceability of such resolutions, documents or filings. The Company has kept all records required by the Companies Law (2018 Revision) of the Cayman Islands and has done so in compliance with the provisions thereof in all material respects.</w:t>
      </w:r>
    </w:p>
    <w:p>
      <w:pPr>
        <w:spacing w:after="0" w:line="18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3.7</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660" w:right="80" w:firstLine="1293"/>
        <w:spacing w:after="0" w:line="284" w:lineRule="auto"/>
        <w:tabs>
          <w:tab w:leader="none" w:pos="255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True and complete copies of (i) the unaudited consolidated balance sheet of the Company for each of the three (3) fiscal years ended December 31, 2016, December 31, 2017 and December 31, 2018, and the related unaudited consolidated statements of income, consolidated cash flow statements, shareholders’ equity and changes in financial position of the Company, together with all related notes and schedules thereto (collectively referred to herein as the “Annual Consolidated Financial Statements”), (ii) the unaudited consolidated balance sheet of the Company as of March 31, 2019 and June 30, 2019, respectively, and the related consolidated statements of income, consolidated cash flow statements, shareholders’ equity and changes in financial position of the Company, together with all related notes and schedules thereto, and (iii) the calculation details of the Estimated Balance Sheet Date Net Debt and the Estimated Balance Sheet Date Net Working Capital ((ii) and</w:t>
      </w:r>
    </w:p>
    <w:p>
      <w:pPr>
        <w:ind w:left="660" w:right="40" w:hanging="3"/>
        <w:spacing w:after="0" w:line="295" w:lineRule="auto"/>
        <w:tabs>
          <w:tab w:leader="none" w:pos="97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are collectively referred to herein as the “</w:t>
      </w:r>
      <w:r>
        <w:rPr>
          <w:rFonts w:ascii="Arial" w:cs="Arial" w:eastAsia="Arial" w:hAnsi="Arial"/>
          <w:sz w:val="16"/>
          <w:szCs w:val="16"/>
          <w:u w:val="single" w:color="auto"/>
          <w:color w:val="auto"/>
        </w:rPr>
        <w:t>Interim Consolidated Financial Statements</w:t>
      </w:r>
      <w:r>
        <w:rPr>
          <w:rFonts w:ascii="Arial" w:cs="Arial" w:eastAsia="Arial" w:hAnsi="Arial"/>
          <w:sz w:val="16"/>
          <w:szCs w:val="16"/>
          <w:color w:val="auto"/>
        </w:rPr>
        <w:t>”) have been delivered by the Company to the Purchaser. True and complete copies of the unaudited consolidated balance sheet of the Company as of August 31, 2019, and the related consolidated statements of income, consolidated cash flow statements, shareholders’ equity and changes in financial position of the Company, together with all related notes and schedules thereto (together with the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7" w:name="page328"/>
    <w:bookmarkEnd w:id="327"/>
    <w:p>
      <w:pPr>
        <w:ind w:left="660" w:right="20"/>
        <w:spacing w:after="0" w:line="289" w:lineRule="auto"/>
        <w:rPr>
          <w:sz w:val="20"/>
          <w:szCs w:val="20"/>
          <w:color w:val="auto"/>
        </w:rPr>
      </w:pPr>
      <w:r>
        <w:rPr>
          <w:rFonts w:ascii="Arial" w:cs="Arial" w:eastAsia="Arial" w:hAnsi="Arial"/>
          <w:sz w:val="16"/>
          <w:szCs w:val="16"/>
          <w:color w:val="auto"/>
        </w:rPr>
        <w:t>Annual Consolidated Financial Statements and the Interim Consolidated Financial Statements,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will be delivered to the Purchaser before the commencement of the Closing Examination. The Financial Statements (A) were or will be, as applicable, prepared in accordance with the books of account and other financial records of the Group Companies in all material respects, (B) present or will present, as applicable, fairly in all material respects the consolidated financial condition and results of operations of the Group Companies as of the dates thereof and for the periods covered thereby, (C) have been or will have been, as applicable, prepared in accordance with the Applicable Accounting Standard applied on a basis consistent with the past practices of the Group Companies in all material respects, and (D) include or will include, as applicable, all adjustments that are necessary for a fair presentation in all material respects of the consolidated financial condition of the Group Companies and the results of the operations of the Group Companies as of the dates thereof and for the periods covered thereby.</w:t>
      </w:r>
    </w:p>
    <w:p>
      <w:pPr>
        <w:spacing w:after="0" w:line="166" w:lineRule="exact"/>
        <w:rPr>
          <w:sz w:val="20"/>
          <w:szCs w:val="20"/>
          <w:color w:val="auto"/>
        </w:rPr>
      </w:pPr>
    </w:p>
    <w:p>
      <w:pPr>
        <w:ind w:left="2560" w:hanging="607"/>
        <w:spacing w:after="0"/>
        <w:tabs>
          <w:tab w:leader="none" w:pos="256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The books of account and other financial records of the Company and other Group Companies</w:t>
      </w:r>
    </w:p>
    <w:p>
      <w:pPr>
        <w:spacing w:after="0" w:line="34" w:lineRule="exact"/>
        <w:rPr>
          <w:rFonts w:ascii="Arial" w:cs="Arial" w:eastAsia="Arial" w:hAnsi="Arial"/>
          <w:sz w:val="17"/>
          <w:szCs w:val="17"/>
          <w:color w:val="auto"/>
        </w:rPr>
      </w:pPr>
    </w:p>
    <w:p>
      <w:pPr>
        <w:ind w:left="660" w:right="80" w:hanging="3"/>
        <w:spacing w:after="0" w:line="281" w:lineRule="auto"/>
        <w:tabs>
          <w:tab w:leader="none" w:pos="87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reflect all items of income and expense and all assets and Liabilities required to be reflected therein in accordance with Applicable Accounting Standard, and in each case, applied on a basis consistent with the past practices of the Company, (ii) are complete and correct in all material respects, and do not contain or reflect any material inaccuracies or discrepancies, and</w:t>
      </w:r>
    </w:p>
    <w:p>
      <w:pPr>
        <w:spacing w:after="0" w:line="1" w:lineRule="exact"/>
        <w:rPr>
          <w:rFonts w:ascii="Arial" w:cs="Arial" w:eastAsia="Arial" w:hAnsi="Arial"/>
          <w:sz w:val="16"/>
          <w:szCs w:val="16"/>
          <w:color w:val="auto"/>
        </w:rPr>
      </w:pPr>
    </w:p>
    <w:p>
      <w:pPr>
        <w:ind w:left="660" w:right="360" w:hanging="3"/>
        <w:spacing w:after="0" w:line="260" w:lineRule="auto"/>
        <w:tabs>
          <w:tab w:leader="none" w:pos="97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have been maintained in accordance with all applicable Laws (including Anti-Corruption Laws) and good business and accounting practices.</w:t>
      </w:r>
    </w:p>
    <w:p>
      <w:pPr>
        <w:spacing w:after="0" w:line="185" w:lineRule="exact"/>
        <w:rPr>
          <w:rFonts w:ascii="Arial" w:cs="Arial" w:eastAsia="Arial" w:hAnsi="Arial"/>
          <w:sz w:val="18"/>
          <w:szCs w:val="18"/>
          <w:color w:val="auto"/>
        </w:rPr>
      </w:pPr>
    </w:p>
    <w:p>
      <w:pPr>
        <w:ind w:left="660" w:right="20" w:firstLine="1293"/>
        <w:spacing w:after="0" w:line="293" w:lineRule="auto"/>
        <w:tabs>
          <w:tab w:leader="none" w:pos="2551"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All of the accounts receivable owing to any Group Company constitute valid and enforceable claims and are good and collectible, and have arisen from bona fide transactions, in the ordinary course of business consistent with past practice, and reserves therefor shown on the Financial Statements are or will be adequate and on a basis consistent with the Applicable Accounting Standard. No further goods or services are required to be provided in order to complete the sales and to entitle the respective Group Company to collect such accounts receivable in full. There are no material contingent or asserted claims, refusals to pay, or other rights of set-off with respect to any Group Company.</w:t>
      </w:r>
    </w:p>
    <w:p>
      <w:pPr>
        <w:spacing w:after="0" w:line="164" w:lineRule="exact"/>
        <w:rPr>
          <w:rFonts w:ascii="Arial" w:cs="Arial" w:eastAsia="Arial" w:hAnsi="Arial"/>
          <w:sz w:val="16"/>
          <w:szCs w:val="16"/>
          <w:color w:val="auto"/>
        </w:rPr>
      </w:pPr>
    </w:p>
    <w:p>
      <w:pPr>
        <w:ind w:left="660" w:right="220" w:firstLine="1293"/>
        <w:spacing w:after="0" w:line="308" w:lineRule="auto"/>
        <w:tabs>
          <w:tab w:leader="none" w:pos="2561" w:val="left"/>
        </w:tabs>
        <w:numPr>
          <w:ilvl w:val="1"/>
          <w:numId w:val="219"/>
        </w:numPr>
        <w:rPr>
          <w:rFonts w:ascii="Arial" w:cs="Arial" w:eastAsia="Arial" w:hAnsi="Arial"/>
          <w:sz w:val="17"/>
          <w:szCs w:val="17"/>
          <w:color w:val="auto"/>
        </w:rPr>
      </w:pPr>
      <w:r>
        <w:rPr>
          <w:rFonts w:ascii="Arial" w:cs="Arial" w:eastAsia="Arial" w:hAnsi="Arial"/>
          <w:sz w:val="17"/>
          <w:szCs w:val="17"/>
          <w:color w:val="auto"/>
        </w:rPr>
        <w:t>All merchandise prepayment made by any Group Company constitute valid and enforceable claims and have arisen from bona fide transactions, in the ordinary course of business consistent with past practice.</w:t>
      </w:r>
    </w:p>
    <w:p>
      <w:pPr>
        <w:spacing w:after="0" w:line="146" w:lineRule="exact"/>
        <w:rPr>
          <w:rFonts w:ascii="Arial" w:cs="Arial" w:eastAsia="Arial" w:hAnsi="Arial"/>
          <w:sz w:val="17"/>
          <w:szCs w:val="17"/>
          <w:color w:val="auto"/>
        </w:rPr>
      </w:pPr>
    </w:p>
    <w:p>
      <w:pPr>
        <w:ind w:left="660" w:firstLine="1293"/>
        <w:spacing w:after="0" w:line="263" w:lineRule="auto"/>
        <w:tabs>
          <w:tab w:leader="none" w:pos="255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All accounts payable of the Group Companies reflected in the Financial Statements or arising after the date thereof are or will be the result of bona fide transactions in the ordinary course of business and have been paid or are not yet due and payable.</w:t>
      </w:r>
    </w:p>
    <w:p>
      <w:pPr>
        <w:spacing w:after="0" w:line="184" w:lineRule="exact"/>
        <w:rPr>
          <w:sz w:val="20"/>
          <w:szCs w:val="20"/>
          <w:color w:val="auto"/>
        </w:rPr>
      </w:pPr>
    </w:p>
    <w:p>
      <w:pPr>
        <w:ind w:right="80" w:firstLine="1296"/>
        <w:spacing w:after="0" w:line="274" w:lineRule="auto"/>
        <w:rPr>
          <w:sz w:val="20"/>
          <w:szCs w:val="20"/>
          <w:color w:val="auto"/>
        </w:rPr>
      </w:pPr>
      <w:r>
        <w:rPr>
          <w:rFonts w:ascii="Arial" w:cs="Arial" w:eastAsia="Arial" w:hAnsi="Arial"/>
          <w:sz w:val="17"/>
          <w:szCs w:val="17"/>
          <w:color w:val="auto"/>
        </w:rPr>
        <w:t xml:space="preserve">Section 3.8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No Group Company has any Liabilities other than (a) Liabilities reflected or reserved in the Interim Consolidated Financial Statements, (b) Liabilities incurred in the ordinary course of business,</w:t>
      </w:r>
    </w:p>
    <w:p>
      <w:pPr>
        <w:ind w:right="60" w:firstLine="9"/>
        <w:spacing w:after="0" w:line="260" w:lineRule="auto"/>
        <w:tabs>
          <w:tab w:leader="none" w:pos="2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incurred pursuant to this Agreement, and (d) incurred pursuant to Material Contracts disclosed to the Purchaser on or prior to the date hereof.</w:t>
      </w:r>
    </w:p>
    <w:p>
      <w:pPr>
        <w:spacing w:after="0" w:line="18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Absence of Certain Changes</w:t>
      </w:r>
      <w:r>
        <w:rPr>
          <w:rFonts w:ascii="Arial" w:cs="Arial" w:eastAsia="Arial" w:hAnsi="Arial"/>
          <w:sz w:val="18"/>
          <w:szCs w:val="18"/>
          <w:color w:val="auto"/>
        </w:rPr>
        <w:t xml:space="preserve">. Except as specifically contemplated by the Transaction Documents or otherwise disclosed in </w:t>
      </w:r>
      <w:r>
        <w:rPr>
          <w:rFonts w:ascii="Arial" w:cs="Arial" w:eastAsia="Arial" w:hAnsi="Arial"/>
          <w:sz w:val="18"/>
          <w:szCs w:val="18"/>
          <w:u w:val="single" w:color="auto"/>
          <w:color w:val="auto"/>
        </w:rPr>
        <w:t>Section 3.9(s)</w:t>
      </w:r>
      <w:r>
        <w:rPr>
          <w:rFonts w:ascii="Arial" w:cs="Arial" w:eastAsia="Arial" w:hAnsi="Arial"/>
          <w:sz w:val="18"/>
          <w:szCs w:val="18"/>
          <w:color w:val="auto"/>
        </w:rPr>
        <w:t xml:space="preserve"> of the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28" w:name="page329"/>
    <w:bookmarkEnd w:id="328"/>
    <w:p>
      <w:pPr>
        <w:jc w:val="both"/>
        <w:ind w:right="40"/>
        <w:spacing w:after="0" w:line="263" w:lineRule="auto"/>
        <w:rPr>
          <w:sz w:val="20"/>
          <w:szCs w:val="20"/>
          <w:color w:val="auto"/>
        </w:rPr>
      </w:pPr>
      <w:r>
        <w:rPr>
          <w:rFonts w:ascii="Arial" w:cs="Arial" w:eastAsia="Arial" w:hAnsi="Arial"/>
          <w:sz w:val="18"/>
          <w:szCs w:val="18"/>
          <w:color w:val="auto"/>
        </w:rPr>
        <w:t>Disclosure Schedule, since the Balance Sheet Date, each Group Company has operated its Businesses and assets in the ordinary course consistent with past practice in all material respects. Without limitation to the generality of the foregoing, none of the Group Companies has, since the Balance Sheet Date:</w:t>
      </w:r>
    </w:p>
    <w:p>
      <w:pPr>
        <w:spacing w:after="0" w:line="184" w:lineRule="exact"/>
        <w:rPr>
          <w:sz w:val="20"/>
          <w:szCs w:val="20"/>
          <w:color w:val="auto"/>
        </w:rPr>
      </w:pPr>
    </w:p>
    <w:p>
      <w:pPr>
        <w:ind w:left="660" w:right="380" w:firstLine="1293"/>
        <w:spacing w:after="0" w:line="308" w:lineRule="auto"/>
        <w:tabs>
          <w:tab w:leader="none" w:pos="261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entered into any transaction that was not in the ordinary course of business consistent with past practice; or made any material changes in the customary methods of operations of any Group Company;</w:t>
      </w:r>
    </w:p>
    <w:p>
      <w:pPr>
        <w:spacing w:after="0" w:line="146" w:lineRule="exact"/>
        <w:rPr>
          <w:rFonts w:ascii="Arial" w:cs="Arial" w:eastAsia="Arial" w:hAnsi="Arial"/>
          <w:sz w:val="17"/>
          <w:szCs w:val="17"/>
          <w:color w:val="auto"/>
        </w:rPr>
      </w:pPr>
    </w:p>
    <w:p>
      <w:pPr>
        <w:ind w:left="660" w:right="40" w:firstLine="1293"/>
        <w:spacing w:after="0" w:line="255" w:lineRule="auto"/>
        <w:tabs>
          <w:tab w:leader="none" w:pos="26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acquired, sold, transferred, leased, subleased, licensed or otherwise disposed of any material properties or assets, other than the sale of inventories in the ordinary course of business consistent with past practice; or permitted or allowed any assets to be subject to any Liens (other than Liens for Taxes in the ordinary course of business consistent with past practice that are not yet due and payable), or, except in the ordinary course of business consistent with past practice, discharged or otherwise obtained the release of Liens related to any Group Company or paid or otherwise discharged any Liability;</w:t>
      </w:r>
    </w:p>
    <w:p>
      <w:pPr>
        <w:spacing w:after="0" w:line="192" w:lineRule="exact"/>
        <w:rPr>
          <w:rFonts w:ascii="Arial" w:cs="Arial" w:eastAsia="Arial" w:hAnsi="Arial"/>
          <w:sz w:val="18"/>
          <w:szCs w:val="18"/>
          <w:color w:val="auto"/>
        </w:rPr>
      </w:pPr>
    </w:p>
    <w:p>
      <w:pPr>
        <w:ind w:left="660" w:right="200" w:firstLine="1293"/>
        <w:spacing w:after="0" w:line="259" w:lineRule="auto"/>
        <w:tabs>
          <w:tab w:leader="none" w:pos="261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written down or written up (or failed to write down or write up in accordance with the Applicable Accounting Standard consistent with past practice) the value of any accounts receivable or revalued any of the assets of the Group Companies, other than in the ordinary course of business consistent with past practice and in accordance with the Applicable Accounting Standard;</w:t>
      </w:r>
    </w:p>
    <w:p>
      <w:pPr>
        <w:spacing w:after="0" w:line="186" w:lineRule="exact"/>
        <w:rPr>
          <w:rFonts w:ascii="Arial" w:cs="Arial" w:eastAsia="Arial" w:hAnsi="Arial"/>
          <w:sz w:val="18"/>
          <w:szCs w:val="18"/>
          <w:color w:val="auto"/>
        </w:rPr>
      </w:pPr>
    </w:p>
    <w:p>
      <w:pPr>
        <w:ind w:left="660" w:right="120" w:firstLine="1293"/>
        <w:spacing w:after="0" w:line="277" w:lineRule="auto"/>
        <w:tabs>
          <w:tab w:leader="none" w:pos="26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made any change in any method of accounting or accounting practice or policy used by any Group Company, other than such changes required by the Applicable Accounting Standard;</w:t>
      </w:r>
    </w:p>
    <w:p>
      <w:pPr>
        <w:spacing w:after="0" w:line="170" w:lineRule="exact"/>
        <w:rPr>
          <w:rFonts w:ascii="Arial" w:cs="Arial" w:eastAsia="Arial" w:hAnsi="Arial"/>
          <w:sz w:val="18"/>
          <w:szCs w:val="18"/>
          <w:color w:val="auto"/>
        </w:rPr>
      </w:pPr>
    </w:p>
    <w:p>
      <w:pPr>
        <w:ind w:left="660" w:right="400" w:firstLine="1293"/>
        <w:spacing w:after="0" w:line="277" w:lineRule="auto"/>
        <w:tabs>
          <w:tab w:leader="none" w:pos="261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amended, terminated, cancelled or compromised any material claim of any Group Company or waived any other material right of value to any Group Company;</w:t>
      </w:r>
    </w:p>
    <w:p>
      <w:pPr>
        <w:spacing w:after="0" w:line="170" w:lineRule="exact"/>
        <w:rPr>
          <w:rFonts w:ascii="Arial" w:cs="Arial" w:eastAsia="Arial" w:hAnsi="Arial"/>
          <w:sz w:val="18"/>
          <w:szCs w:val="18"/>
          <w:color w:val="auto"/>
        </w:rPr>
      </w:pPr>
    </w:p>
    <w:p>
      <w:pPr>
        <w:ind w:left="660" w:right="20" w:firstLine="1293"/>
        <w:spacing w:after="0" w:line="311" w:lineRule="auto"/>
        <w:tabs>
          <w:tab w:leader="none" w:pos="259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issued or sold any equity or debt securities, or any option, warrant or other right to acquire the same, of any Group Company; or redeemed any equity interest in any Group Company or declared, made or paid any dividends or other distributions (whether in cash, securities or other property) to the holders of equity interests in any Group Company;</w:t>
      </w:r>
    </w:p>
    <w:p>
      <w:pPr>
        <w:spacing w:after="0" w:line="148" w:lineRule="exact"/>
        <w:rPr>
          <w:rFonts w:ascii="Arial" w:cs="Arial" w:eastAsia="Arial" w:hAnsi="Arial"/>
          <w:sz w:val="16"/>
          <w:szCs w:val="16"/>
          <w:color w:val="auto"/>
        </w:rPr>
      </w:pPr>
    </w:p>
    <w:p>
      <w:pPr>
        <w:ind w:left="660" w:firstLine="1293"/>
        <w:spacing w:after="0" w:line="263" w:lineRule="auto"/>
        <w:tabs>
          <w:tab w:leader="none" w:pos="26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made any capital expenditure or commitment for any capital expenditure in excess of US$1,000,000 (or the equivalent thereof in another currency) individually or US$2,000,000 (or the equivalent thereof in another currency) in the aggregate;</w:t>
      </w:r>
    </w:p>
    <w:p>
      <w:pPr>
        <w:spacing w:after="0" w:line="183" w:lineRule="exact"/>
        <w:rPr>
          <w:rFonts w:ascii="Arial" w:cs="Arial" w:eastAsia="Arial" w:hAnsi="Arial"/>
          <w:sz w:val="18"/>
          <w:szCs w:val="18"/>
          <w:color w:val="auto"/>
        </w:rPr>
      </w:pPr>
    </w:p>
    <w:p>
      <w:pPr>
        <w:ind w:left="660" w:right="40" w:firstLine="1293"/>
        <w:spacing w:after="0" w:line="277" w:lineRule="auto"/>
        <w:tabs>
          <w:tab w:leader="none" w:pos="26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made, revoked or changed any Tax election or method of Tax accounting or settled or compromised any material Liability with respect to Taxes of any Group Company;</w:t>
      </w:r>
    </w:p>
    <w:p>
      <w:pPr>
        <w:spacing w:after="0" w:line="170" w:lineRule="exact"/>
        <w:rPr>
          <w:rFonts w:ascii="Arial" w:cs="Arial" w:eastAsia="Arial" w:hAnsi="Arial"/>
          <w:sz w:val="18"/>
          <w:szCs w:val="18"/>
          <w:color w:val="auto"/>
        </w:rPr>
      </w:pPr>
    </w:p>
    <w:p>
      <w:pPr>
        <w:ind w:left="660" w:right="40" w:firstLine="1293"/>
        <w:spacing w:after="0" w:line="342" w:lineRule="auto"/>
        <w:tabs>
          <w:tab w:leader="none" w:pos="2589" w:val="left"/>
        </w:tabs>
        <w:numPr>
          <w:ilvl w:val="0"/>
          <w:numId w:val="221"/>
        </w:numPr>
        <w:rPr>
          <w:rFonts w:ascii="Arial" w:cs="Arial" w:eastAsia="Arial" w:hAnsi="Arial"/>
          <w:sz w:val="16"/>
          <w:szCs w:val="16"/>
          <w:color w:val="auto"/>
        </w:rPr>
      </w:pPr>
      <w:r>
        <w:rPr>
          <w:rFonts w:ascii="Arial" w:cs="Arial" w:eastAsia="Arial" w:hAnsi="Arial"/>
          <w:sz w:val="16"/>
          <w:szCs w:val="16"/>
          <w:color w:val="auto"/>
        </w:rPr>
        <w:t>incurred any Indebtedness or failed to pay any creditor any amount owed to such creditor when due; or incurred any Liability except Liabilities incurred in the ordinary course of business consistent with past practice that do not</w:t>
      </w:r>
    </w:p>
    <w:p>
      <w:pPr>
        <w:spacing w:after="0" w:line="3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329" w:name="page330"/>
    <w:bookmarkEnd w:id="329"/>
    <w:p>
      <w:pPr>
        <w:ind w:left="660" w:right="60"/>
        <w:spacing w:after="0" w:line="277" w:lineRule="auto"/>
        <w:rPr>
          <w:sz w:val="20"/>
          <w:szCs w:val="20"/>
          <w:color w:val="auto"/>
        </w:rPr>
      </w:pPr>
      <w:r>
        <w:rPr>
          <w:rFonts w:ascii="Arial" w:cs="Arial" w:eastAsia="Arial" w:hAnsi="Arial"/>
          <w:sz w:val="18"/>
          <w:szCs w:val="18"/>
          <w:color w:val="auto"/>
        </w:rPr>
        <w:t>exceed US$1,000,000 individually (or the equivalent thereof in another currency) or US$2,000,000 (or the equivalent thereof in another currency) in the aggregate;</w:t>
      </w:r>
    </w:p>
    <w:p>
      <w:pPr>
        <w:spacing w:after="0" w:line="170" w:lineRule="exact"/>
        <w:rPr>
          <w:sz w:val="20"/>
          <w:szCs w:val="20"/>
          <w:color w:val="auto"/>
        </w:rPr>
      </w:pPr>
    </w:p>
    <w:p>
      <w:pPr>
        <w:ind w:left="660" w:right="140" w:firstLine="1293"/>
        <w:spacing w:after="0" w:line="263" w:lineRule="auto"/>
        <w:tabs>
          <w:tab w:leader="none" w:pos="258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made any loan to, guaranteed any Indebtedness of or otherwise incurred any Indebtedness on behalf of any Person, other than travel advances and other advances made to employees in the ordinary course of business consistent with practice;</w:t>
      </w:r>
    </w:p>
    <w:p>
      <w:pPr>
        <w:spacing w:after="0" w:line="183" w:lineRule="exact"/>
        <w:rPr>
          <w:rFonts w:ascii="Arial" w:cs="Arial" w:eastAsia="Arial" w:hAnsi="Arial"/>
          <w:sz w:val="18"/>
          <w:szCs w:val="18"/>
          <w:color w:val="auto"/>
        </w:rPr>
      </w:pPr>
    </w:p>
    <w:p>
      <w:pPr>
        <w:ind w:left="660" w:right="220" w:firstLine="1293"/>
        <w:spacing w:after="0" w:line="257" w:lineRule="auto"/>
        <w:tabs>
          <w:tab w:leader="none" w:pos="259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made any material change in any compensation or benefit arrangement or agreement with any employee of any Group Company; or made any amendments or modifications to the Company Share Incentive Plan or issued any Company Share Award thereunder; or amended, modified or supplemented award agreement relating to any Company Share Award; or accelerated the vesting of any Company Share Award other than in pursuant to this Agreement and the transactions contemplated hereby;</w:t>
      </w:r>
    </w:p>
    <w:p>
      <w:pPr>
        <w:spacing w:after="0" w:line="187" w:lineRule="exact"/>
        <w:rPr>
          <w:rFonts w:ascii="Arial" w:cs="Arial" w:eastAsia="Arial" w:hAnsi="Arial"/>
          <w:sz w:val="18"/>
          <w:szCs w:val="18"/>
          <w:color w:val="auto"/>
        </w:rPr>
      </w:pPr>
    </w:p>
    <w:p>
      <w:pPr>
        <w:ind w:left="660" w:right="420" w:firstLine="1293"/>
        <w:spacing w:after="0" w:line="277" w:lineRule="auto"/>
        <w:tabs>
          <w:tab w:leader="none" w:pos="258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entered into any transaction with any Related Party other than in the ordinary course of business consistent with past practice;</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terminated the employment of, or received any resignation from, any Senior Manager of any Group</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2620" w:hanging="667"/>
        <w:spacing w:after="0"/>
        <w:tabs>
          <w:tab w:leader="none" w:pos="2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suffered any material labor dispute involving any Group Company or any of its respective</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employees;</w:t>
      </w:r>
    </w:p>
    <w:p>
      <w:pPr>
        <w:spacing w:after="0" w:line="210" w:lineRule="exact"/>
        <w:rPr>
          <w:rFonts w:ascii="Arial" w:cs="Arial" w:eastAsia="Arial" w:hAnsi="Arial"/>
          <w:sz w:val="18"/>
          <w:szCs w:val="18"/>
          <w:color w:val="auto"/>
        </w:rPr>
      </w:pPr>
    </w:p>
    <w:p>
      <w:pPr>
        <w:ind w:left="660" w:right="300" w:firstLine="1293"/>
        <w:spacing w:after="0" w:line="263" w:lineRule="auto"/>
        <w:tabs>
          <w:tab w:leader="none" w:pos="262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amended, modified or consented to the termination of any Material Contract or the Group Companies’ rights thereunder (other than termination in accordance with its terms), or entered into any Material Contract, in each case, except in the ordinary course of business consistent with past practice;</w:t>
      </w:r>
    </w:p>
    <w:p>
      <w:pPr>
        <w:spacing w:after="0" w:line="183" w:lineRule="exact"/>
        <w:rPr>
          <w:rFonts w:ascii="Arial" w:cs="Arial" w:eastAsia="Arial" w:hAnsi="Arial"/>
          <w:sz w:val="18"/>
          <w:szCs w:val="18"/>
          <w:color w:val="auto"/>
        </w:rPr>
      </w:pPr>
    </w:p>
    <w:p>
      <w:pPr>
        <w:ind w:left="2620" w:hanging="667"/>
        <w:spacing w:after="0"/>
        <w:tabs>
          <w:tab w:leader="none" w:pos="262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unreasonably terminated any material lease arrangements;</w:t>
      </w:r>
    </w:p>
    <w:p>
      <w:pPr>
        <w:spacing w:after="0" w:line="225" w:lineRule="exact"/>
        <w:rPr>
          <w:rFonts w:ascii="Arial" w:cs="Arial" w:eastAsia="Arial" w:hAnsi="Arial"/>
          <w:sz w:val="18"/>
          <w:szCs w:val="18"/>
          <w:color w:val="auto"/>
        </w:rPr>
      </w:pPr>
    </w:p>
    <w:p>
      <w:pPr>
        <w:ind w:left="660" w:right="500" w:firstLine="1293"/>
        <w:spacing w:after="0" w:line="277" w:lineRule="auto"/>
        <w:tabs>
          <w:tab w:leader="none" w:pos="262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amended or restated the memorandum and articles of association (or equivalent organizational documents) of any Group Company;</w:t>
      </w:r>
    </w:p>
    <w:p>
      <w:pPr>
        <w:spacing w:after="0" w:line="170" w:lineRule="exact"/>
        <w:rPr>
          <w:rFonts w:ascii="Arial" w:cs="Arial" w:eastAsia="Arial" w:hAnsi="Arial"/>
          <w:sz w:val="18"/>
          <w:szCs w:val="18"/>
          <w:color w:val="auto"/>
        </w:rPr>
      </w:pPr>
    </w:p>
    <w:p>
      <w:pPr>
        <w:ind w:left="660" w:firstLine="1293"/>
        <w:spacing w:after="0" w:line="277" w:lineRule="auto"/>
        <w:tabs>
          <w:tab w:leader="none" w:pos="2599"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merged or consolidated any Group Company with any other Person or acquired all or substantially all of the assets of any other person;</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liquidated, dissolved, recapitalized, reorganized or otherwise wound up the Business or operations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any Group Company;</w:t>
      </w:r>
    </w:p>
    <w:p>
      <w:pPr>
        <w:spacing w:after="0" w:line="210" w:lineRule="exact"/>
        <w:rPr>
          <w:rFonts w:ascii="Arial" w:cs="Arial" w:eastAsia="Arial" w:hAnsi="Arial"/>
          <w:sz w:val="16"/>
          <w:szCs w:val="16"/>
          <w:color w:val="auto"/>
        </w:rPr>
      </w:pPr>
    </w:p>
    <w:p>
      <w:pPr>
        <w:ind w:left="2580" w:hanging="627"/>
        <w:spacing w:after="0"/>
        <w:tabs>
          <w:tab w:leader="none" w:pos="2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suffered any Material Adverse Effect; or</w:t>
      </w:r>
    </w:p>
    <w:p>
      <w:pPr>
        <w:spacing w:after="0" w:line="225" w:lineRule="exact"/>
        <w:rPr>
          <w:rFonts w:ascii="Arial" w:cs="Arial" w:eastAsia="Arial" w:hAnsi="Arial"/>
          <w:sz w:val="18"/>
          <w:szCs w:val="18"/>
          <w:color w:val="auto"/>
        </w:rPr>
      </w:pPr>
    </w:p>
    <w:p>
      <w:pPr>
        <w:ind w:left="660" w:right="360" w:firstLine="1293"/>
        <w:spacing w:after="0" w:line="259" w:lineRule="auto"/>
        <w:tabs>
          <w:tab w:leader="none" w:pos="258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agreed, whether in writing or otherwise, to take any of the actions specified in this </w:t>
      </w:r>
      <w:r>
        <w:rPr>
          <w:rFonts w:ascii="Arial" w:cs="Arial" w:eastAsia="Arial" w:hAnsi="Arial"/>
          <w:sz w:val="18"/>
          <w:szCs w:val="18"/>
          <w:u w:val="single" w:color="auto"/>
          <w:color w:val="auto"/>
        </w:rPr>
        <w:t>Section 3.9</w:t>
      </w:r>
      <w:r>
        <w:rPr>
          <w:rFonts w:ascii="Arial" w:cs="Arial" w:eastAsia="Arial" w:hAnsi="Arial"/>
          <w:sz w:val="18"/>
          <w:szCs w:val="18"/>
          <w:color w:val="auto"/>
        </w:rPr>
        <w:t xml:space="preserve"> or granted any options to purchase, rights of first refusal, rights of first offer or any other similar rights or commitments with respect to any of the actions specified in this </w:t>
      </w:r>
      <w:r>
        <w:rPr>
          <w:rFonts w:ascii="Arial" w:cs="Arial" w:eastAsia="Arial" w:hAnsi="Arial"/>
          <w:sz w:val="18"/>
          <w:szCs w:val="18"/>
          <w:u w:val="single" w:color="auto"/>
          <w:color w:val="auto"/>
        </w:rPr>
        <w:t>Section 3.9</w:t>
      </w:r>
      <w:r>
        <w:rPr>
          <w:rFonts w:ascii="Arial" w:cs="Arial" w:eastAsia="Arial" w:hAnsi="Arial"/>
          <w:sz w:val="18"/>
          <w:szCs w:val="18"/>
          <w:color w:val="auto"/>
        </w:rPr>
        <w:t>, except as expressly contemplated by this Agreement and the other Transaction Documents.</w:t>
      </w:r>
    </w:p>
    <w:p>
      <w:pPr>
        <w:spacing w:after="0" w:line="187" w:lineRule="exact"/>
        <w:rPr>
          <w:sz w:val="20"/>
          <w:szCs w:val="20"/>
          <w:color w:val="auto"/>
        </w:rPr>
      </w:pPr>
    </w:p>
    <w:p>
      <w:pPr>
        <w:ind w:right="320" w:firstLine="1296"/>
        <w:spacing w:after="0" w:line="263"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disclosed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Disclosure Schedule, there are no Legal Proceedings against any Group Company, or against any Senior Manager or director of any Group Company in connection with their relationship</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30" w:name="page331"/>
    <w:bookmarkEnd w:id="330"/>
    <w:p>
      <w:pPr>
        <w:ind w:right="80"/>
        <w:spacing w:after="0" w:line="253" w:lineRule="auto"/>
        <w:rPr>
          <w:sz w:val="20"/>
          <w:szCs w:val="20"/>
          <w:color w:val="auto"/>
        </w:rPr>
      </w:pPr>
      <w:r>
        <w:rPr>
          <w:rFonts w:ascii="Arial" w:cs="Arial" w:eastAsia="Arial" w:hAnsi="Arial"/>
          <w:sz w:val="18"/>
          <w:szCs w:val="18"/>
          <w:color w:val="auto"/>
        </w:rPr>
        <w:t xml:space="preserve">with the Group Companies, pending or, to the Knowledge of the Warrantors, threatened, that (a)(i) relate to the Business, and (ii) if adversely determined against the Company or the applicable Subsidiary of the Company, would be reasonably likely to result in any material Liability, or (b) questions (i) the validity of the Transaction Documents, (ii) the right of the Company or the Warrantors to enter into the Transaction Documents to which the Company or any Warrantor is a party, (iii) the rights and obligations of the Company or the Warrantors to consummate the transactions contemplated by such Transaction Documents, in each (a) or (b) that would result, either individually or in the aggregate, in a Material Adverse Effect. There is no Order in effect against the Company or any Warrantor that would result, either individually or in the aggregate, in a Material Adverse Effect. Except as disclosed in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the Disclosure Schedule, there are no material Legal Proceedings initiated by any Group Company pending or which any of them intends to initiate.</w:t>
      </w:r>
    </w:p>
    <w:p>
      <w:pPr>
        <w:spacing w:after="0" w:line="196"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Title to Properties; Liens and Encumbrances</w:t>
      </w:r>
      <w:r>
        <w:rPr>
          <w:rFonts w:ascii="Arial" w:cs="Arial" w:eastAsia="Arial" w:hAnsi="Arial"/>
          <w:sz w:val="16"/>
          <w:szCs w:val="16"/>
          <w:color w:val="auto"/>
        </w:rPr>
        <w:t>.</w:t>
      </w:r>
    </w:p>
    <w:p>
      <w:pPr>
        <w:spacing w:after="0" w:line="225" w:lineRule="exact"/>
        <w:rPr>
          <w:sz w:val="20"/>
          <w:szCs w:val="20"/>
          <w:color w:val="auto"/>
        </w:rPr>
      </w:pPr>
    </w:p>
    <w:p>
      <w:pPr>
        <w:ind w:left="660" w:right="60" w:firstLine="1293"/>
        <w:spacing w:after="0" w:line="254" w:lineRule="auto"/>
        <w:tabs>
          <w:tab w:leader="none" w:pos="2633"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Each Group Company has good and marketable title to all of its material assets, whether real, personal or mixed, purported to be owned by it (including but not limited to all such assets reflected in the Financial Statements), in each case free of any Liens, except for Permitted Liens. Except for leased items, no Person other than a Group Company owns any interest in any such assets. All leases of real or personal property to which a Group Company is a party are fully effective and afford the Group Company valid leasehold possession of the real or personal property that is the subject of the lease. With respect to the material property and assets it leases, each Group Company is in compliance with such leases and such Group Company holds valid leasehold interests in such assets free of any Lien other than the existing rights of lessors of such property and assets.</w:t>
      </w:r>
    </w:p>
    <w:p>
      <w:pPr>
        <w:spacing w:after="0" w:line="191" w:lineRule="exact"/>
        <w:rPr>
          <w:rFonts w:ascii="Arial" w:cs="Arial" w:eastAsia="Arial" w:hAnsi="Arial"/>
          <w:sz w:val="18"/>
          <w:szCs w:val="18"/>
          <w:color w:val="auto"/>
        </w:rPr>
      </w:pPr>
    </w:p>
    <w:p>
      <w:pPr>
        <w:ind w:left="660" w:firstLine="1293"/>
        <w:spacing w:after="0" w:line="286" w:lineRule="auto"/>
        <w:tabs>
          <w:tab w:leader="none" w:pos="2643" w:val="left"/>
        </w:tabs>
        <w:numPr>
          <w:ilvl w:val="0"/>
          <w:numId w:val="223"/>
        </w:numPr>
        <w:rPr>
          <w:rFonts w:ascii="Arial" w:cs="Arial" w:eastAsia="Arial" w:hAnsi="Arial"/>
          <w:sz w:val="16"/>
          <w:szCs w:val="16"/>
          <w:color w:val="auto"/>
        </w:rPr>
      </w:pP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of the Disclosure Schedule sets forth a complete list of all real property, easements, licenses, rights of way, or other interests in or to real property (“</w:t>
      </w:r>
      <w:r>
        <w:rPr>
          <w:rFonts w:ascii="Arial" w:cs="Arial" w:eastAsia="Arial" w:hAnsi="Arial"/>
          <w:sz w:val="16"/>
          <w:szCs w:val="16"/>
          <w:u w:val="single" w:color="auto"/>
          <w:color w:val="auto"/>
        </w:rPr>
        <w:t>Real Property</w:t>
      </w:r>
      <w:r>
        <w:rPr>
          <w:rFonts w:ascii="Arial" w:cs="Arial" w:eastAsia="Arial" w:hAnsi="Arial"/>
          <w:sz w:val="16"/>
          <w:szCs w:val="16"/>
          <w:color w:val="auto"/>
        </w:rPr>
        <w:t xml:space="preserve">”) owned by any Group Company. The Group Company named as the owner of the Real Property in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of the Disclosure Schedule is the sole registered legal and beneficial owner of the relevant Real Property and any building erected on the land, free and clear of any Liens. No Group Company has any ownership right or interest in any premises or land other than the Real Property of which it is listed as the owner in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of the Disclosure Schedule. All leasehold properties of the Group are held under valid, binding and enforceable leases of a Group Company. The occupation, construction and use of the Real Property owned or leased by the Group Companies are in compliance with the applicable PRC Laws (including without limitation the fire control related Laws) in all material respects, and do not violate any land use rights grant contracts to which a Group Company is a party in any material respects. To the Knowledge of the Warrantors, all structures, improvements and appurtenances on the Real Property lie wholly within the boundaries of such Real Property and do not encroach upon the property of, or otherwise conflict with the property rights of, any adjoining property owner. To the Knowledge of the Warrantors, all structures and improvements on the Real Properties, and appurtenances thereto, and the roof, walls and other structural components which are part thereof, and the heating, air conditioning, plumbing and other mechanical facilities thereof, are in good condition and repair in all material respects (reasonable wear and tear excepted) and without any material structural defects.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31" w:name="page332"/>
    <w:bookmarkEnd w:id="331"/>
    <w:p>
      <w:pPr>
        <w:jc w:val="both"/>
        <w:ind w:left="200" w:right="100" w:firstLine="1293"/>
        <w:spacing w:after="0" w:line="259" w:lineRule="auto"/>
        <w:tabs>
          <w:tab w:leader="none" w:pos="217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All machinery, vehicles, equipment and other tangible personal property owned or leased by a Group Company are (i) in good condition and repair in all material respects (reasonable wear and tear excepted) and (ii) not obsolete or in need in any material respect of renewal or replacement, except for renewal or replacement in the ordinary course of business.</w:t>
      </w:r>
    </w:p>
    <w:p>
      <w:pPr>
        <w:spacing w:after="0" w:line="186" w:lineRule="exact"/>
        <w:rPr>
          <w:rFonts w:ascii="Arial" w:cs="Arial" w:eastAsia="Arial" w:hAnsi="Arial"/>
          <w:sz w:val="18"/>
          <w:szCs w:val="18"/>
          <w:color w:val="auto"/>
        </w:rPr>
      </w:pPr>
    </w:p>
    <w:p>
      <w:pPr>
        <w:ind w:left="200" w:right="20" w:firstLine="1293"/>
        <w:spacing w:after="0" w:line="255" w:lineRule="auto"/>
        <w:tabs>
          <w:tab w:leader="none" w:pos="2183"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Sufficiency of Assets</w:t>
      </w:r>
      <w:r>
        <w:rPr>
          <w:rFonts w:ascii="Arial" w:cs="Arial" w:eastAsia="Arial" w:hAnsi="Arial"/>
          <w:sz w:val="18"/>
          <w:szCs w:val="18"/>
          <w:color w:val="auto"/>
        </w:rPr>
        <w:t>. As of immediately following the Closing, the property, rights and assets owned, leased, licensed or otherwise used by the Group Companies (including Intellectual Property, other intangible assets and the property, rights and assets that will be available to the Group Companies pursuant to the Transitional Services Agreement) and as delivered from the Seller to the Purchaser pursuant to this Agreement comprise all of the property, rights and assets necessary for the carrying on of the Business in the ordinary course in materially the same manner in which it is currently being conducted.</w:t>
      </w:r>
    </w:p>
    <w:p>
      <w:pPr>
        <w:spacing w:after="0" w:line="192" w:lineRule="exact"/>
        <w:rPr>
          <w:sz w:val="20"/>
          <w:szCs w:val="20"/>
          <w:color w:val="auto"/>
        </w:rPr>
      </w:pPr>
    </w:p>
    <w:p>
      <w:pPr>
        <w:ind w:left="840"/>
        <w:spacing w:after="0"/>
        <w:tabs>
          <w:tab w:leader="none" w:pos="212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200" w:right="40" w:firstLine="1293"/>
        <w:spacing w:after="0" w:line="259" w:lineRule="auto"/>
        <w:tabs>
          <w:tab w:leader="none" w:pos="217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Disclosure Schedule sets forth (i) a complete list of (i) all material Intellectual Property other than trade secrets owned by the Group Companies, (ii) a description of material trade secrets (collectively, the “</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and (iii) all material Company IP Agreements (other than those for “shrink-wrap” or “off-the-shelf” commercially available Software).</w:t>
      </w:r>
    </w:p>
    <w:p>
      <w:pPr>
        <w:spacing w:after="0" w:line="186" w:lineRule="exact"/>
        <w:rPr>
          <w:rFonts w:ascii="Arial" w:cs="Arial" w:eastAsia="Arial" w:hAnsi="Arial"/>
          <w:sz w:val="18"/>
          <w:szCs w:val="18"/>
          <w:color w:val="auto"/>
        </w:rPr>
      </w:pPr>
    </w:p>
    <w:p>
      <w:pPr>
        <w:jc w:val="both"/>
        <w:ind w:left="200" w:firstLine="1293"/>
        <w:spacing w:after="0" w:line="257" w:lineRule="auto"/>
        <w:tabs>
          <w:tab w:leader="none" w:pos="216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Each Group Company is the exclusive owner of the entire and unencumbered right, title and interest in and to the Company Intellectual Property (except for those still under application), and has a valid license to use the Licensed Intellectual Property in connection with its Business. Each Group Company is entitled to use all Company Intellectual Property and the Licensed Intellectual Property in the continued operation of its Business without limitation, subject only to the terms of the Company IP Agreements and applicable Laws.</w:t>
      </w:r>
    </w:p>
    <w:p>
      <w:pPr>
        <w:spacing w:after="0" w:line="187" w:lineRule="exact"/>
        <w:rPr>
          <w:rFonts w:ascii="Arial" w:cs="Arial" w:eastAsia="Arial" w:hAnsi="Arial"/>
          <w:sz w:val="18"/>
          <w:szCs w:val="18"/>
          <w:color w:val="auto"/>
        </w:rPr>
      </w:pPr>
    </w:p>
    <w:p>
      <w:pPr>
        <w:ind w:left="200" w:right="20" w:firstLine="1293"/>
        <w:spacing w:after="0" w:line="269" w:lineRule="auto"/>
        <w:tabs>
          <w:tab w:leader="none" w:pos="215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The Company Intellectual Property and the Licensed Intellectual Property include all of the material Intellectual Property required for the conduct of or used in connection with the Business, and there are no other items of Intellectual Property that are material to the conduct of the Business. </w:t>
      </w:r>
      <w:r>
        <w:rPr>
          <w:rFonts w:ascii="Arial" w:cs="Arial" w:eastAsia="Arial" w:hAnsi="Arial"/>
          <w:sz w:val="17"/>
          <w:szCs w:val="17"/>
          <w:u w:val="single" w:color="auto"/>
          <w:color w:val="auto"/>
        </w:rPr>
        <w:t>Section 3.12(c)</w:t>
      </w:r>
      <w:r>
        <w:rPr>
          <w:rFonts w:ascii="Arial" w:cs="Arial" w:eastAsia="Arial" w:hAnsi="Arial"/>
          <w:sz w:val="17"/>
          <w:szCs w:val="17"/>
          <w:color w:val="auto"/>
        </w:rPr>
        <w:t xml:space="preserve"> of the Disclosure Schedule includes a list of all material Intellectual Property (other than trade secrets) licensed or provided by the Warrantors or their Affiliates (excluding the Group Companies) to the Group Companies. The Company Intellectual Property (except for those still under application) and, to the Knowledge of the Warrantors, the Licensed Intellectual Property are subsisting, valid and enforceable, and have not been adjudged invalid or unenforceable in whole or in part. Each item of Company Intellectual Property registered with a Government Authority is in compliance with all applicable Laws, and all filings, payments and other actions required by applicable Laws to be made or taken to maintain such Intellectual Property rights in full force and effect have been made or taken.</w:t>
      </w:r>
    </w:p>
    <w:p>
      <w:pPr>
        <w:spacing w:after="0" w:line="185" w:lineRule="exact"/>
        <w:rPr>
          <w:rFonts w:ascii="Arial" w:cs="Arial" w:eastAsia="Arial" w:hAnsi="Arial"/>
          <w:sz w:val="17"/>
          <w:szCs w:val="17"/>
          <w:color w:val="auto"/>
        </w:rPr>
      </w:pPr>
    </w:p>
    <w:p>
      <w:pPr>
        <w:ind w:left="200" w:right="180" w:firstLine="1293"/>
        <w:spacing w:after="0" w:line="263" w:lineRule="auto"/>
        <w:tabs>
          <w:tab w:leader="none" w:pos="216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To the Knowledge of the Warrantors, the conduct of the Business and the use of the Company Intellectual Property and the Licensed Intellectual Property, do not conflict with, infringe, misappropriate or otherwise violate the Intellectual Property of any third party, and no Action alleging any of the</w:t>
      </w:r>
    </w:p>
    <w:p>
      <w:pPr>
        <w:spacing w:after="0" w:line="40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20"/>
          </w:cols>
          <w:pgMar w:left="1440" w:top="125" w:right="1039" w:bottom="1440" w:gutter="0" w:footer="0" w:header="0"/>
        </w:sectPr>
      </w:pPr>
    </w:p>
    <w:bookmarkStart w:id="332" w:name="page333"/>
    <w:bookmarkEnd w:id="332"/>
    <w:p>
      <w:pPr>
        <w:ind w:left="200"/>
        <w:spacing w:after="0" w:line="275" w:lineRule="auto"/>
        <w:rPr>
          <w:sz w:val="20"/>
          <w:szCs w:val="20"/>
          <w:color w:val="auto"/>
        </w:rPr>
      </w:pPr>
      <w:r>
        <w:rPr>
          <w:rFonts w:ascii="Arial" w:cs="Arial" w:eastAsia="Arial" w:hAnsi="Arial"/>
          <w:sz w:val="17"/>
          <w:szCs w:val="17"/>
          <w:color w:val="auto"/>
        </w:rPr>
        <w:t>foregoing is pending, and no claim has been asserted against any Group Company alleging any of the foregoing. To the Knowledge of the Warrantors, there are no infringements or other violations of any Company Intellectual Property by any third party. No Company Intellectual Property is subject to any pending, or to the Knowledge of the Warrantors, threatened governmental Order or Action challenging or restricting the use of such Company Intellectual Property or that would reasonably be expected to impair the validity or enforceability of such Company Intellectual Property.</w:t>
      </w:r>
    </w:p>
    <w:p>
      <w:pPr>
        <w:spacing w:after="0" w:line="176" w:lineRule="exact"/>
        <w:rPr>
          <w:sz w:val="20"/>
          <w:szCs w:val="20"/>
          <w:color w:val="auto"/>
        </w:rPr>
      </w:pPr>
    </w:p>
    <w:p>
      <w:pPr>
        <w:ind w:left="200" w:right="300" w:firstLine="1293"/>
        <w:spacing w:after="0" w:line="296" w:lineRule="auto"/>
        <w:tabs>
          <w:tab w:leader="none" w:pos="215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None of the Group Companies has granted in writing any license or other right to any third party with respect to the Company Intellectual Property or Licensed Intellectual Property other than in the ordinary course of business. Neither the execution, delivery and performance of this Agreement or any other Transaction Documents nor the consummation of any of the transactions contemplated hereby and thereby will reasonably be expected to alter or impair the validity or enforceability of Company Intellectual Property or Licensed Intellectual Property.</w:t>
      </w:r>
    </w:p>
    <w:p>
      <w:pPr>
        <w:spacing w:after="0" w:line="161" w:lineRule="exact"/>
        <w:rPr>
          <w:rFonts w:ascii="Arial" w:cs="Arial" w:eastAsia="Arial" w:hAnsi="Arial"/>
          <w:sz w:val="16"/>
          <w:szCs w:val="16"/>
          <w:color w:val="auto"/>
        </w:rPr>
      </w:pPr>
    </w:p>
    <w:p>
      <w:pPr>
        <w:ind w:left="200" w:right="20" w:firstLine="1293"/>
        <w:spacing w:after="0" w:line="270" w:lineRule="auto"/>
        <w:tabs>
          <w:tab w:leader="none" w:pos="2139" w:val="left"/>
        </w:tabs>
        <w:numPr>
          <w:ilvl w:val="0"/>
          <w:numId w:val="226"/>
        </w:numPr>
        <w:rPr>
          <w:rFonts w:ascii="Arial" w:cs="Arial" w:eastAsia="Arial" w:hAnsi="Arial"/>
          <w:sz w:val="17"/>
          <w:szCs w:val="17"/>
          <w:color w:val="auto"/>
        </w:rPr>
      </w:pPr>
      <w:r>
        <w:rPr>
          <w:rFonts w:ascii="Arial" w:cs="Arial" w:eastAsia="Arial" w:hAnsi="Arial"/>
          <w:sz w:val="17"/>
          <w:szCs w:val="17"/>
          <w:color w:val="auto"/>
        </w:rPr>
        <w:t>Each of the directors of, current and former employees employed, and current and former consultant engaged, by each Group Company as of the Closing is under written obligation for the benefit of the Group Companies, to maintain in confidence all confidential and proprietary information acquired by them during the course of their employment and all rights and title to and ownership of all inventions made by them within the scope of their employment by the Group Companies during such employment and for a reasonable period thereafter are vested in and remain with the Group Companies. Each Group Company has taken commercially reasonable measures to protect the secrecy, and confidentiality of all of their trade secrets and, to the Knowledge of the Warrantors, there has been no unauthorized disclosure of any data or information which, but for any such unauthorized disclosure, such Group Company would consider to be a trade secret owned by such Group Company.</w:t>
      </w:r>
    </w:p>
    <w:p>
      <w:pPr>
        <w:spacing w:after="0" w:line="181" w:lineRule="exact"/>
        <w:rPr>
          <w:sz w:val="20"/>
          <w:szCs w:val="20"/>
          <w:color w:val="auto"/>
        </w:rPr>
      </w:pPr>
    </w:p>
    <w:p>
      <w:pPr>
        <w:ind w:left="840"/>
        <w:spacing w:after="0"/>
        <w:tabs>
          <w:tab w:leader="none" w:pos="2180" w:val="left"/>
        </w:tabs>
        <w:rPr>
          <w:sz w:val="20"/>
          <w:szCs w:val="20"/>
          <w:color w:val="auto"/>
        </w:rPr>
      </w:pPr>
      <w:r>
        <w:rPr>
          <w:rFonts w:ascii="Arial" w:cs="Arial" w:eastAsia="Arial" w:hAnsi="Arial"/>
          <w:sz w:val="18"/>
          <w:szCs w:val="18"/>
          <w:color w:val="auto"/>
        </w:rPr>
        <w:t>Section 3.13</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25" w:lineRule="exact"/>
        <w:rPr>
          <w:sz w:val="20"/>
          <w:szCs w:val="20"/>
          <w:color w:val="auto"/>
        </w:rPr>
      </w:pPr>
    </w:p>
    <w:p>
      <w:pPr>
        <w:ind w:left="200" w:firstLine="1293"/>
        <w:spacing w:after="0" w:line="296" w:lineRule="auto"/>
        <w:tabs>
          <w:tab w:leader="none" w:pos="215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Each Group Company has registered with all competent Tax authorities and has duly and timely filed all applicable Tax Returns as required by Law to have been filed by it and all such Tax Returns are true, correct, and complete in all material respects and were prepared in compliance with all applicable Laws in all material respects. Each Group Company has paid in full all Taxes (whether or not shown on any Tax Returns) required to be paid by it. No Tax Liens (other than for current Taxes not yet due or payable) are currently in effect against any of the assets of any Group Company.</w:t>
      </w:r>
    </w:p>
    <w:p>
      <w:pPr>
        <w:spacing w:after="0" w:line="161" w:lineRule="exact"/>
        <w:rPr>
          <w:rFonts w:ascii="Arial" w:cs="Arial" w:eastAsia="Arial" w:hAnsi="Arial"/>
          <w:sz w:val="16"/>
          <w:szCs w:val="16"/>
          <w:color w:val="auto"/>
        </w:rPr>
      </w:pPr>
    </w:p>
    <w:p>
      <w:pPr>
        <w:ind w:left="200" w:right="60" w:firstLine="1293"/>
        <w:spacing w:after="0" w:line="255" w:lineRule="auto"/>
        <w:tabs>
          <w:tab w:leader="none" w:pos="216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provisions for Taxes in the Financial Statements fully reflect all unpaid Taxes of each Group Company (including without limitation, all applicable Taxes with respect to the cross-border e-commerce business), whether or not assessed or disputed as of the date of the applicable Financial Statements. The unpaid Taxes of any Group Company (i) did not, as of the date of the Financial Statements, exceed the reserve for Tax Liability (other than any reserve for deferred Taxes established to reflect timing differences between book and Tax income) set forth on the face of the Financial Statements (other than in any notes thereto) and (ii)</w:t>
      </w:r>
    </w:p>
    <w:p>
      <w:pPr>
        <w:spacing w:after="0" w:line="200" w:lineRule="exact"/>
        <w:rPr>
          <w:sz w:val="20"/>
          <w:szCs w:val="20"/>
          <w:color w:val="auto"/>
        </w:rPr>
      </w:pPr>
    </w:p>
    <w:p>
      <w:pPr>
        <w:spacing w:after="0" w:line="2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33" w:name="page334"/>
    <w:bookmarkEnd w:id="333"/>
    <w:p>
      <w:pPr>
        <w:ind w:left="200" w:right="120"/>
        <w:spacing w:after="0" w:line="277" w:lineRule="auto"/>
        <w:rPr>
          <w:sz w:val="20"/>
          <w:szCs w:val="20"/>
          <w:color w:val="auto"/>
        </w:rPr>
      </w:pPr>
      <w:r>
        <w:rPr>
          <w:rFonts w:ascii="Arial" w:cs="Arial" w:eastAsia="Arial" w:hAnsi="Arial"/>
          <w:sz w:val="18"/>
          <w:szCs w:val="18"/>
          <w:color w:val="auto"/>
        </w:rPr>
        <w:t>do not exceed that reserve as adjusted for the passage of time through the Closing Date in accordance with the past custom and practice of each Group Company in filing their Tax Returns.</w:t>
      </w:r>
    </w:p>
    <w:p>
      <w:pPr>
        <w:spacing w:after="0" w:line="170" w:lineRule="exact"/>
        <w:rPr>
          <w:sz w:val="20"/>
          <w:szCs w:val="20"/>
          <w:color w:val="auto"/>
        </w:rPr>
      </w:pPr>
    </w:p>
    <w:p>
      <w:pPr>
        <w:ind w:left="200" w:right="100" w:firstLine="1293"/>
        <w:spacing w:after="0" w:line="257" w:lineRule="auto"/>
        <w:tabs>
          <w:tab w:leader="none" w:pos="21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Group Company has kept and preserved all such records and information as may be needed to enable it to deliver correct and complete Tax Returns for its accounting periods. The books and other records of each Group Company relating to Taxes, including documentation required for intercompany transactions, have been properly maintained, are in all material respects correct and complete, and are physically or electronically available for inspection on the premises of the relevant Group Company.</w:t>
      </w:r>
    </w:p>
    <w:p>
      <w:pPr>
        <w:spacing w:after="0" w:line="187" w:lineRule="exact"/>
        <w:rPr>
          <w:rFonts w:ascii="Arial" w:cs="Arial" w:eastAsia="Arial" w:hAnsi="Arial"/>
          <w:sz w:val="18"/>
          <w:szCs w:val="18"/>
          <w:color w:val="auto"/>
        </w:rPr>
      </w:pPr>
    </w:p>
    <w:p>
      <w:pPr>
        <w:ind w:left="200" w:firstLine="1293"/>
        <w:spacing w:after="0" w:line="269" w:lineRule="auto"/>
        <w:tabs>
          <w:tab w:leader="none" w:pos="2124" w:val="left"/>
        </w:tabs>
        <w:numPr>
          <w:ilvl w:val="0"/>
          <w:numId w:val="228"/>
        </w:numPr>
        <w:rPr>
          <w:rFonts w:ascii="Arial" w:cs="Arial" w:eastAsia="Arial" w:hAnsi="Arial"/>
          <w:sz w:val="17"/>
          <w:szCs w:val="17"/>
          <w:color w:val="auto"/>
        </w:rPr>
      </w:pPr>
      <w:r>
        <w:rPr>
          <w:rFonts w:ascii="Arial" w:cs="Arial" w:eastAsia="Arial" w:hAnsi="Arial"/>
          <w:sz w:val="17"/>
          <w:szCs w:val="17"/>
          <w:color w:val="auto"/>
        </w:rPr>
        <w:t>No tax audits or administrative or judicial Tax proceedings by any Government Authority with respect to the each Group Company is currently in progress or, to the Knowledge of the Warrantors, is currently threatened. No assessment of Tax has been proposed in writing against any Group Company or any of their assets or properties. No Group Company has received from any Government Authority (including jurisdictions where a member of the Group Company has not filed Tax Returns) any (i) notice indicating an intent to open audit or other review, (ii) unattended or unsettled request for information related to Tax matters, or (iii) notice of deficiency or proposed adjustment for any amount of Tax proposed, asserted, or assessed by any Government Authority against any Group Company. No Group Company is subject to any waivers or extensions of applicable statutes of limitations with respect to Taxes for any year. Except for extensions applied for and granted in the ordinary practice of the applicable jurisdiction, no Group Company currently is the beneficiary of any extension of time within which to file any Tax Return.</w:t>
      </w:r>
    </w:p>
    <w:p>
      <w:pPr>
        <w:spacing w:after="0" w:line="185" w:lineRule="exact"/>
        <w:rPr>
          <w:rFonts w:ascii="Arial" w:cs="Arial" w:eastAsia="Arial" w:hAnsi="Arial"/>
          <w:sz w:val="17"/>
          <w:szCs w:val="17"/>
          <w:color w:val="auto"/>
        </w:rPr>
      </w:pPr>
    </w:p>
    <w:p>
      <w:pPr>
        <w:ind w:left="200" w:right="80" w:firstLine="1293"/>
        <w:spacing w:after="0" w:line="259" w:lineRule="auto"/>
        <w:tabs>
          <w:tab w:leader="none" w:pos="211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Since the Balance Sheet Date, no Group Company has incurred any Taxes other than in the ordinary course of business consistent with past custom and practice. No Group Company has received any claim from a Government Authority in a jurisdiction where a Group Company does not file Tax Returns that such Group Company is or may be subject to taxation by that jurisdiction.</w:t>
      </w:r>
    </w:p>
    <w:p>
      <w:pPr>
        <w:spacing w:after="0" w:line="186" w:lineRule="exact"/>
        <w:rPr>
          <w:rFonts w:ascii="Arial" w:cs="Arial" w:eastAsia="Arial" w:hAnsi="Arial"/>
          <w:sz w:val="18"/>
          <w:szCs w:val="18"/>
          <w:color w:val="auto"/>
        </w:rPr>
      </w:pPr>
    </w:p>
    <w:p>
      <w:pPr>
        <w:jc w:val="both"/>
        <w:ind w:left="200" w:right="160" w:firstLine="1293"/>
        <w:spacing w:after="0" w:line="263" w:lineRule="auto"/>
        <w:tabs>
          <w:tab w:leader="none" w:pos="213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Group Company has withheld, paid or made provisions for, all Taxes required to be withheld, paid or made provisions for in connection with any amounts due, owing to or paid to any Person (including without limitation, all applicable Taxes with respect to the cross-border e-commerce business).</w:t>
      </w:r>
    </w:p>
    <w:p>
      <w:pPr>
        <w:spacing w:after="0" w:line="183" w:lineRule="exact"/>
        <w:rPr>
          <w:rFonts w:ascii="Arial" w:cs="Arial" w:eastAsia="Arial" w:hAnsi="Arial"/>
          <w:sz w:val="18"/>
          <w:szCs w:val="18"/>
          <w:color w:val="auto"/>
        </w:rPr>
      </w:pPr>
    </w:p>
    <w:p>
      <w:pPr>
        <w:ind w:left="200" w:right="100" w:firstLine="1293"/>
        <w:spacing w:after="0" w:line="289" w:lineRule="auto"/>
        <w:tabs>
          <w:tab w:leader="none" w:pos="216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Each Group Company is in compliance in all material respects with all terms, conditions and formalities necessary for the continuance of any Tax exemption, Tax holiday, Tax credit, Tax incentive, Tax refund or other Tax reduction agreement or order available under any applicable Law. Each such Tax exemption, Tax holiday, Tax credit, Tax incentive, Tax refund or other Tax reduction agreement or order (i) is expected to remain in full effect throughout the current effective period thereof after the Closing Date and is not subject to reduction, revocation, cancellation or any other changes (including retroactive changes) in the future, and no Group Company has received any notice to the contrary or is aware of any event that may result in repeal, cancellation, revocation, or return of such entitlements. All exemptions, reductions and rebates of material Taxes granted to any Group Company by a Government Authority are in full force and effect and have not been terminated as evidenced with valid governmental approvals. No Group Company is responsible</w:t>
      </w:r>
    </w:p>
    <w:p>
      <w:pPr>
        <w:spacing w:after="0" w:line="38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34" w:name="page335"/>
    <w:bookmarkEnd w:id="334"/>
    <w:p>
      <w:pPr>
        <w:ind w:left="200" w:right="240"/>
        <w:spacing w:after="0" w:line="311" w:lineRule="auto"/>
        <w:rPr>
          <w:sz w:val="20"/>
          <w:szCs w:val="20"/>
          <w:color w:val="auto"/>
        </w:rPr>
      </w:pPr>
      <w:r>
        <w:rPr>
          <w:rFonts w:ascii="Arial" w:cs="Arial" w:eastAsia="Arial" w:hAnsi="Arial"/>
          <w:sz w:val="16"/>
          <w:szCs w:val="16"/>
          <w:color w:val="auto"/>
        </w:rPr>
        <w:t>for Taxes of any other Person (other than any Group Company) by reason of contract, successor liability, operation of Law or otherwise. No Group Company is, or has been, a party to, involved with, bound by or otherwise subject to any Tax-sharing agreement, Tax-allocation agreement or similar agreement with any Person other than any Group Company.</w:t>
      </w:r>
    </w:p>
    <w:p>
      <w:pPr>
        <w:spacing w:after="0" w:line="149" w:lineRule="exact"/>
        <w:rPr>
          <w:sz w:val="20"/>
          <w:szCs w:val="20"/>
          <w:color w:val="auto"/>
        </w:rPr>
      </w:pPr>
    </w:p>
    <w:p>
      <w:pPr>
        <w:ind w:left="200" w:firstLine="1293"/>
        <w:spacing w:after="0" w:line="270" w:lineRule="auto"/>
        <w:tabs>
          <w:tab w:leader="none" w:pos="216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No Group Company will be required to include material amounts in income, or exclude material items of deduction, or qualification for Tax exemption, Tax holiday, Tax credit, Tax incentive or Tax refund, in any taxable period beginning after the Closing Date as a result of (i) a change in method of accounting occurring on or prior to the Closing Date, (ii) agreement with any Government Authority executed on or prior to the Closing Date, (iii) installment sale or open transaction disposition made on or prior to the Closing Date, or (iv) prepaid amount received on or prior to the Closing Date. To the Knowledge of the Warrantors, the transactions contemplated under this Agreement and the other Transaction Documents to which any Group Company is a party are not in violation of any applicable Law regarding Tax, and will not result in any Tax exemption, Tax holiday, Tax credit, Tax incentive, Tax refund being revoked, cancelled or terminated or trigger any Tax liability for the Group Company.</w:t>
      </w:r>
    </w:p>
    <w:p>
      <w:pPr>
        <w:spacing w:after="0" w:line="180" w:lineRule="exact"/>
        <w:rPr>
          <w:rFonts w:ascii="Arial" w:cs="Arial" w:eastAsia="Arial" w:hAnsi="Arial"/>
          <w:sz w:val="17"/>
          <w:szCs w:val="17"/>
          <w:color w:val="auto"/>
        </w:rPr>
      </w:pPr>
    </w:p>
    <w:p>
      <w:pPr>
        <w:ind w:left="200" w:right="100" w:firstLine="1293"/>
        <w:spacing w:after="0" w:line="257" w:lineRule="auto"/>
        <w:tabs>
          <w:tab w:leader="none" w:pos="212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filing a consolidated Tax Return (other than an Affiliated the common parent of which is the Company) or (ii) has any Liability for the Taxes of any Person (other than any Group Company) as a result of the Group Company being part of or owned by, or ceasing to be part of or owned by, an Affiliated, combined, consolidated, unitary or other similar group prior to the Closing, as a transferee or successor, by contract or otherwise.</w:t>
      </w:r>
    </w:p>
    <w:p>
      <w:pPr>
        <w:spacing w:after="0" w:line="187" w:lineRule="exact"/>
        <w:rPr>
          <w:rFonts w:ascii="Arial" w:cs="Arial" w:eastAsia="Arial" w:hAnsi="Arial"/>
          <w:sz w:val="18"/>
          <w:szCs w:val="18"/>
          <w:color w:val="auto"/>
        </w:rPr>
      </w:pPr>
    </w:p>
    <w:p>
      <w:pPr>
        <w:ind w:left="200" w:right="20" w:firstLine="1293"/>
        <w:spacing w:after="0" w:line="263" w:lineRule="auto"/>
        <w:tabs>
          <w:tab w:leader="none" w:pos="212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 Group Company is a party to any tax indemnity, tax collection or tax sharing or similar agreement or arrangement with any Person other than any Group Company pursuant to which it could have any obligation to make any payments after the Closing.</w:t>
      </w:r>
    </w:p>
    <w:p>
      <w:pPr>
        <w:spacing w:after="0" w:line="183" w:lineRule="exact"/>
        <w:rPr>
          <w:rFonts w:ascii="Arial" w:cs="Arial" w:eastAsia="Arial" w:hAnsi="Arial"/>
          <w:sz w:val="18"/>
          <w:szCs w:val="18"/>
          <w:color w:val="auto"/>
        </w:rPr>
      </w:pPr>
    </w:p>
    <w:p>
      <w:pPr>
        <w:ind w:left="200" w:right="200" w:firstLine="1293"/>
        <w:spacing w:after="0" w:line="277" w:lineRule="auto"/>
        <w:tabs>
          <w:tab w:leader="none" w:pos="211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Since incorporation, none of the Group Companies has received or is subject to any Tax ruling, Tax decision or entered into any agreements with any Tax authorities.</w:t>
      </w:r>
    </w:p>
    <w:p>
      <w:pPr>
        <w:spacing w:after="0" w:line="170" w:lineRule="exact"/>
        <w:rPr>
          <w:rFonts w:ascii="Arial" w:cs="Arial" w:eastAsia="Arial" w:hAnsi="Arial"/>
          <w:sz w:val="18"/>
          <w:szCs w:val="18"/>
          <w:color w:val="auto"/>
        </w:rPr>
      </w:pPr>
    </w:p>
    <w:p>
      <w:pPr>
        <w:ind w:left="200" w:right="40" w:firstLine="1293"/>
        <w:spacing w:after="0" w:line="293" w:lineRule="auto"/>
        <w:tabs>
          <w:tab w:leader="none" w:pos="212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None of the Group Companies has entered into: (i) any transaction the sole or main purpose of which was the avoidance or deferral or reduction of tax by any Group Company or any associated person; or (ii) any transaction the object of which was the exclusion or reduction of the amount of any income, profits, gains, sales, supplies or imports made or enjoyed by any Group Company or any associated Person for any tax purpose, or the creation or increase of the amount of any deduction, loss, allowance or credit claimed or intended to be claimed by any Group Company or any associated person for any Tax purpose, that may be challenged, disallowed or investigated by any Government Authority.</w:t>
      </w:r>
    </w:p>
    <w:p>
      <w:pPr>
        <w:spacing w:after="0" w:line="164" w:lineRule="exact"/>
        <w:rPr>
          <w:rFonts w:ascii="Arial" w:cs="Arial" w:eastAsia="Arial" w:hAnsi="Arial"/>
          <w:sz w:val="16"/>
          <w:szCs w:val="16"/>
          <w:color w:val="auto"/>
        </w:rPr>
      </w:pPr>
    </w:p>
    <w:p>
      <w:pPr>
        <w:ind w:left="200" w:right="140" w:firstLine="1293"/>
        <w:spacing w:after="0" w:line="263" w:lineRule="auto"/>
        <w:tabs>
          <w:tab w:leader="none" w:pos="2161"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Group Company is in material compliance with all transfer pricing requirements in all jurisdictions in which they are required to comply with applicable transfer pricing regulations (including without limitation the transfer pricing principles, laws, documentation requirements), and all the transactions</w:t>
      </w:r>
    </w:p>
    <w:p>
      <w:pPr>
        <w:spacing w:after="0" w:line="4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35" w:name="page336"/>
    <w:bookmarkEnd w:id="335"/>
    <w:p>
      <w:pPr>
        <w:ind w:left="80"/>
        <w:spacing w:after="0"/>
        <w:rPr>
          <w:sz w:val="20"/>
          <w:szCs w:val="20"/>
          <w:color w:val="auto"/>
        </w:rPr>
      </w:pPr>
      <w:r>
        <w:rPr>
          <w:rFonts w:ascii="Arial" w:cs="Arial" w:eastAsia="Arial" w:hAnsi="Arial"/>
          <w:sz w:val="18"/>
          <w:szCs w:val="18"/>
          <w:color w:val="auto"/>
        </w:rPr>
        <w:t>between any Group Company and other related Persons have been effected on an arm’s length basis.</w:t>
      </w:r>
    </w:p>
    <w:p>
      <w:pPr>
        <w:spacing w:after="0" w:line="225" w:lineRule="exact"/>
        <w:rPr>
          <w:sz w:val="20"/>
          <w:szCs w:val="20"/>
          <w:color w:val="auto"/>
        </w:rPr>
      </w:pPr>
    </w:p>
    <w:p>
      <w:pPr>
        <w:jc w:val="both"/>
        <w:ind w:left="200" w:right="100" w:firstLine="1293"/>
        <w:spacing w:after="0" w:line="259" w:lineRule="auto"/>
        <w:tabs>
          <w:tab w:leader="none" w:pos="216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To the Knowledge of the Warrantors, there are no circumstances which have caused or could cause any Government Authority to make any transfer pricing adjustment to the profits of any Group Company, or require any such adjustment to be made to the terms on which any such transaction is treated as taking place, and no such adjustment has been made or threatened.</w:t>
      </w:r>
    </w:p>
    <w:p>
      <w:pPr>
        <w:spacing w:after="0" w:line="186" w:lineRule="exact"/>
        <w:rPr>
          <w:rFonts w:ascii="Arial" w:cs="Arial" w:eastAsia="Arial" w:hAnsi="Arial"/>
          <w:sz w:val="18"/>
          <w:szCs w:val="18"/>
          <w:color w:val="auto"/>
        </w:rPr>
      </w:pPr>
    </w:p>
    <w:p>
      <w:pPr>
        <w:ind w:left="200" w:firstLine="1293"/>
        <w:spacing w:after="0" w:line="301" w:lineRule="auto"/>
        <w:tabs>
          <w:tab w:leader="none" w:pos="216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Each Group Company has complied with all statutory provisions, rules, regulations, orders and directions in respect of any value added or similar Tax on consumption, has promptly submitted accurate returns, maintains full and accurate records, and has never been subject to any interest, forfeiture, surcharge or penalty and is not a member of a group or consolidation with any other company for the purposes of value added or similar Tax on consumption.</w:t>
      </w:r>
    </w:p>
    <w:p>
      <w:pPr>
        <w:spacing w:after="0" w:line="157" w:lineRule="exact"/>
        <w:rPr>
          <w:rFonts w:ascii="Arial" w:cs="Arial" w:eastAsia="Arial" w:hAnsi="Arial"/>
          <w:sz w:val="16"/>
          <w:szCs w:val="16"/>
          <w:color w:val="auto"/>
        </w:rPr>
      </w:pPr>
    </w:p>
    <w:p>
      <w:pPr>
        <w:ind w:left="200" w:right="20" w:firstLine="1293"/>
        <w:spacing w:after="0" w:line="311" w:lineRule="auto"/>
        <w:tabs>
          <w:tab w:leader="none" w:pos="2169" w:val="left"/>
        </w:tabs>
        <w:numPr>
          <w:ilvl w:val="0"/>
          <w:numId w:val="230"/>
        </w:numPr>
        <w:rPr>
          <w:rFonts w:ascii="Arial" w:cs="Arial" w:eastAsia="Arial" w:hAnsi="Arial"/>
          <w:sz w:val="16"/>
          <w:szCs w:val="16"/>
          <w:color w:val="auto"/>
        </w:rPr>
      </w:pPr>
      <w:r>
        <w:rPr>
          <w:rFonts w:ascii="Arial" w:cs="Arial" w:eastAsia="Arial" w:hAnsi="Arial"/>
          <w:sz w:val="16"/>
          <w:szCs w:val="16"/>
          <w:color w:val="auto"/>
        </w:rPr>
        <w:t>No Group Company has filed any U.S. Tax election, including any entity classification election pursuant to any applicable U.S. Treasury Regulations. The Company is not a “passive foreign investment company” within the meaning of Code Section 1297(a). No Group Company owns a less than 25% equity interest (by value) in any other entity.</w:t>
      </w:r>
    </w:p>
    <w:p>
      <w:pPr>
        <w:spacing w:after="0" w:line="148" w:lineRule="exact"/>
        <w:rPr>
          <w:rFonts w:ascii="Arial" w:cs="Arial" w:eastAsia="Arial" w:hAnsi="Arial"/>
          <w:sz w:val="16"/>
          <w:szCs w:val="16"/>
          <w:color w:val="auto"/>
        </w:rPr>
      </w:pPr>
    </w:p>
    <w:p>
      <w:pPr>
        <w:ind w:left="2160" w:hanging="667"/>
        <w:spacing w:after="0"/>
        <w:tabs>
          <w:tab w:leader="none" w:pos="21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No Group Company residing outside the PRC is or has ever been a real estate corporation.</w:t>
      </w:r>
    </w:p>
    <w:p>
      <w:pPr>
        <w:spacing w:after="0" w:line="236" w:lineRule="exact"/>
        <w:rPr>
          <w:rFonts w:ascii="Arial" w:cs="Arial" w:eastAsia="Arial" w:hAnsi="Arial"/>
          <w:sz w:val="17"/>
          <w:szCs w:val="17"/>
          <w:color w:val="auto"/>
        </w:rPr>
      </w:pPr>
    </w:p>
    <w:p>
      <w:pPr>
        <w:ind w:left="200" w:right="40" w:firstLine="1293"/>
        <w:spacing w:after="0" w:line="255" w:lineRule="auto"/>
        <w:tabs>
          <w:tab w:leader="none" w:pos="213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Each Group Company is in compliance with, and has not breached in any material respect, any representation, condition or undertaking made by it to obtain or to maintain any financial subsidies or other preferential treatment granted by any Government Authorities (the “</w:t>
      </w:r>
      <w:r>
        <w:rPr>
          <w:rFonts w:ascii="Arial" w:cs="Arial" w:eastAsia="Arial" w:hAnsi="Arial"/>
          <w:sz w:val="18"/>
          <w:szCs w:val="18"/>
          <w:u w:val="single" w:color="auto"/>
          <w:color w:val="auto"/>
        </w:rPr>
        <w:t>Subsidy</w:t>
      </w:r>
      <w:r>
        <w:rPr>
          <w:rFonts w:ascii="Arial" w:cs="Arial" w:eastAsia="Arial" w:hAnsi="Arial"/>
          <w:sz w:val="18"/>
          <w:szCs w:val="18"/>
          <w:color w:val="auto"/>
        </w:rPr>
        <w:t>”). Neither the execution of this Agreement, nor the performance of any transactions contemplated herein will, pursuant to the express terms of any Subsidy, result in the cancellation, limitation or reduction of any such Subsidy or require any repayment of, any reapplication for or reissuance of, or any posting of additional security for the maintenance of, any Subsidy.</w:t>
      </w:r>
    </w:p>
    <w:p>
      <w:pPr>
        <w:spacing w:after="0" w:line="192" w:lineRule="exact"/>
        <w:rPr>
          <w:sz w:val="20"/>
          <w:szCs w:val="20"/>
          <w:color w:val="auto"/>
        </w:rPr>
      </w:pPr>
    </w:p>
    <w:p>
      <w:pPr>
        <w:ind w:left="820"/>
        <w:spacing w:after="0"/>
        <w:tabs>
          <w:tab w:leader="none" w:pos="21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left="200" w:right="560" w:firstLine="1293"/>
        <w:spacing w:after="0" w:line="277" w:lineRule="auto"/>
        <w:tabs>
          <w:tab w:leader="none" w:pos="215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For the purposes of this Agreement, “</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 Contract to which a Group Company is a party or otherwise bound that:</w:t>
      </w:r>
    </w:p>
    <w:p>
      <w:pPr>
        <w:spacing w:after="0" w:line="170" w:lineRule="exact"/>
        <w:rPr>
          <w:rFonts w:ascii="Arial" w:cs="Arial" w:eastAsia="Arial" w:hAnsi="Arial"/>
          <w:sz w:val="18"/>
          <w:szCs w:val="18"/>
          <w:color w:val="auto"/>
        </w:rPr>
      </w:pPr>
    </w:p>
    <w:p>
      <w:pPr>
        <w:ind w:left="840" w:firstLine="1301"/>
        <w:spacing w:after="0" w:line="291" w:lineRule="auto"/>
        <w:tabs>
          <w:tab w:leader="none" w:pos="2769"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top 53 supplier contracts (in terms of the payments made by the Group Companies pursuant thereto in the first half of 2019) that collectively represent 50% of the aggregate payments made to all the suppliers by the Group Companies in the first half of 2019, (y) is a top 20 contract (in terms of gross merchandise volume in 2019) entered with a third party seller selling on the Group Companies’ platform, (z) involves payments (or a series of payments) not otherwise covered in the preceding clauses (x) and (y), contingent or otherwise, of US$2,000,000 (or the equivalent thereof in another currency) or more individually or US$5,000,000 (or the equivalent thereof in another currency) or more in the aggregate, in cash, property or services;</w:t>
      </w:r>
    </w:p>
    <w:p>
      <w:pPr>
        <w:spacing w:after="0" w:line="38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80"/>
          </w:cols>
          <w:pgMar w:left="1440" w:top="125" w:right="1079" w:bottom="1440" w:gutter="0" w:footer="0" w:header="0"/>
        </w:sectPr>
      </w:pPr>
    </w:p>
    <w:bookmarkStart w:id="336" w:name="page337"/>
    <w:bookmarkEnd w:id="336"/>
    <w:p>
      <w:pPr>
        <w:ind w:left="2820" w:hanging="679"/>
        <w:spacing w:after="0"/>
        <w:tabs>
          <w:tab w:leader="none" w:pos="28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is with a Government Authority that is material to the Business;</w:t>
      </w:r>
    </w:p>
    <w:p>
      <w:pPr>
        <w:spacing w:after="0" w:line="225" w:lineRule="exact"/>
        <w:rPr>
          <w:rFonts w:ascii="Arial" w:cs="Arial" w:eastAsia="Arial" w:hAnsi="Arial"/>
          <w:sz w:val="18"/>
          <w:szCs w:val="18"/>
          <w:color w:val="auto"/>
        </w:rPr>
      </w:pPr>
    </w:p>
    <w:p>
      <w:pPr>
        <w:ind w:left="840" w:right="520" w:firstLine="1301"/>
        <w:spacing w:after="0" w:line="308" w:lineRule="auto"/>
        <w:tabs>
          <w:tab w:leader="none" w:pos="2856" w:val="left"/>
        </w:tabs>
        <w:numPr>
          <w:ilvl w:val="0"/>
          <w:numId w:val="232"/>
        </w:numPr>
        <w:rPr>
          <w:rFonts w:ascii="Arial" w:cs="Arial" w:eastAsia="Arial" w:hAnsi="Arial"/>
          <w:sz w:val="17"/>
          <w:szCs w:val="17"/>
          <w:color w:val="auto"/>
        </w:rPr>
      </w:pPr>
      <w:r>
        <w:rPr>
          <w:rFonts w:ascii="Arial" w:cs="Arial" w:eastAsia="Arial" w:hAnsi="Arial"/>
          <w:sz w:val="17"/>
          <w:szCs w:val="17"/>
          <w:color w:val="auto"/>
        </w:rPr>
        <w:t>limits or restricts any Group Company’s ability to compete or otherwise conduct the Business in any manner, time or place, or that contains any exclusivity or change in control provision;</w:t>
      </w:r>
    </w:p>
    <w:p>
      <w:pPr>
        <w:spacing w:after="0" w:line="146" w:lineRule="exact"/>
        <w:rPr>
          <w:rFonts w:ascii="Arial" w:cs="Arial" w:eastAsia="Arial" w:hAnsi="Arial"/>
          <w:sz w:val="17"/>
          <w:szCs w:val="17"/>
          <w:color w:val="auto"/>
        </w:rPr>
      </w:pPr>
    </w:p>
    <w:p>
      <w:pPr>
        <w:ind w:left="840" w:right="20" w:firstLine="1301"/>
        <w:spacing w:after="0" w:line="259" w:lineRule="auto"/>
        <w:tabs>
          <w:tab w:leader="none" w:pos="2846"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involves any provisions providing for exclusivity, non-compete, “change in control,” “most favored nations,” rights of first refusal or first negotiation or similar rights against any Group Company, or grants a power of attorney, agency or similar authority by any Group Company, in each case, material to the conduct of the Business;</w:t>
      </w:r>
    </w:p>
    <w:p>
      <w:pPr>
        <w:spacing w:after="0" w:line="186" w:lineRule="exact"/>
        <w:rPr>
          <w:rFonts w:ascii="Arial" w:cs="Arial" w:eastAsia="Arial" w:hAnsi="Arial"/>
          <w:sz w:val="18"/>
          <w:szCs w:val="18"/>
          <w:color w:val="auto"/>
        </w:rPr>
      </w:pPr>
    </w:p>
    <w:p>
      <w:pPr>
        <w:ind w:left="840" w:firstLine="1301"/>
        <w:spacing w:after="0" w:line="263" w:lineRule="auto"/>
        <w:tabs>
          <w:tab w:leader="none" w:pos="28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relates to Indebtedness, provides for an extension of credit, provides for indemnification or any guaranty, or provides for a “keep well” or other agreement to maintain any financial statement condition of another Person, except for intra-group loans or Indebtedness;</w:t>
      </w:r>
    </w:p>
    <w:p>
      <w:pPr>
        <w:spacing w:after="0" w:line="183" w:lineRule="exact"/>
        <w:rPr>
          <w:rFonts w:ascii="Arial" w:cs="Arial" w:eastAsia="Arial" w:hAnsi="Arial"/>
          <w:sz w:val="18"/>
          <w:szCs w:val="18"/>
          <w:color w:val="auto"/>
        </w:rPr>
      </w:pPr>
    </w:p>
    <w:p>
      <w:pPr>
        <w:ind w:left="840" w:right="140" w:firstLine="1301"/>
        <w:spacing w:after="0" w:line="277" w:lineRule="auto"/>
        <w:tabs>
          <w:tab w:leader="none" w:pos="285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relates to any Company Intellectual Property or Licensed Intellectual Property, other than “shrink-wrap” or “off-the-shelf” commercially available Software;</w:t>
      </w:r>
    </w:p>
    <w:p>
      <w:pPr>
        <w:spacing w:after="0" w:line="170" w:lineRule="exact"/>
        <w:rPr>
          <w:rFonts w:ascii="Arial" w:cs="Arial" w:eastAsia="Arial" w:hAnsi="Arial"/>
          <w:sz w:val="18"/>
          <w:szCs w:val="18"/>
          <w:color w:val="auto"/>
        </w:rPr>
      </w:pPr>
    </w:p>
    <w:p>
      <w:pPr>
        <w:ind w:left="2860" w:hanging="719"/>
        <w:spacing w:after="0"/>
        <w:tabs>
          <w:tab w:leader="none" w:pos="2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is a Control Document;</w:t>
      </w:r>
    </w:p>
    <w:p>
      <w:pPr>
        <w:spacing w:after="0" w:line="225" w:lineRule="exact"/>
        <w:rPr>
          <w:rFonts w:ascii="Arial" w:cs="Arial" w:eastAsia="Arial" w:hAnsi="Arial"/>
          <w:sz w:val="18"/>
          <w:szCs w:val="18"/>
          <w:color w:val="auto"/>
        </w:rPr>
      </w:pPr>
    </w:p>
    <w:p>
      <w:pPr>
        <w:ind w:left="2880" w:hanging="739"/>
        <w:spacing w:after="0"/>
        <w:tabs>
          <w:tab w:leader="none" w:pos="28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is a Related Party Contract;</w:t>
      </w:r>
    </w:p>
    <w:p>
      <w:pPr>
        <w:spacing w:after="0" w:line="225" w:lineRule="exact"/>
        <w:rPr>
          <w:rFonts w:ascii="Arial" w:cs="Arial" w:eastAsia="Arial" w:hAnsi="Arial"/>
          <w:sz w:val="18"/>
          <w:szCs w:val="18"/>
          <w:color w:val="auto"/>
        </w:rPr>
      </w:pPr>
    </w:p>
    <w:p>
      <w:pPr>
        <w:ind w:left="2860" w:hanging="719"/>
        <w:spacing w:after="0"/>
        <w:tabs>
          <w:tab w:leader="none" w:pos="286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is a lease on real or personal property that is material to the conduct of the Business;</w:t>
      </w:r>
    </w:p>
    <w:p>
      <w:pPr>
        <w:spacing w:after="0" w:line="236" w:lineRule="exact"/>
        <w:rPr>
          <w:rFonts w:ascii="Arial" w:cs="Arial" w:eastAsia="Arial" w:hAnsi="Arial"/>
          <w:sz w:val="17"/>
          <w:szCs w:val="17"/>
          <w:color w:val="auto"/>
        </w:rPr>
      </w:pPr>
    </w:p>
    <w:p>
      <w:pPr>
        <w:ind w:left="840" w:right="600" w:firstLine="1301"/>
        <w:spacing w:after="0" w:line="277" w:lineRule="auto"/>
        <w:tabs>
          <w:tab w:leader="none" w:pos="280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relates to the acquisition of the business, material assets or equity of another Person (whether by merger, sale of equity, sale of assets or otherwise);</w:t>
      </w:r>
    </w:p>
    <w:p>
      <w:pPr>
        <w:spacing w:after="0" w:line="170" w:lineRule="exact"/>
        <w:rPr>
          <w:rFonts w:ascii="Arial" w:cs="Arial" w:eastAsia="Arial" w:hAnsi="Arial"/>
          <w:sz w:val="18"/>
          <w:szCs w:val="18"/>
          <w:color w:val="auto"/>
        </w:rPr>
      </w:pPr>
    </w:p>
    <w:p>
      <w:pPr>
        <w:ind w:left="840" w:right="20" w:firstLine="1301"/>
        <w:spacing w:after="0" w:line="277" w:lineRule="auto"/>
        <w:tabs>
          <w:tab w:leader="none" w:pos="281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relates to any partnership, joint venture, strategic alliance or collaboration, global affiliation or business cooperation or sharing of profits or proprietary information or similar arrangement; or</w:t>
      </w:r>
    </w:p>
    <w:p>
      <w:pPr>
        <w:spacing w:after="0" w:line="170" w:lineRule="exact"/>
        <w:rPr>
          <w:rFonts w:ascii="Arial" w:cs="Arial" w:eastAsia="Arial" w:hAnsi="Arial"/>
          <w:sz w:val="18"/>
          <w:szCs w:val="18"/>
          <w:color w:val="auto"/>
        </w:rPr>
      </w:pPr>
    </w:p>
    <w:p>
      <w:pPr>
        <w:ind w:left="840" w:firstLine="1301"/>
        <w:spacing w:after="0" w:line="263" w:lineRule="auto"/>
        <w:tabs>
          <w:tab w:leader="none" w:pos="281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is a futures, swap, hedge, collar, put, call, floor, cap option or other Contract that is intended to benefit from or reduce or eliminate the risk of fluctuations in interest rates, exchange rates or the price of commodities.</w:t>
      </w:r>
    </w:p>
    <w:p>
      <w:pPr>
        <w:spacing w:after="0" w:line="184" w:lineRule="exact"/>
        <w:rPr>
          <w:sz w:val="20"/>
          <w:szCs w:val="20"/>
          <w:color w:val="auto"/>
        </w:rPr>
      </w:pPr>
    </w:p>
    <w:p>
      <w:pPr>
        <w:ind w:left="200" w:right="120" w:firstLine="648"/>
        <w:spacing w:after="0" w:line="263" w:lineRule="auto"/>
        <w:rPr>
          <w:sz w:val="20"/>
          <w:szCs w:val="20"/>
          <w:color w:val="auto"/>
        </w:rPr>
      </w:pP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of the Disclosure Schedule sets forth a true and complete list of the foregoing Material Contracts. The Seller has made available to the Purchaser true and correct copies of the Material Contracts except as otherwise indicated in </w:t>
      </w:r>
      <w:r>
        <w:rPr>
          <w:rFonts w:ascii="Arial" w:cs="Arial" w:eastAsia="Arial" w:hAnsi="Arial"/>
          <w:sz w:val="18"/>
          <w:szCs w:val="18"/>
          <w:u w:val="single" w:color="auto"/>
          <w:color w:val="auto"/>
        </w:rPr>
        <w:t>Section 3.14(a)</w:t>
      </w:r>
      <w:r>
        <w:rPr>
          <w:rFonts w:ascii="Arial" w:cs="Arial" w:eastAsia="Arial" w:hAnsi="Arial"/>
          <w:sz w:val="18"/>
          <w:szCs w:val="18"/>
          <w:color w:val="auto"/>
        </w:rPr>
        <w:t xml:space="preserve"> of the Disclosure Schedule.</w:t>
      </w:r>
    </w:p>
    <w:p>
      <w:pPr>
        <w:spacing w:after="0" w:line="184" w:lineRule="exact"/>
        <w:rPr>
          <w:sz w:val="20"/>
          <w:szCs w:val="20"/>
          <w:color w:val="auto"/>
        </w:rPr>
      </w:pPr>
    </w:p>
    <w:p>
      <w:pPr>
        <w:ind w:left="200" w:firstLine="1293"/>
        <w:spacing w:after="0" w:line="259" w:lineRule="auto"/>
        <w:tabs>
          <w:tab w:leader="none" w:pos="216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Each Material Contract is a valid and binding agreement of the parties thereto, the performance of which does not and will not violate, in any material respects, any applicable Law or Order, and is in full force and effect and enforceable in accordance with its terms; and (ii) each Group Company has duly performed all of its obligations in all material respects under each Material Contract</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37" w:name="page338"/>
    <w:bookmarkEnd w:id="337"/>
    <w:p>
      <w:pPr>
        <w:ind w:left="200"/>
        <w:spacing w:after="0" w:line="290" w:lineRule="auto"/>
        <w:rPr>
          <w:sz w:val="20"/>
          <w:szCs w:val="20"/>
          <w:color w:val="auto"/>
        </w:rPr>
      </w:pPr>
      <w:r>
        <w:rPr>
          <w:rFonts w:ascii="Arial" w:cs="Arial" w:eastAsia="Arial" w:hAnsi="Arial"/>
          <w:sz w:val="16"/>
          <w:szCs w:val="16"/>
          <w:color w:val="auto"/>
        </w:rPr>
        <w:t>to which it is a party to the extent that such obligations to perform have accrued, and no material breach or default, alleged breach or alleged material default, or event which would (with the passage of time, notice or both) constitute a material breach or default thereunder by such Group Company or any other party or obligor with respect thereto, has occurred, or as a result of the execution, delivery, and performance of the Transaction Documents will occur. To the Knowledge of the Warrantors, no Group Company has given notice (whether or not written) that it intends to terminate a Material Contract or that any other party thereto has materially breached, violated or defaulted under any Material Contract. To the Knowledge of the Warrantors, no Group Company has received any notice (whether written or not) that it has materially breached, violated or defaulted under any Material Contract or that any other party thereto intends to terminate such Material Contract.</w:t>
      </w:r>
    </w:p>
    <w:p>
      <w:pPr>
        <w:spacing w:after="0" w:line="165" w:lineRule="exact"/>
        <w:rPr>
          <w:sz w:val="20"/>
          <w:szCs w:val="20"/>
          <w:color w:val="auto"/>
        </w:rPr>
      </w:pPr>
    </w:p>
    <w:p>
      <w:pPr>
        <w:ind w:left="840"/>
        <w:spacing w:after="0"/>
        <w:tabs>
          <w:tab w:leader="none" w:pos="212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Compliance with Laws and Other Instruments</w:t>
      </w:r>
      <w:r>
        <w:rPr>
          <w:rFonts w:ascii="Arial" w:cs="Arial" w:eastAsia="Arial" w:hAnsi="Arial"/>
          <w:sz w:val="16"/>
          <w:szCs w:val="16"/>
          <w:color w:val="auto"/>
        </w:rPr>
        <w:t>.</w:t>
      </w:r>
    </w:p>
    <w:p>
      <w:pPr>
        <w:spacing w:after="0" w:line="225" w:lineRule="exact"/>
        <w:rPr>
          <w:sz w:val="20"/>
          <w:szCs w:val="20"/>
          <w:color w:val="auto"/>
        </w:rPr>
      </w:pPr>
    </w:p>
    <w:p>
      <w:pPr>
        <w:ind w:left="200" w:right="160" w:firstLine="1293"/>
        <w:spacing w:after="0" w:line="259" w:lineRule="auto"/>
        <w:tabs>
          <w:tab w:leader="none" w:pos="21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3.15(a)</w:t>
      </w:r>
      <w:r>
        <w:rPr>
          <w:rFonts w:ascii="Arial" w:cs="Arial" w:eastAsia="Arial" w:hAnsi="Arial"/>
          <w:sz w:val="18"/>
          <w:szCs w:val="18"/>
          <w:color w:val="auto"/>
        </w:rPr>
        <w:t xml:space="preserve"> of the Disclosure Schedule, each of the Group Companies is in compliance in all material respects with all Laws and Orders that are applicable to it or to the conduct or operation of the Business (including without limitation, the gift card business) or the ownership or use of any of its properties, assets and Intellectual Property.</w:t>
      </w:r>
    </w:p>
    <w:p>
      <w:pPr>
        <w:spacing w:after="0" w:line="186" w:lineRule="exact"/>
        <w:rPr>
          <w:rFonts w:ascii="Arial" w:cs="Arial" w:eastAsia="Arial" w:hAnsi="Arial"/>
          <w:sz w:val="18"/>
          <w:szCs w:val="18"/>
          <w:color w:val="auto"/>
        </w:rPr>
      </w:pPr>
    </w:p>
    <w:p>
      <w:pPr>
        <w:ind w:left="200" w:right="20" w:firstLine="1293"/>
        <w:spacing w:after="0" w:line="257" w:lineRule="auto"/>
        <w:tabs>
          <w:tab w:leader="none" w:pos="216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No event has occurred or circumstances exist that (with or without notice or lapse of time) (i) may constitute or result in a violation by any Group Company of, or a failure on the part of such Group Company to comply with, any Law (including without limitation, the Specified Laws) or Order in any material respect or (ii) may give rise to any material obligation on the part of any Group Company to undertake, or to bear all or any portion of the cost of, any remedial action that would require any material change to the Business in the future.</w:t>
      </w:r>
    </w:p>
    <w:p>
      <w:pPr>
        <w:spacing w:after="0" w:line="187" w:lineRule="exact"/>
        <w:rPr>
          <w:rFonts w:ascii="Arial" w:cs="Arial" w:eastAsia="Arial" w:hAnsi="Arial"/>
          <w:sz w:val="18"/>
          <w:szCs w:val="18"/>
          <w:color w:val="auto"/>
        </w:rPr>
      </w:pPr>
    </w:p>
    <w:p>
      <w:pPr>
        <w:ind w:left="200" w:firstLine="1293"/>
        <w:spacing w:after="0" w:line="255" w:lineRule="auto"/>
        <w:tabs>
          <w:tab w:leader="none" w:pos="21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3.15(c)</w:t>
      </w:r>
      <w:r>
        <w:rPr>
          <w:rFonts w:ascii="Arial" w:cs="Arial" w:eastAsia="Arial" w:hAnsi="Arial"/>
          <w:sz w:val="18"/>
          <w:szCs w:val="18"/>
          <w:color w:val="auto"/>
        </w:rPr>
        <w:t xml:space="preserve"> of the Disclosure Schedule</w:t>
      </w:r>
      <w:r>
        <w:rPr>
          <w:rFonts w:ascii="Arial" w:cs="Arial" w:eastAsia="Arial" w:hAnsi="Arial"/>
          <w:sz w:val="18"/>
          <w:szCs w:val="18"/>
          <w:u w:val="single" w:color="auto"/>
          <w:color w:val="auto"/>
        </w:rPr>
        <w:t>,</w:t>
      </w:r>
      <w:r>
        <w:rPr>
          <w:rFonts w:ascii="Arial" w:cs="Arial" w:eastAsia="Arial" w:hAnsi="Arial"/>
          <w:sz w:val="18"/>
          <w:szCs w:val="18"/>
          <w:color w:val="auto"/>
        </w:rPr>
        <w:t xml:space="preserve"> none of the Group Companies has received any notice or other communication (whether oral or written) from any Government Authority regarding (i) any actual, alleged, possible, or potential violation of, or failure to comply with, any Law (including without limitation any Specified Laws) or Order in any material respect or (ii) any actual, alleged, possible, or potential material obligation on the part of such Group Company to undertake, or to bear all or any portion of the cost of, any remedial action that would require any material change to the Business in the future.</w:t>
      </w:r>
    </w:p>
    <w:p>
      <w:pPr>
        <w:spacing w:after="0" w:line="192" w:lineRule="exact"/>
        <w:rPr>
          <w:rFonts w:ascii="Arial" w:cs="Arial" w:eastAsia="Arial" w:hAnsi="Arial"/>
          <w:sz w:val="18"/>
          <w:szCs w:val="18"/>
          <w:color w:val="auto"/>
        </w:rPr>
      </w:pPr>
    </w:p>
    <w:p>
      <w:pPr>
        <w:ind w:left="200" w:firstLine="1293"/>
        <w:spacing w:after="0" w:line="270" w:lineRule="auto"/>
        <w:tabs>
          <w:tab w:leader="none" w:pos="216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To the Knowledge of the Warrantors, none of the Group Companies, nor any shareholder, executive officer, employee, director or supervisor of any of the Group Companies, and no representative, distributor, reseller, consultants, agent, service provider or other party acting on behalf of persons identified above (individually and collectively,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Representatives</w:t>
      </w:r>
      <w:r>
        <w:rPr>
          <w:rFonts w:ascii="Arial" w:cs="Arial" w:eastAsia="Arial" w:hAnsi="Arial"/>
          <w:sz w:val="17"/>
          <w:szCs w:val="17"/>
          <w:color w:val="auto"/>
        </w:rPr>
        <w:t>”) has made, offered, promised, authorized or condoned, or shall make, offer, promise, authorize or condone any Prohibited Payment in connection with the activities of the Company or the negotiation, approval or performance of the Transaction Documents. A “</w:t>
      </w:r>
      <w:r>
        <w:rPr>
          <w:rFonts w:ascii="Arial" w:cs="Arial" w:eastAsia="Arial" w:hAnsi="Arial"/>
          <w:sz w:val="17"/>
          <w:szCs w:val="17"/>
          <w:u w:val="single" w:color="auto"/>
          <w:color w:val="auto"/>
        </w:rPr>
        <w:t>Prohibited Payment</w:t>
      </w:r>
      <w:r>
        <w:rPr>
          <w:rFonts w:ascii="Arial" w:cs="Arial" w:eastAsia="Arial" w:hAnsi="Arial"/>
          <w:sz w:val="17"/>
          <w:szCs w:val="17"/>
          <w:color w:val="auto"/>
        </w:rPr>
        <w:t>” means any gift, transfer or payment of money or anything of value that is offered, promised or given to any Government Entity, Government Official or Person, directly or indirectly, under circumstances where any Group Company or Company Representative knows or ought to know that all or a portion of the Prohibited Payment is (A) made in violation of laws relating to anti-bribery or</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38" w:name="page339"/>
    <w:bookmarkEnd w:id="338"/>
    <w:p>
      <w:pPr>
        <w:ind w:left="200" w:right="120"/>
        <w:spacing w:after="0" w:line="286" w:lineRule="auto"/>
        <w:rPr>
          <w:sz w:val="20"/>
          <w:szCs w:val="20"/>
          <w:color w:val="auto"/>
        </w:rPr>
      </w:pPr>
      <w:r>
        <w:rPr>
          <w:rFonts w:ascii="Arial" w:cs="Arial" w:eastAsia="Arial" w:hAnsi="Arial"/>
          <w:sz w:val="16"/>
          <w:szCs w:val="16"/>
          <w:color w:val="auto"/>
        </w:rPr>
        <w:t>anti-corruption (governmental or commercial) that apply to the business and dealings of any Group Company, including the PRC Criminal Law, the PRC Law on Anti-Unfair Competition, the Interim Rules on Prevention of Commercial Bribery issued by the PRC State Administration of Industry and Commerce on November 15, 1996, the U.S. Foreign Corrupt Practices Act of 1977, as amended from time to time, the U.K. Bribery Act or other applicable laws (collectively, the “</w:t>
      </w:r>
      <w:r>
        <w:rPr>
          <w:rFonts w:ascii="Arial" w:cs="Arial" w:eastAsia="Arial" w:hAnsi="Arial"/>
          <w:sz w:val="16"/>
          <w:szCs w:val="16"/>
          <w:u w:val="single" w:color="auto"/>
          <w:color w:val="auto"/>
        </w:rPr>
        <w:t>Anti-Corruption Laws</w:t>
      </w:r>
      <w:r>
        <w:rPr>
          <w:rFonts w:ascii="Arial" w:cs="Arial" w:eastAsia="Arial" w:hAnsi="Arial"/>
          <w:sz w:val="16"/>
          <w:szCs w:val="16"/>
          <w:color w:val="auto"/>
        </w:rPr>
        <w:t>”),</w:t>
      </w:r>
    </w:p>
    <w:p>
      <w:pPr>
        <w:spacing w:after="0" w:line="1" w:lineRule="exact"/>
        <w:rPr>
          <w:sz w:val="20"/>
          <w:szCs w:val="20"/>
          <w:color w:val="auto"/>
        </w:rPr>
      </w:pPr>
    </w:p>
    <w:p>
      <w:pPr>
        <w:ind w:left="480" w:hanging="283"/>
        <w:spacing w:after="0"/>
        <w:tabs>
          <w:tab w:leader="none" w:pos="4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made with the intent or purpose of: (w) influencing any act or decision of any Government Official in his official capacity,</w:t>
      </w:r>
    </w:p>
    <w:p>
      <w:pPr>
        <w:spacing w:after="0" w:line="32" w:lineRule="exact"/>
        <w:rPr>
          <w:rFonts w:ascii="Arial" w:cs="Arial" w:eastAsia="Arial" w:hAnsi="Arial"/>
          <w:sz w:val="16"/>
          <w:szCs w:val="16"/>
          <w:color w:val="auto"/>
        </w:rPr>
      </w:pPr>
    </w:p>
    <w:p>
      <w:pPr>
        <w:ind w:left="200" w:right="60"/>
        <w:spacing w:after="0" w:line="252" w:lineRule="auto"/>
        <w:rPr>
          <w:rFonts w:ascii="Arial" w:cs="Arial" w:eastAsia="Arial" w:hAnsi="Arial"/>
          <w:sz w:val="16"/>
          <w:szCs w:val="16"/>
          <w:color w:val="auto"/>
        </w:rPr>
      </w:pPr>
      <w:r>
        <w:rPr>
          <w:rFonts w:ascii="Arial" w:cs="Arial" w:eastAsia="Arial" w:hAnsi="Arial"/>
          <w:sz w:val="18"/>
          <w:szCs w:val="18"/>
          <w:color w:val="auto"/>
        </w:rPr>
        <w:t>(x) inducing any Government Official or Person to do or omit to do any act in violation of his lawful duty, (y) securing any improper advantage, or (z) inducing such Government Official to use his influence with a Government Entity to affect or influence any act or decision of such Government Entity, in order to assist the Company or any Group Company in obtaining or retaining business for or with, or directing business to, any Person or (C) made to any Person while aware of a high probability that all or any portion of such thing of value would be paid, promised, offered or give to any Government Official with the intent or purpose described in subsection (B).</w:t>
      </w:r>
    </w:p>
    <w:p>
      <w:pPr>
        <w:spacing w:after="0" w:line="193" w:lineRule="exact"/>
        <w:rPr>
          <w:rFonts w:ascii="Arial" w:cs="Arial" w:eastAsia="Arial" w:hAnsi="Arial"/>
          <w:sz w:val="16"/>
          <w:szCs w:val="16"/>
          <w:color w:val="auto"/>
        </w:rPr>
      </w:pPr>
    </w:p>
    <w:p>
      <w:pPr>
        <w:ind w:left="200" w:firstLine="1293"/>
        <w:spacing w:after="0" w:line="271" w:lineRule="auto"/>
        <w:tabs>
          <w:tab w:leader="none" w:pos="215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None of any Group Company nor any of Company Representatives has ever violated the principle of fair competition, by offering or taking property or other interests to obtain business opportunities or other improper benefits, such as making payments or paying anything of value to existing or potential business partners (“</w:t>
      </w:r>
      <w:r>
        <w:rPr>
          <w:rFonts w:ascii="Arial" w:cs="Arial" w:eastAsia="Arial" w:hAnsi="Arial"/>
          <w:sz w:val="17"/>
          <w:szCs w:val="17"/>
          <w:u w:val="single" w:color="auto"/>
          <w:color w:val="auto"/>
        </w:rPr>
        <w:t>Business Partners</w:t>
      </w:r>
      <w:r>
        <w:rPr>
          <w:rFonts w:ascii="Arial" w:cs="Arial" w:eastAsia="Arial" w:hAnsi="Arial"/>
          <w:sz w:val="17"/>
          <w:szCs w:val="17"/>
          <w:color w:val="auto"/>
        </w:rPr>
        <w:t>”), in order to impose undue influence on Business Partners or to obtain inappropriate commercial advantage. Business Partners may include: Government Entities, non-government customers, suppliers or distributors, owners, directors, managers or other employees of the entities identified above, entities or individuals entrusted by Business Partners to handle relevant matters, entities or individuals that may take advantage of the work position or influential power to exercise influence on the transactions between the Group Companies and Business Partners.</w:t>
      </w:r>
    </w:p>
    <w:p>
      <w:pPr>
        <w:spacing w:after="0" w:line="178" w:lineRule="exact"/>
        <w:rPr>
          <w:rFonts w:ascii="Arial" w:cs="Arial" w:eastAsia="Arial" w:hAnsi="Arial"/>
          <w:sz w:val="17"/>
          <w:szCs w:val="17"/>
          <w:color w:val="auto"/>
        </w:rPr>
      </w:pPr>
    </w:p>
    <w:p>
      <w:pPr>
        <w:ind w:left="200" w:right="140" w:firstLine="1293"/>
        <w:spacing w:after="0" w:line="286" w:lineRule="auto"/>
        <w:tabs>
          <w:tab w:leader="none" w:pos="2139" w:val="left"/>
        </w:tabs>
        <w:numPr>
          <w:ilvl w:val="1"/>
          <w:numId w:val="235"/>
        </w:numPr>
        <w:rPr>
          <w:rFonts w:ascii="Arial" w:cs="Arial" w:eastAsia="Arial" w:hAnsi="Arial"/>
          <w:sz w:val="17"/>
          <w:szCs w:val="17"/>
          <w:color w:val="auto"/>
        </w:rPr>
      </w:pPr>
      <w:r>
        <w:rPr>
          <w:rFonts w:ascii="Arial" w:cs="Arial" w:eastAsia="Arial" w:hAnsi="Arial"/>
          <w:sz w:val="17"/>
          <w:szCs w:val="17"/>
          <w:color w:val="auto"/>
        </w:rPr>
        <w:t xml:space="preserve">Except as disclosed in </w:t>
      </w:r>
      <w:r>
        <w:rPr>
          <w:rFonts w:ascii="Arial" w:cs="Arial" w:eastAsia="Arial" w:hAnsi="Arial"/>
          <w:sz w:val="17"/>
          <w:szCs w:val="17"/>
          <w:u w:val="single" w:color="auto"/>
          <w:color w:val="auto"/>
        </w:rPr>
        <w:t>Section 3.15(f)</w:t>
      </w:r>
      <w:r>
        <w:rPr>
          <w:rFonts w:ascii="Arial" w:cs="Arial" w:eastAsia="Arial" w:hAnsi="Arial"/>
          <w:sz w:val="17"/>
          <w:szCs w:val="17"/>
          <w:color w:val="auto"/>
        </w:rPr>
        <w:t xml:space="preserve"> of the Disclosure Schedule, no Government Official or Government Entity presently owns an interest, whether direct or indirect, in the Company or any other Group Company or has any legal or beneficial interest in the Company or to payments made to the Company by the Purchaser hereunder.</w:t>
      </w:r>
    </w:p>
    <w:p>
      <w:pPr>
        <w:spacing w:after="0" w:line="165" w:lineRule="exact"/>
        <w:rPr>
          <w:rFonts w:ascii="Arial" w:cs="Arial" w:eastAsia="Arial" w:hAnsi="Arial"/>
          <w:sz w:val="17"/>
          <w:szCs w:val="17"/>
          <w:color w:val="auto"/>
        </w:rPr>
      </w:pPr>
    </w:p>
    <w:p>
      <w:pPr>
        <w:ind w:left="200" w:right="140" w:firstLine="1293"/>
        <w:spacing w:after="0" w:line="277" w:lineRule="auto"/>
        <w:tabs>
          <w:tab w:leader="none" w:pos="2124" w:val="left"/>
        </w:tabs>
        <w:numPr>
          <w:ilvl w:val="1"/>
          <w:numId w:val="235"/>
        </w:numPr>
        <w:rPr>
          <w:rFonts w:ascii="Arial" w:cs="Arial" w:eastAsia="Arial" w:hAnsi="Arial"/>
          <w:sz w:val="18"/>
          <w:szCs w:val="18"/>
          <w:color w:val="auto"/>
        </w:rPr>
      </w:pPr>
      <w:r>
        <w:rPr>
          <w:rFonts w:ascii="Arial" w:cs="Arial" w:eastAsia="Arial" w:hAnsi="Arial"/>
          <w:sz w:val="18"/>
          <w:szCs w:val="18"/>
          <w:color w:val="auto"/>
        </w:rPr>
        <w:t>None of the Group Companies is in violation of its business license, memorandum of association or articles of association, as appropriate, or equivalent constitutive documents as in effect.</w:t>
      </w:r>
    </w:p>
    <w:p>
      <w:pPr>
        <w:spacing w:after="0" w:line="170" w:lineRule="exact"/>
        <w:rPr>
          <w:sz w:val="20"/>
          <w:szCs w:val="20"/>
          <w:color w:val="auto"/>
        </w:rPr>
      </w:pPr>
    </w:p>
    <w:p>
      <w:pPr>
        <w:ind w:left="820"/>
        <w:spacing w:after="0"/>
        <w:tabs>
          <w:tab w:leader="none" w:pos="2160" w:val="left"/>
        </w:tabs>
        <w:rPr>
          <w:sz w:val="20"/>
          <w:szCs w:val="20"/>
          <w:color w:val="auto"/>
        </w:rPr>
      </w:pPr>
      <w:r>
        <w:rPr>
          <w:rFonts w:ascii="Arial" w:cs="Arial" w:eastAsia="Arial" w:hAnsi="Arial"/>
          <w:sz w:val="18"/>
          <w:szCs w:val="18"/>
          <w:color w:val="auto"/>
        </w:rPr>
        <w:t>Section 3.16</w:t>
      </w:r>
      <w:r>
        <w:rPr>
          <w:sz w:val="20"/>
          <w:szCs w:val="20"/>
          <w:color w:val="auto"/>
        </w:rPr>
        <w:tab/>
      </w:r>
      <w:r>
        <w:rPr>
          <w:rFonts w:ascii="Arial" w:cs="Arial" w:eastAsia="Arial" w:hAnsi="Arial"/>
          <w:sz w:val="16"/>
          <w:szCs w:val="16"/>
          <w:u w:val="single" w:color="auto"/>
          <w:color w:val="auto"/>
        </w:rPr>
        <w:t>Data Compliance.</w:t>
      </w:r>
    </w:p>
    <w:p>
      <w:pPr>
        <w:spacing w:after="0" w:line="225" w:lineRule="exact"/>
        <w:rPr>
          <w:sz w:val="20"/>
          <w:szCs w:val="20"/>
          <w:color w:val="auto"/>
        </w:rPr>
      </w:pPr>
    </w:p>
    <w:p>
      <w:pPr>
        <w:ind w:left="200" w:right="100" w:firstLine="1293"/>
        <w:spacing w:after="0" w:line="259" w:lineRule="auto"/>
        <w:tabs>
          <w:tab w:leader="none" w:pos="215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Both the Group Companies and any of their Affiliated Persons have, abided by applicable Cyber Security and Data Protection Related Laws, adopted sufficient technical measures and other necessary measures to protect data security when collecting, storing, using, processing, sharing, transferring, publicly disclosing and cross-border transmitting Personal Information.</w:t>
      </w:r>
    </w:p>
    <w:p>
      <w:pPr>
        <w:spacing w:after="0" w:line="186" w:lineRule="exact"/>
        <w:rPr>
          <w:rFonts w:ascii="Arial" w:cs="Arial" w:eastAsia="Arial" w:hAnsi="Arial"/>
          <w:sz w:val="18"/>
          <w:szCs w:val="18"/>
          <w:color w:val="auto"/>
        </w:rPr>
      </w:pPr>
    </w:p>
    <w:p>
      <w:pPr>
        <w:ind w:left="200" w:right="680" w:firstLine="1293"/>
        <w:spacing w:after="0" w:line="277" w:lineRule="auto"/>
        <w:tabs>
          <w:tab w:leader="none" w:pos="21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Neither the Group Companies nor any of their Affiliated Persons have taken any action that constitutes data breach, infringement of Personal</w:t>
      </w:r>
    </w:p>
    <w:p>
      <w:pPr>
        <w:spacing w:after="0" w:line="38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39" w:name="page340"/>
    <w:bookmarkEnd w:id="339"/>
    <w:p>
      <w:pPr>
        <w:ind w:left="540"/>
        <w:spacing w:after="0"/>
        <w:rPr>
          <w:sz w:val="20"/>
          <w:szCs w:val="20"/>
          <w:color w:val="auto"/>
        </w:rPr>
      </w:pPr>
      <w:r>
        <w:rPr>
          <w:rFonts w:ascii="Arial" w:cs="Arial" w:eastAsia="Arial" w:hAnsi="Arial"/>
          <w:sz w:val="17"/>
          <w:szCs w:val="17"/>
          <w:color w:val="auto"/>
        </w:rPr>
        <w:t>Information or violation of Laws related to Personal Information protection and cyber security, including but not limited to:</w:t>
      </w:r>
    </w:p>
    <w:p>
      <w:pPr>
        <w:spacing w:after="0" w:line="237" w:lineRule="exact"/>
        <w:rPr>
          <w:sz w:val="20"/>
          <w:szCs w:val="20"/>
          <w:color w:val="auto"/>
        </w:rPr>
      </w:pPr>
    </w:p>
    <w:p>
      <w:pPr>
        <w:ind w:left="2220" w:right="40" w:hanging="397"/>
        <w:spacing w:after="0" w:line="277" w:lineRule="auto"/>
        <w:tabs>
          <w:tab w:leader="none" w:pos="219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collecting or using Personal Information without obtaining prior consent of the Persons whose information is collected unless otherwise stipulated by laws;</w:t>
      </w:r>
    </w:p>
    <w:p>
      <w:pPr>
        <w:spacing w:after="0" w:line="170" w:lineRule="exact"/>
        <w:rPr>
          <w:rFonts w:ascii="Arial" w:cs="Arial" w:eastAsia="Arial" w:hAnsi="Arial"/>
          <w:sz w:val="18"/>
          <w:szCs w:val="18"/>
          <w:color w:val="auto"/>
        </w:rPr>
      </w:pPr>
    </w:p>
    <w:p>
      <w:pPr>
        <w:ind w:left="2220" w:right="180" w:hanging="397"/>
        <w:spacing w:after="0" w:line="263" w:lineRule="auto"/>
        <w:tabs>
          <w:tab w:leader="none" w:pos="2199"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collecting or using Personal Information without expressly indicating the purpose, methods and scope of collecting and using Personal Information to the Person whose Personal Information is collected, or collected Personal Information unrelated to the provided services;</w:t>
      </w:r>
    </w:p>
    <w:p>
      <w:pPr>
        <w:spacing w:after="0" w:line="183" w:lineRule="exact"/>
        <w:rPr>
          <w:rFonts w:ascii="Arial" w:cs="Arial" w:eastAsia="Arial" w:hAnsi="Arial"/>
          <w:sz w:val="18"/>
          <w:szCs w:val="18"/>
          <w:color w:val="auto"/>
        </w:rPr>
      </w:pPr>
    </w:p>
    <w:p>
      <w:pPr>
        <w:ind w:left="2220" w:hanging="397"/>
        <w:spacing w:after="0" w:line="263" w:lineRule="auto"/>
        <w:tabs>
          <w:tab w:leader="none" w:pos="220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not strictly keeping confidential the Personal Information obtained during the course of providing services, or disclosed, damaged, tampered or illegally (including without obtaining authorization or beyond the authorization scope) provided such information to others;</w:t>
      </w:r>
    </w:p>
    <w:p>
      <w:pPr>
        <w:spacing w:after="0" w:line="183" w:lineRule="exact"/>
        <w:rPr>
          <w:rFonts w:ascii="Arial" w:cs="Arial" w:eastAsia="Arial" w:hAnsi="Arial"/>
          <w:sz w:val="18"/>
          <w:szCs w:val="18"/>
          <w:color w:val="auto"/>
        </w:rPr>
      </w:pPr>
    </w:p>
    <w:p>
      <w:pPr>
        <w:ind w:left="2220" w:right="60" w:hanging="397"/>
        <w:spacing w:after="0" w:line="277" w:lineRule="auto"/>
        <w:tabs>
          <w:tab w:leader="none" w:pos="219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collecting, using or processing its stored Personal Information in violation of Laws or agreements with the Person whose Personal Information is collected; and</w:t>
      </w:r>
    </w:p>
    <w:p>
      <w:pPr>
        <w:spacing w:after="0" w:line="170" w:lineRule="exact"/>
        <w:rPr>
          <w:rFonts w:ascii="Arial" w:cs="Arial" w:eastAsia="Arial" w:hAnsi="Arial"/>
          <w:sz w:val="18"/>
          <w:szCs w:val="18"/>
          <w:color w:val="auto"/>
        </w:rPr>
      </w:pPr>
    </w:p>
    <w:p>
      <w:pPr>
        <w:ind w:left="2220" w:right="40" w:hanging="397"/>
        <w:spacing w:after="0" w:line="277" w:lineRule="auto"/>
        <w:tabs>
          <w:tab w:leader="none" w:pos="219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stealing or otherwise unlawfully obtaining Personal Information, including obtaining Personal Information from sources that may be illegal.</w:t>
      </w:r>
    </w:p>
    <w:p>
      <w:pPr>
        <w:spacing w:after="0" w:line="170" w:lineRule="exact"/>
        <w:rPr>
          <w:rFonts w:ascii="Arial" w:cs="Arial" w:eastAsia="Arial" w:hAnsi="Arial"/>
          <w:sz w:val="18"/>
          <w:szCs w:val="18"/>
          <w:color w:val="auto"/>
        </w:rPr>
      </w:pPr>
    </w:p>
    <w:p>
      <w:pPr>
        <w:jc w:val="both"/>
        <w:ind w:left="540" w:right="60" w:firstLine="1269"/>
        <w:spacing w:after="0" w:line="259" w:lineRule="auto"/>
        <w:tabs>
          <w:tab w:leader="none" w:pos="2576"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Except as disclosed in </w:t>
      </w:r>
      <w:r>
        <w:rPr>
          <w:rFonts w:ascii="Arial" w:cs="Arial" w:eastAsia="Arial" w:hAnsi="Arial"/>
          <w:sz w:val="18"/>
          <w:szCs w:val="18"/>
          <w:u w:val="single" w:color="auto"/>
          <w:color w:val="auto"/>
        </w:rPr>
        <w:t>Section 3.16(c)</w:t>
      </w:r>
      <w:r>
        <w:rPr>
          <w:rFonts w:ascii="Arial" w:cs="Arial" w:eastAsia="Arial" w:hAnsi="Arial"/>
          <w:sz w:val="18"/>
          <w:szCs w:val="18"/>
          <w:color w:val="auto"/>
        </w:rPr>
        <w:t xml:space="preserve"> of the Disclosure Schedule, neither the Group Companies nor any of their Affiliated Persons have been investigated, inquired or been subject to any other actions by the regulatory authorities against the Group Companies or any of their Affiliated Persons, or sued or claimed compensation by any third party as a result of data mismanagement or illegal use of data.</w:t>
      </w:r>
    </w:p>
    <w:p>
      <w:pPr>
        <w:spacing w:after="0" w:line="187" w:lineRule="exact"/>
        <w:rPr>
          <w:sz w:val="20"/>
          <w:szCs w:val="20"/>
          <w:color w:val="auto"/>
        </w:rPr>
      </w:pPr>
    </w:p>
    <w:p>
      <w:pPr>
        <w:ind w:firstLine="1296"/>
        <w:spacing w:after="0" w:line="269"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Employee Matters</w:t>
      </w:r>
      <w:r>
        <w:rPr>
          <w:rFonts w:ascii="Arial" w:cs="Arial" w:eastAsia="Arial" w:hAnsi="Arial"/>
          <w:sz w:val="17"/>
          <w:szCs w:val="17"/>
          <w:color w:val="auto"/>
        </w:rPr>
        <w:t xml:space="preserve">. To the Knowledge of the Warrantors, all employees of each Group Company are devoting their full professional time to such Group Company. To the Knowledge of the Warrantors, no employee of any Group Company is in violation of any provision of any Contract that would bring material adverse impact on any Group Company. Except for the Company Share Incentive Plan, as required by applicable Law or as disclosed in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Disclosure Schedule, none of the Group Companies has any Benefit Plan. For the purposes hereof, “</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plan, Contract or other arrangement, formal or informal, whether oral or written, providing any benefit to any present or former officer, director or employee, or dependent or beneficiary thereof, including any employment agreement or profit sharing, deferred compensation, share option, performance share, employee share purchase, bonus, severance, retirement, health or insurance plan. To the Knowledge of the Warrantors, no Senior Manager, key employees or any group of employees (such key employees or group employees being determined in the reasonable discretion of the Seller) intends to terminate their employment with the Group Company, and none of the Group Companies has a present intention to terminate the employment of any of the foregoing except as may be required pursuant to this Agreement or transaction contemplated hereby. Except for liabilities as may arise from offer letters of</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40" w:name="page341"/>
    <w:bookmarkEnd w:id="340"/>
    <w:p>
      <w:pPr>
        <w:ind w:right="100"/>
        <w:spacing w:after="0" w:line="254" w:lineRule="auto"/>
        <w:rPr>
          <w:sz w:val="20"/>
          <w:szCs w:val="20"/>
          <w:color w:val="auto"/>
        </w:rPr>
      </w:pPr>
      <w:r>
        <w:rPr>
          <w:rFonts w:ascii="Arial" w:cs="Arial" w:eastAsia="Arial" w:hAnsi="Arial"/>
          <w:sz w:val="18"/>
          <w:szCs w:val="18"/>
          <w:color w:val="auto"/>
        </w:rPr>
        <w:t xml:space="preserve">certain employees of the Group Companies relating to Company Share Awards and NetEase RSUs, details of which are set forth in </w:t>
      </w:r>
      <w:r>
        <w:rPr>
          <w:rFonts w:ascii="Arial" w:cs="Arial" w:eastAsia="Arial" w:hAnsi="Arial"/>
          <w:sz w:val="18"/>
          <w:szCs w:val="18"/>
          <w:u w:val="single" w:color="auto"/>
          <w:color w:val="auto"/>
        </w:rPr>
        <w:t>Schedule J</w:t>
      </w:r>
      <w:r>
        <w:rPr>
          <w:rFonts w:ascii="Arial" w:cs="Arial" w:eastAsia="Arial" w:hAnsi="Arial"/>
          <w:sz w:val="18"/>
          <w:szCs w:val="18"/>
          <w:color w:val="auto"/>
        </w:rPr>
        <w:t xml:space="preserve"> hereto, no employee of the Group Companies is owed any back wages or other compensation for services rendered except as set forth on the Financial Statements or arising in the ordinary course of business between the Balance Sheet Date and the Closing Date. There is no labor strike, labor slow down, labor claim, labor dispute or labor union organization activities pending or, to the Knowledge of the Warrantors, threatened between any Group Company and its employees. Each Group Company has complied with all applicable Laws related to employment and related to the Benefit Plans (including Laws related to the contribution of social insurance, housing funds and related benefits).</w:t>
      </w:r>
    </w:p>
    <w:p>
      <w:pPr>
        <w:spacing w:after="0" w:line="195"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3.18</w:t>
      </w:r>
      <w:r>
        <w:rPr>
          <w:sz w:val="20"/>
          <w:szCs w:val="20"/>
          <w:color w:val="auto"/>
        </w:rPr>
        <w:tab/>
      </w:r>
      <w:r>
        <w:rPr>
          <w:rFonts w:ascii="Arial" w:cs="Arial" w:eastAsia="Arial" w:hAnsi="Arial"/>
          <w:sz w:val="16"/>
          <w:szCs w:val="16"/>
          <w:u w:val="single" w:color="auto"/>
          <w:color w:val="auto"/>
        </w:rPr>
        <w:t>Transactions with Related Parties</w:t>
      </w:r>
      <w:r>
        <w:rPr>
          <w:rFonts w:ascii="Arial" w:cs="Arial" w:eastAsia="Arial" w:hAnsi="Arial"/>
          <w:sz w:val="16"/>
          <w:szCs w:val="16"/>
          <w:color w:val="auto"/>
        </w:rPr>
        <w:t>.</w:t>
      </w:r>
    </w:p>
    <w:p>
      <w:pPr>
        <w:spacing w:after="0" w:line="225" w:lineRule="exact"/>
        <w:rPr>
          <w:sz w:val="20"/>
          <w:szCs w:val="20"/>
          <w:color w:val="auto"/>
        </w:rPr>
      </w:pPr>
    </w:p>
    <w:p>
      <w:pPr>
        <w:ind w:left="660" w:right="40" w:firstLine="1293"/>
        <w:spacing w:after="0" w:line="271" w:lineRule="auto"/>
        <w:tabs>
          <w:tab w:leader="none" w:pos="2619"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All Contracts (other than (A) the Transaction Documents, (B) the employment agreements, (C) the confidential information, invention assignment, non-compete and non-solicitation agreements, (D) the award agreements entered into pursuant to the Company Share Incentive Plan, (E) the Control Documents, and (F) any Contract entered in the ordinary course of the business of the Group Companies) to or by which any Group Company, on the one hand, and any Related Party, on the other hand, are or have been a party or otherwise bound or affected (the “</w:t>
      </w:r>
      <w:r>
        <w:rPr>
          <w:rFonts w:ascii="Arial" w:cs="Arial" w:eastAsia="Arial" w:hAnsi="Arial"/>
          <w:sz w:val="17"/>
          <w:szCs w:val="17"/>
          <w:u w:val="single" w:color="auto"/>
          <w:color w:val="auto"/>
        </w:rPr>
        <w:t>Related Party Contracts</w:t>
      </w:r>
      <w:r>
        <w:rPr>
          <w:rFonts w:ascii="Arial" w:cs="Arial" w:eastAsia="Arial" w:hAnsi="Arial"/>
          <w:sz w:val="17"/>
          <w:szCs w:val="17"/>
          <w:color w:val="auto"/>
        </w:rPr>
        <w:t xml:space="preserve">”) are set forth in </w:t>
      </w:r>
      <w:r>
        <w:rPr>
          <w:rFonts w:ascii="Arial" w:cs="Arial" w:eastAsia="Arial" w:hAnsi="Arial"/>
          <w:sz w:val="17"/>
          <w:szCs w:val="17"/>
          <w:u w:val="single" w:color="auto"/>
          <w:color w:val="auto"/>
        </w:rPr>
        <w:t>Section 3.18(a)</w:t>
      </w:r>
      <w:r>
        <w:rPr>
          <w:rFonts w:ascii="Arial" w:cs="Arial" w:eastAsia="Arial" w:hAnsi="Arial"/>
          <w:sz w:val="17"/>
          <w:szCs w:val="17"/>
          <w:color w:val="auto"/>
        </w:rPr>
        <w:t xml:space="preserve"> of the Disclosure Schedule. Each Related Party Contract was made on terms and conditions as substantially favorable or more favorable to such Group Company as would have been obtainable by it at the time in a comparable arm’s-length transaction with an unrelated party.</w:t>
      </w:r>
    </w:p>
    <w:p>
      <w:pPr>
        <w:spacing w:after="0" w:line="178" w:lineRule="exact"/>
        <w:rPr>
          <w:rFonts w:ascii="Arial" w:cs="Arial" w:eastAsia="Arial" w:hAnsi="Arial"/>
          <w:sz w:val="17"/>
          <w:szCs w:val="17"/>
          <w:color w:val="auto"/>
        </w:rPr>
      </w:pPr>
    </w:p>
    <w:p>
      <w:pPr>
        <w:ind w:left="660" w:right="120" w:firstLine="1293"/>
        <w:spacing w:after="0" w:line="283" w:lineRule="auto"/>
        <w:tabs>
          <w:tab w:leader="none" w:pos="2629" w:val="left"/>
        </w:tabs>
        <w:numPr>
          <w:ilvl w:val="1"/>
          <w:numId w:val="239"/>
        </w:numPr>
        <w:rPr>
          <w:rFonts w:ascii="Arial" w:cs="Arial" w:eastAsia="Arial" w:hAnsi="Arial"/>
          <w:sz w:val="16"/>
          <w:szCs w:val="16"/>
          <w:color w:val="auto"/>
        </w:rPr>
      </w:pPr>
      <w:r>
        <w:rPr>
          <w:rFonts w:ascii="Arial" w:cs="Arial" w:eastAsia="Arial" w:hAnsi="Arial"/>
          <w:sz w:val="16"/>
          <w:szCs w:val="16"/>
          <w:color w:val="auto"/>
        </w:rPr>
        <w:t>No Related Party has any direct or indirect ownership in any Person with which any Group Company has a material business relationship, or any Person that competes with or could reasonably be expected to compete with any Group Company, except for ownership of less than five percent (5%) of any class or other equity of publicly traded companies. Except for transactions in the ordinary course of the business of a Group Company on terms and conditions at least as favorable to the Group Companies as would have been obtainable by them at the time in a comparable arm’s-length transaction with an unrelated party, no Related Party has any Contract, understanding, business relationship with, proposed transaction with, or is indebted to, any Group Company, nor is any Group Company indebted (or committed to make loans or extend or guarantee credit) to any of them (other than for accrued salaries, reimbursable expenses or other standard employee benefits). To the Knowledge of Warrantors, no Related Party has had, either directly or indirectly, a material equity interest in:</w:t>
      </w:r>
    </w:p>
    <w:p>
      <w:pPr>
        <w:spacing w:after="0" w:line="5" w:lineRule="exact"/>
        <w:rPr>
          <w:rFonts w:ascii="Arial" w:cs="Arial" w:eastAsia="Arial" w:hAnsi="Arial"/>
          <w:sz w:val="16"/>
          <w:szCs w:val="16"/>
          <w:color w:val="auto"/>
        </w:rPr>
      </w:pPr>
    </w:p>
    <w:p>
      <w:pPr>
        <w:jc w:val="both"/>
        <w:ind w:left="660" w:right="400" w:hanging="3"/>
        <w:spacing w:after="0" w:line="255" w:lineRule="auto"/>
        <w:tabs>
          <w:tab w:leader="none" w:pos="8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Person which purchases from or sells, licenses or furnishes to a Group Company any goods, property, intellectual or other property rights or services; or (ii) any Contract to which a Group Company is a party or by which it may be bound or affected.</w:t>
      </w:r>
    </w:p>
    <w:p>
      <w:pPr>
        <w:spacing w:after="0" w:line="189" w:lineRule="exact"/>
        <w:rPr>
          <w:rFonts w:ascii="Arial" w:cs="Arial" w:eastAsia="Arial" w:hAnsi="Arial"/>
          <w:sz w:val="18"/>
          <w:szCs w:val="18"/>
          <w:color w:val="auto"/>
        </w:rPr>
      </w:pPr>
    </w:p>
    <w:p>
      <w:pPr>
        <w:jc w:val="both"/>
        <w:ind w:left="660" w:right="60" w:firstLine="1293"/>
        <w:spacing w:after="0" w:line="286" w:lineRule="auto"/>
        <w:tabs>
          <w:tab w:leader="none" w:pos="2619" w:val="left"/>
        </w:tabs>
        <w:numPr>
          <w:ilvl w:val="1"/>
          <w:numId w:val="240"/>
        </w:numPr>
        <w:rPr>
          <w:rFonts w:ascii="Arial" w:cs="Arial" w:eastAsia="Arial" w:hAnsi="Arial"/>
          <w:sz w:val="17"/>
          <w:szCs w:val="17"/>
          <w:color w:val="auto"/>
        </w:rPr>
      </w:pPr>
      <w:r>
        <w:rPr>
          <w:rFonts w:ascii="Arial" w:cs="Arial" w:eastAsia="Arial" w:hAnsi="Arial"/>
          <w:sz w:val="17"/>
          <w:szCs w:val="17"/>
          <w:color w:val="auto"/>
        </w:rPr>
        <w:t>None of the Group Companies has any obligation to pay for any intra-group accounts payable to the Warrantors or their Affiliates (other than the Group Companies) that are not provided for in the Financial Statements, other than those arising between June 30, 2019 and the Closing Date and reflected in the Closing Statement.</w:t>
      </w:r>
    </w:p>
    <w:p>
      <w:pPr>
        <w:spacing w:after="0" w:line="165" w:lineRule="exact"/>
        <w:rPr>
          <w:rFonts w:ascii="Arial" w:cs="Arial" w:eastAsia="Arial" w:hAnsi="Arial"/>
          <w:sz w:val="17"/>
          <w:szCs w:val="17"/>
          <w:color w:val="auto"/>
        </w:rPr>
      </w:pPr>
    </w:p>
    <w:p>
      <w:pPr>
        <w:ind w:left="660" w:firstLine="1293"/>
        <w:spacing w:after="0" w:line="277" w:lineRule="auto"/>
        <w:tabs>
          <w:tab w:leader="none" w:pos="2629"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As of 11:59 pm August 31, 2019, the sum of (i) the total amount payable by Ningbo NetEase Shangli Information Technology Co., Ltd. (</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1" w:name="page342"/>
    <w:bookmarkEnd w:id="341"/>
    <w:p>
      <w:pPr>
        <w:ind w:left="1500"/>
        <w:spacing w:after="0"/>
        <w:rPr>
          <w:sz w:val="20"/>
          <w:szCs w:val="20"/>
          <w:color w:val="auto"/>
        </w:rPr>
      </w:pPr>
      <w:r>
        <w:rPr>
          <w:rFonts w:ascii="Arial" w:cs="Arial" w:eastAsia="Arial" w:hAnsi="Arial"/>
          <w:sz w:val="17"/>
          <w:szCs w:val="17"/>
          <w:color w:val="auto"/>
        </w:rPr>
        <w:t>) to relevant Group Companies under the NetEase Gift Card Business Operation Agreements (</w:t>
      </w:r>
    </w:p>
    <w:p>
      <w:pPr>
        <w:spacing w:after="0" w:line="35" w:lineRule="exact"/>
        <w:rPr>
          <w:sz w:val="20"/>
          <w:szCs w:val="20"/>
          <w:color w:val="auto"/>
        </w:rPr>
      </w:pPr>
    </w:p>
    <w:p>
      <w:pPr>
        <w:ind w:left="200" w:right="199" w:firstLine="108"/>
        <w:spacing w:after="0" w:line="260" w:lineRule="auto"/>
        <w:rPr>
          <w:sz w:val="20"/>
          <w:szCs w:val="20"/>
          <w:color w:val="auto"/>
        </w:rPr>
      </w:pPr>
      <w:r>
        <w:rPr>
          <w:rFonts w:ascii="Arial" w:cs="Arial" w:eastAsia="Arial" w:hAnsi="Arial"/>
          <w:sz w:val="18"/>
          <w:szCs w:val="18"/>
          <w:color w:val="auto"/>
        </w:rPr>
        <w:t>), and (ii) the total amount of the outstanding gift cards issued pursuant to the foregoing agreement was approximately RMB6,818,426.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2" w:name="page343"/>
    <w:bookmarkEnd w:id="342"/>
    <w:p>
      <w:pPr>
        <w:ind w:firstLine="1296"/>
        <w:spacing w:after="0" w:line="287"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Required Licenses</w:t>
      </w:r>
      <w:r>
        <w:rPr>
          <w:rFonts w:ascii="Arial" w:cs="Arial" w:eastAsia="Arial" w:hAnsi="Arial"/>
          <w:sz w:val="16"/>
          <w:szCs w:val="16"/>
          <w:color w:val="auto"/>
        </w:rPr>
        <w:t>. Each Group Company has all the necessary Required Licenses and has fulfilled any and all necessary fillings and registration requirements with the relevant Government Authorities required for the material conduct of the Business as now being conducted. No other Required License is necessary for, or otherwise material to, the conduct of the Business by any such Person. The consummation of the transactions contemplated under the Transaction Documents will not result in the termination or revocation of any of the Required Licenses material to the conduct of the Business. None of the Group Companies is in default under any of its Required Licenses material to the conduct of the Business and has not received any notice (whether written or not) relating to the suspension, revocation or modification of any such Required Licenses or the need for compliance or remedial actions in respect of the activities carried out directly or indirectly by any Group Company. Each Group Company has been conducting its business activities within the permitted scope of business. Except as disclosed in Section 3.19 of the Disclosure Schedule, to the Knowledge of the Warrantors, none of authorization of any Government Authority, license or permit requisite for the material conduct of the Business which is subject to periodic renewal will not be granted or renewed by the relevant Government Authorities.</w:t>
      </w:r>
    </w:p>
    <w:p>
      <w:pPr>
        <w:spacing w:after="0" w:line="172" w:lineRule="exact"/>
        <w:rPr>
          <w:sz w:val="20"/>
          <w:szCs w:val="20"/>
          <w:color w:val="auto"/>
        </w:rPr>
      </w:pPr>
    </w:p>
    <w:p>
      <w:pPr>
        <w:ind w:right="220" w:firstLine="1296"/>
        <w:spacing w:after="0" w:line="254"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Environment</w:t>
      </w:r>
      <w:r>
        <w:rPr>
          <w:rFonts w:ascii="Arial" w:cs="Arial" w:eastAsia="Arial" w:hAnsi="Arial"/>
          <w:sz w:val="18"/>
          <w:szCs w:val="18"/>
          <w:color w:val="auto"/>
        </w:rPr>
        <w:t>. Except as would not, individually or in the aggregate, result in Material Adverse Effect to the Group Companies, (i) no property that any Group Company currently or previously occupied has had any release of any substance, in any form, or has been used in any manner, so as to create any liability for the Group Company under any Environmental Laws, (ii) no Group Company has received any notice, demand letter, claim or request for information alleging any environmental damage, disaster or any violation of, or liability of the Group Company under, any Environmental Law, and (iii) no Group Company is subject to any order, judgment, injunction or other agreement with any Government Authority or any third party relating to the environment.</w:t>
      </w:r>
    </w:p>
    <w:p>
      <w:pPr>
        <w:spacing w:after="0" w:line="195" w:lineRule="exact"/>
        <w:rPr>
          <w:sz w:val="20"/>
          <w:szCs w:val="20"/>
          <w:color w:val="auto"/>
        </w:rPr>
      </w:pPr>
    </w:p>
    <w:p>
      <w:pPr>
        <w:ind w:right="100" w:firstLine="1296"/>
        <w:spacing w:after="0" w:line="274"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Insurance</w:t>
      </w:r>
      <w:r>
        <w:rPr>
          <w:rFonts w:ascii="Arial" w:cs="Arial" w:eastAsia="Arial" w:hAnsi="Arial"/>
          <w:sz w:val="17"/>
          <w:szCs w:val="17"/>
          <w:color w:val="auto"/>
        </w:rPr>
        <w:t>. The Group Companies have insurance policies (a) for such amounts as are sufficient for all requirements of Law and all agreements to which the Company or any of the Subsidiaries is a party or by which it is bound, and</w:t>
      </w:r>
    </w:p>
    <w:p>
      <w:pPr>
        <w:ind w:right="60" w:firstLine="9"/>
        <w:spacing w:after="0" w:line="268" w:lineRule="auto"/>
        <w:tabs>
          <w:tab w:leader="none" w:pos="25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which are in such amounts, with such deductibles and against such risks and losses, substantially as are in accordance with normal industry practice for similarly situated companies in the same industry.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of the Disclosure Schedule sets forth a true, correct and complete list of each insurance policy maintained by each Group Company that is material to the conduct of the Business. The Seller has made available to the Purchaser true, correct and complete copies of all such insurance policies. There is no material claim by any Group Company pending under any such policies as to which coverage has been denied or disputed by the insurer. Such insurance policies are in full force and effect, no coverage provided thereby will terminate or lapse by reason of this Agreement, all premiums with respect thereto are paid and each applicable Group Company is in compliance in all material respects with the terms thereof. No Group Company has received any written notice of any threatened termination of, material premium increase with respect to or material alteration of coverage under any such insurance policy.</w:t>
      </w:r>
    </w:p>
    <w:p>
      <w:pPr>
        <w:spacing w:after="0" w:line="181" w:lineRule="exact"/>
        <w:rPr>
          <w:sz w:val="20"/>
          <w:szCs w:val="20"/>
          <w:color w:val="auto"/>
        </w:rPr>
      </w:pPr>
    </w:p>
    <w:p>
      <w:pPr>
        <w:ind w:right="300" w:firstLine="1296"/>
        <w:spacing w:after="0" w:line="263"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receive from any Group Company any brokerage, finder’s or other fee or commission in connection with the transactions contemplated by this Agreement or any other Transaction Document based upon arrangements made by or on behalf of any Group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3" w:name="page344"/>
    <w:bookmarkEnd w:id="343"/>
    <w:p>
      <w:pPr>
        <w:ind w:firstLine="1296"/>
        <w:spacing w:after="0" w:line="259"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The Warrantors and the Group Companies have not intentionally withheld any information or material in response to the Purchaser’s written due diligence request in connection with the transactions contemplated in this Agreement and none of the written due diligence materials or written information provided by the Warrantors and/or the Group Companies contains any untrue statement of any material fact.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with Respect to Warrantors</w:t>
      </w:r>
    </w:p>
    <w:p>
      <w:pPr>
        <w:spacing w:after="0" w:line="225"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 xml:space="preserve">Each of the Warrantors, severally and jointly, represents and warrants to the Purchaser that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correct and complete as of the date hereof and as of the Closing Date (unless any representations and warranties expressly relate to another date, in which case as of such other date).</w:t>
      </w:r>
    </w:p>
    <w:p>
      <w:pPr>
        <w:spacing w:after="0" w:line="184"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Capacity</w:t>
      </w:r>
      <w:r>
        <w:rPr>
          <w:rFonts w:ascii="Arial" w:cs="Arial" w:eastAsia="Arial" w:hAnsi="Arial"/>
          <w:sz w:val="18"/>
          <w:szCs w:val="18"/>
          <w:color w:val="auto"/>
        </w:rPr>
        <w:t>. Each Warrantor is duly organized, validly existing and in good standing under the Laws of the place of its incorporation or formation, and has all requisite corporate power and authority to own, lease and operate its properties and to carry on its business as now conducted.</w:t>
      </w:r>
    </w:p>
    <w:p>
      <w:pPr>
        <w:spacing w:after="0" w:line="184" w:lineRule="exact"/>
        <w:rPr>
          <w:sz w:val="20"/>
          <w:szCs w:val="20"/>
          <w:color w:val="auto"/>
        </w:rPr>
      </w:pPr>
    </w:p>
    <w:p>
      <w:pPr>
        <w:ind w:right="140" w:firstLine="1296"/>
        <w:spacing w:after="0" w:line="289"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Authorization</w:t>
      </w:r>
      <w:r>
        <w:rPr>
          <w:rFonts w:ascii="Arial" w:cs="Arial" w:eastAsia="Arial" w:hAnsi="Arial"/>
          <w:sz w:val="16"/>
          <w:szCs w:val="16"/>
          <w:color w:val="auto"/>
        </w:rPr>
        <w:t>. Each Warrantor has all requisite power and authority to execute and deliver this Agreement and the other Transaction Documents to which it is a party, to perform its obligations hereunder and thereunder and to consummate the transactions contemplated hereby and thereby. The execution and delivery of this Agreement and the other Transaction Documents to which each Warrantor is a party and the consummation of the transactions contemplated hereby and thereby have been duly authorized by all requisite corporate action on the part of such Warrantor. This Agreement has been, and each of the other Transaction Documents to which each Warrantor is a party will be at or prior to the Closing, duly and validly executed and delivered by such Warrantor and (assuming the due authorization, execution and delivery by the other parties hereto and thereto) this Agreement constitutes, and the other Transaction Documents to which such Warrantor is a party will constitute, the legal, valid and binding obligations of such Warrantor, enforceable against it in accordance with their respective terms.</w:t>
      </w:r>
    </w:p>
    <w:p>
      <w:pPr>
        <w:spacing w:after="0" w:line="16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Conflicts; Consents of Third Parties</w:t>
      </w:r>
      <w:r>
        <w:rPr>
          <w:rFonts w:ascii="Arial" w:cs="Arial" w:eastAsia="Arial" w:hAnsi="Arial"/>
          <w:sz w:val="16"/>
          <w:szCs w:val="16"/>
          <w:color w:val="auto"/>
        </w:rPr>
        <w:t>.</w:t>
      </w:r>
    </w:p>
    <w:p>
      <w:pPr>
        <w:spacing w:after="0" w:line="225" w:lineRule="exact"/>
        <w:rPr>
          <w:sz w:val="20"/>
          <w:szCs w:val="20"/>
          <w:color w:val="auto"/>
        </w:rPr>
      </w:pPr>
    </w:p>
    <w:p>
      <w:pPr>
        <w:ind w:left="660" w:right="140" w:firstLine="1293"/>
        <w:spacing w:after="0" w:line="271" w:lineRule="auto"/>
        <w:tabs>
          <w:tab w:leader="none" w:pos="2619"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None of the execution, delivery and performance by each Warrantor of this Agreement or the other Transaction Documents to which such Warrantor is a party, the consummation of the transactions contemplated hereby or thereby, or compliance by such Warrantor with any of the provisions hereof or thereof will breach or conflict with, or result in any violation of or default under (with or without notice or lapse of time, or both), any provision of (i) the memorandum and articles of association or comparable organizational documents of such Warrantor, or (ii) any Law or Order applicable to such Warrantor; in each case of (i) and (ii), except as would not, individually or in the aggregate, materially and adversely affect the ability of such Warrantor to carry out its obligations hereunder and under the other Transactions Documents to which it is a party and to consummate the transactions contemplated hereby and thereby.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4" w:name="page345"/>
    <w:bookmarkEnd w:id="344"/>
    <w:p>
      <w:pPr>
        <w:ind w:left="660" w:right="40" w:firstLine="1293"/>
        <w:spacing w:after="0" w:line="254" w:lineRule="auto"/>
        <w:tabs>
          <w:tab w:leader="none" w:pos="2629"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 consent, waiver, approval, Order, Permit or authorization of, or declaration or filing with, or notification to, any Government Authority or any other Person is required on the part of each Warrantor in connection with the execution and delivery of this Agreement or the other Transaction Documents or the compliance by such Warrantor with any of the provisions hereof or thereof, or the consummation of the transactions contemplated hereby or thereby, except as would not, individually or in the aggregate, materially and adversely affect the ability of any Warrantor to carry out its obligations hereunder and under the other Transactions Documents to which it is a party and to consummate the transactions contemplated hereby and thereby.</w:t>
      </w:r>
    </w:p>
    <w:p>
      <w:pPr>
        <w:spacing w:after="0" w:line="195"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Ownership and Transfer of Shares</w:t>
      </w:r>
      <w:r>
        <w:rPr>
          <w:rFonts w:ascii="Arial" w:cs="Arial" w:eastAsia="Arial" w:hAnsi="Arial"/>
          <w:sz w:val="18"/>
          <w:szCs w:val="18"/>
          <w:color w:val="auto"/>
        </w:rPr>
        <w:t>. The Seller is the record owner of the Purchased Shares, free and clear of all Liens. The Seller Parent is the sole shareholder of the Seller, free and clear of all Liens. The Seller has the power to sell, transfer, assign and deliver the Purchased Shares as provided in this Agreement, and such delivery will convey to the Purchaser good and marketable title to the Purchased Shares, free and clear of all Liens. The Purchased Shares are duly authorized, validly issued, fully paid and non-assessable.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Representations and Warranties with Respect to Purchaser</w:t>
      </w:r>
    </w:p>
    <w:p>
      <w:pPr>
        <w:spacing w:after="0" w:line="225"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The Purchaser represents and warrants to the Seller that the statements contained in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as of the date hereof and as of the Closing (unless any representations and warranties expressly relate to another date, in which case as of such other date).</w:t>
      </w:r>
    </w:p>
    <w:p>
      <w:pPr>
        <w:spacing w:after="0" w:line="184" w:lineRule="exact"/>
        <w:rPr>
          <w:sz w:val="20"/>
          <w:szCs w:val="20"/>
          <w:color w:val="auto"/>
        </w:rPr>
      </w:pPr>
    </w:p>
    <w:p>
      <w:pPr>
        <w:ind w:right="400" w:firstLine="1296"/>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The Purchaser is duly organized, validly existing and in good standing under the Laws of the Cayman Islands, and has all requisite corporate power and authority to own, lease and operate its properties and to carry on its business as now conducted.</w:t>
      </w:r>
    </w:p>
    <w:p>
      <w:pPr>
        <w:spacing w:after="0" w:line="184" w:lineRule="exact"/>
        <w:rPr>
          <w:sz w:val="20"/>
          <w:szCs w:val="20"/>
          <w:color w:val="auto"/>
        </w:rPr>
      </w:pPr>
    </w:p>
    <w:p>
      <w:pPr>
        <w:ind w:right="120" w:firstLine="1296"/>
        <w:spacing w:after="0" w:line="289"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Authorization</w:t>
      </w:r>
      <w:r>
        <w:rPr>
          <w:rFonts w:ascii="Arial" w:cs="Arial" w:eastAsia="Arial" w:hAnsi="Arial"/>
          <w:sz w:val="16"/>
          <w:szCs w:val="16"/>
          <w:color w:val="auto"/>
        </w:rPr>
        <w:t>. The Purchaser has all requisite power and authority to execute and deliver this Agreement and the other Transaction Documents to which the Purchaser is a party, to perform its obligations hereunder and thereunder and to consummate the transactions contemplated hereby and thereby. The execution and delivery of this Agreement and the other Transaction Documents to which the Purchaser is a party and the consummation of the transactions contemplated hereby and thereby have been duly authorized by all requisite corporate action on the part of the Purchaser. This Agreement has been, and each of the other Transaction Documents to which the Purchaser is a party will be at or prior to the Closing, duly and validly executed and delivered by the Purchaser and (assuming the due authorization, execution and delivery by the other parties hereto and thereto) this Agreement constitutes, and the other Transaction Documents to which the Purchaser is a party will constitute, the legal, valid and binding obligations of the Purchaser, enforceable against it in accordance with their respective terms.</w:t>
      </w:r>
    </w:p>
    <w:p>
      <w:pPr>
        <w:spacing w:after="0" w:line="166"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5.3</w:t>
      </w:r>
      <w:r>
        <w:rPr>
          <w:sz w:val="20"/>
          <w:szCs w:val="20"/>
          <w:color w:val="auto"/>
        </w:rPr>
        <w:tab/>
      </w:r>
      <w:r>
        <w:rPr>
          <w:rFonts w:ascii="Arial" w:cs="Arial" w:eastAsia="Arial" w:hAnsi="Arial"/>
          <w:sz w:val="16"/>
          <w:szCs w:val="16"/>
          <w:u w:val="single" w:color="auto"/>
          <w:color w:val="auto"/>
        </w:rPr>
        <w:t>Conflicts; Consents of Third Parties</w:t>
      </w:r>
      <w:r>
        <w:rPr>
          <w:rFonts w:ascii="Arial" w:cs="Arial" w:eastAsia="Arial" w:hAnsi="Arial"/>
          <w:sz w:val="16"/>
          <w:szCs w:val="16"/>
          <w:color w:val="auto"/>
        </w:rPr>
        <w:t>.</w:t>
      </w:r>
    </w:p>
    <w:p>
      <w:pPr>
        <w:spacing w:after="0" w:line="225" w:lineRule="exact"/>
        <w:rPr>
          <w:sz w:val="20"/>
          <w:szCs w:val="20"/>
          <w:color w:val="auto"/>
        </w:rPr>
      </w:pPr>
    </w:p>
    <w:p>
      <w:pPr>
        <w:ind w:left="660" w:right="260" w:firstLine="1293"/>
        <w:spacing w:after="0" w:line="277" w:lineRule="auto"/>
        <w:tabs>
          <w:tab w:leader="none" w:pos="261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None of the execution, delivery and performance by the Purchaser of this Agreement or the other Transaction Documents to which the</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45" w:name="page346"/>
    <w:bookmarkEnd w:id="345"/>
    <w:p>
      <w:pPr>
        <w:ind w:left="660"/>
        <w:spacing w:after="0" w:line="293" w:lineRule="auto"/>
        <w:rPr>
          <w:sz w:val="20"/>
          <w:szCs w:val="20"/>
          <w:color w:val="auto"/>
        </w:rPr>
      </w:pPr>
      <w:r>
        <w:rPr>
          <w:rFonts w:ascii="Arial" w:cs="Arial" w:eastAsia="Arial" w:hAnsi="Arial"/>
          <w:sz w:val="16"/>
          <w:szCs w:val="16"/>
          <w:color w:val="auto"/>
        </w:rPr>
        <w:t>Purchaser is a party, the consummation of the transactions contemplated hereby or thereby, or compliance by the Purchaser with any of the provisions hereof or thereof will breach or conflict with, or result in any violation of or default under (with or without notice or lapse of time, or both), any provision of (i) the memorandum and articles of association of the Purchaser; or (ii) any Order or Law applicable to the Purchaser, in each case of (i) and (ii), except as would not, individually or in the aggregate, materially and adversely affect the ability of the Purchaser to carry out its obligations hereunder and under the other Transactions Documents to which it is a party and to consummate the transactions contemplated hereby and thereby.</w:t>
      </w:r>
    </w:p>
    <w:p>
      <w:pPr>
        <w:spacing w:after="0" w:line="164" w:lineRule="exact"/>
        <w:rPr>
          <w:sz w:val="20"/>
          <w:szCs w:val="20"/>
          <w:color w:val="auto"/>
        </w:rPr>
      </w:pPr>
    </w:p>
    <w:p>
      <w:pPr>
        <w:ind w:left="660" w:firstLine="1293"/>
        <w:spacing w:after="0" w:line="254" w:lineRule="auto"/>
        <w:tabs>
          <w:tab w:leader="none" w:pos="2629"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 consent, waiver, approval, Order, Permit or authorization of, or declaration or filing with, or notification to, any Government Authority or any other Person is required on the part of the Purchaser in connection with the execution and delivery of this Agreement or the other Transaction Documents or the compliance by the Purchaser with any of the provisions hereof or thereof, or the consummation of the transactions contemplated hereby or thereby, except as would not, individually or in the aggregate, materially and adversely affect the ability of the Purchaser to carry out its obligations hereunder and under the other Transactions Documents to which it is a party and to consummate the transactions contemplated hereby and thereby.</w:t>
      </w:r>
    </w:p>
    <w:p>
      <w:pPr>
        <w:spacing w:after="0" w:line="195"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Subject Shares</w:t>
      </w:r>
      <w:r>
        <w:rPr>
          <w:rFonts w:ascii="Arial" w:cs="Arial" w:eastAsia="Arial" w:hAnsi="Arial"/>
          <w:sz w:val="18"/>
          <w:szCs w:val="18"/>
          <w:color w:val="auto"/>
        </w:rPr>
        <w:t>. The Subject Shares, when issued, sold and delivered in accordance with the provisions of this Agreement, will be duly authorized, validly issued, fully paid and non-assessable, and will be owned by the Seller free and clear of all Liens.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100" w:firstLine="1296"/>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Access to Information</w:t>
      </w:r>
      <w:r>
        <w:rPr>
          <w:rFonts w:ascii="Arial" w:cs="Arial" w:eastAsia="Arial" w:hAnsi="Arial"/>
          <w:sz w:val="17"/>
          <w:szCs w:val="17"/>
          <w:color w:val="auto"/>
        </w:rPr>
        <w:t>. Following the date hereof until the Closing, the Purchaser and its representatives shall be entitled to make such investigation of the properties, assets, businesses and operations of the Group Companies and such examination of the books and records of the Group Companies as it may request from time to time and to make extracts and copies of such books and records. The Company and the Warrantors shall cause the Group Companies and each of the Group Companies’ respective officers, directors, employees, consultants, agents, accountants, attorneys and other representatives to: (a) afford the officers, employees, agents, accountants, attorneys and other representatives of the Purchaser access, during regular business hours, to the offices, properties, facilities, books and records of each Group Company, and (b) furnish to the officers, employees, agents, accountants, attorneys and other representatives of the Purchaser such additional financial, operating data, customer data and other data and information regarding the operation, assets, properties, Liabilities and goodwill of each Group Company as the Purchaser may from time to time request (including without limitation, the due diligence materials previously requested by the Purchaser but yet to be provided as of the date hereof).</w:t>
      </w:r>
    </w:p>
    <w:p>
      <w:pPr>
        <w:spacing w:after="0" w:line="182"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Notice of Developments</w:t>
      </w:r>
      <w:r>
        <w:rPr>
          <w:rFonts w:ascii="Arial" w:cs="Arial" w:eastAsia="Arial" w:hAnsi="Arial"/>
          <w:sz w:val="18"/>
          <w:szCs w:val="18"/>
          <w:color w:val="auto"/>
        </w:rPr>
        <w:t>. Prior to the Closing, the Warrantors and the Company shall promptly notify the Purchaser in writing of (a) all events, circumstances, facts and occurrences arising subsequent to the date of this Agreement which could reasonably be expected to result in any breach of a representation or warranty or covenant or agreement of any Warrantor or the Company in this Agreement or which could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46" w:name="page347"/>
    <w:bookmarkEnd w:id="346"/>
    <w:p>
      <w:pPr>
        <w:ind w:right="100"/>
        <w:spacing w:after="0" w:line="263" w:lineRule="auto"/>
        <w:rPr>
          <w:sz w:val="20"/>
          <w:szCs w:val="20"/>
          <w:color w:val="auto"/>
        </w:rPr>
      </w:pPr>
      <w:r>
        <w:rPr>
          <w:rFonts w:ascii="Arial" w:cs="Arial" w:eastAsia="Arial" w:hAnsi="Arial"/>
          <w:sz w:val="18"/>
          <w:szCs w:val="18"/>
          <w:color w:val="auto"/>
        </w:rPr>
        <w:t>have the effect of making any representation or warranty of any Warrantor or the Company untrue or incorrect in any respect, and (b) all other material developments affecting the assets, Liabilities, business, financial condition, operations, result of operations, client relationships, employee relations, projections or prospects of any Group Company.</w:t>
      </w:r>
    </w:p>
    <w:p>
      <w:pPr>
        <w:spacing w:after="0" w:line="184"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Conduct of the Business Pending the Closing</w:t>
      </w:r>
      <w:r>
        <w:rPr>
          <w:rFonts w:ascii="Arial" w:cs="Arial" w:eastAsia="Arial" w:hAnsi="Arial"/>
          <w:sz w:val="18"/>
          <w:szCs w:val="18"/>
          <w:color w:val="auto"/>
        </w:rPr>
        <w:t>. Between the date hereof and the time of the Closing, except (x) as expressly required by this Agreement or (y) with the prior written consent of the Purchaser (which consent may be given or withheld in the Purchaser’s sole and absolute discretion), the Company shall, and shall cause the other Group Companies to, and the Warrantors shall cause the Group Companies to:</w:t>
      </w:r>
    </w:p>
    <w:p>
      <w:pPr>
        <w:spacing w:after="0" w:line="187" w:lineRule="exact"/>
        <w:rPr>
          <w:sz w:val="20"/>
          <w:szCs w:val="20"/>
          <w:color w:val="auto"/>
        </w:rPr>
      </w:pPr>
    </w:p>
    <w:p>
      <w:pPr>
        <w:ind w:left="660" w:right="360" w:firstLine="1293"/>
        <w:spacing w:after="0" w:line="277" w:lineRule="auto"/>
        <w:tabs>
          <w:tab w:leader="none" w:pos="26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conduct the respective Businesses of the Group Companies in the ordinary course and consistent with the Group Companies’ past practice;</w:t>
      </w:r>
    </w:p>
    <w:p>
      <w:pPr>
        <w:spacing w:after="0" w:line="170" w:lineRule="exact"/>
        <w:rPr>
          <w:rFonts w:ascii="Arial" w:cs="Arial" w:eastAsia="Arial" w:hAnsi="Arial"/>
          <w:sz w:val="18"/>
          <w:szCs w:val="18"/>
          <w:color w:val="auto"/>
        </w:rPr>
      </w:pPr>
    </w:p>
    <w:p>
      <w:pPr>
        <w:ind w:left="660" w:right="440" w:firstLine="1293"/>
        <w:spacing w:after="0" w:line="277" w:lineRule="auto"/>
        <w:tabs>
          <w:tab w:leader="none" w:pos="262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continue the respective promotional activities and pricing and purchasing policies of the Group Companies consistent with past practice;</w:t>
      </w:r>
    </w:p>
    <w:p>
      <w:pPr>
        <w:spacing w:after="0" w:line="170" w:lineRule="exact"/>
        <w:rPr>
          <w:rFonts w:ascii="Arial" w:cs="Arial" w:eastAsia="Arial" w:hAnsi="Arial"/>
          <w:sz w:val="18"/>
          <w:szCs w:val="18"/>
          <w:color w:val="auto"/>
        </w:rPr>
      </w:pPr>
    </w:p>
    <w:p>
      <w:pPr>
        <w:ind w:left="660" w:firstLine="1293"/>
        <w:spacing w:after="0" w:line="277" w:lineRule="auto"/>
        <w:tabs>
          <w:tab w:leader="none" w:pos="26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maintain the validity of all the customs guarantees with respect to the Group Companies’ warehouses located in bonded areas as required by applicable Laws;</w:t>
      </w:r>
    </w:p>
    <w:p>
      <w:pPr>
        <w:spacing w:after="0" w:line="170" w:lineRule="exact"/>
        <w:rPr>
          <w:rFonts w:ascii="Arial" w:cs="Arial" w:eastAsia="Arial" w:hAnsi="Arial"/>
          <w:sz w:val="18"/>
          <w:szCs w:val="18"/>
          <w:color w:val="auto"/>
        </w:rPr>
      </w:pPr>
    </w:p>
    <w:p>
      <w:pPr>
        <w:ind w:left="660" w:right="160" w:firstLine="1293"/>
        <w:spacing w:after="0" w:line="277" w:lineRule="auto"/>
        <w:tabs>
          <w:tab w:leader="none" w:pos="262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store and preserve all the data generated from the Group Companies’ operation in the same manner as they are currently stored and preserved;</w:t>
      </w:r>
    </w:p>
    <w:p>
      <w:pPr>
        <w:spacing w:after="0" w:line="170" w:lineRule="exact"/>
        <w:rPr>
          <w:rFonts w:ascii="Arial" w:cs="Arial" w:eastAsia="Arial" w:hAnsi="Arial"/>
          <w:sz w:val="18"/>
          <w:szCs w:val="18"/>
          <w:color w:val="auto"/>
        </w:rPr>
      </w:pPr>
    </w:p>
    <w:p>
      <w:pPr>
        <w:ind w:left="660" w:right="280" w:firstLine="1293"/>
        <w:spacing w:after="0" w:line="277" w:lineRule="auto"/>
        <w:tabs>
          <w:tab w:leader="none" w:pos="261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renew any licenses, permits, insurance policies and contracts (including without limitation supply contracts) that have expired or will expire in a timely manner;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preserve all the present assets and Real Property of the Group Companies;</w:t>
      </w:r>
    </w:p>
    <w:p>
      <w:pPr>
        <w:spacing w:after="0" w:line="225" w:lineRule="exact"/>
        <w:rPr>
          <w:rFonts w:ascii="Arial" w:cs="Arial" w:eastAsia="Arial" w:hAnsi="Arial"/>
          <w:sz w:val="18"/>
          <w:szCs w:val="18"/>
          <w:color w:val="auto"/>
        </w:rPr>
      </w:pPr>
    </w:p>
    <w:p>
      <w:pPr>
        <w:ind w:left="660" w:right="60" w:firstLine="1293"/>
        <w:spacing w:after="0" w:line="296" w:lineRule="auto"/>
        <w:tabs>
          <w:tab w:leader="none" w:pos="262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use their best efforts to (i) preserve the present business operations, organization and goodwill of the Group Companies, (ii) keep available the services of its current officers and employees, (iii) preserve the present relationships with clients of the Group Companies, and (iv) not engage in any practice, take any action, fail to take any action or enter into any transaction which could cause any representation or warranty of the Company or the Warrantors in this Agreement to be untrue or result in a breach of any covenant made by the Company or any Warrantor in this Agreement;</w:t>
      </w:r>
    </w:p>
    <w:p>
      <w:pPr>
        <w:spacing w:after="0" w:line="161" w:lineRule="exact"/>
        <w:rPr>
          <w:rFonts w:ascii="Arial" w:cs="Arial" w:eastAsia="Arial" w:hAnsi="Arial"/>
          <w:sz w:val="16"/>
          <w:szCs w:val="16"/>
          <w:color w:val="auto"/>
        </w:rPr>
      </w:pPr>
    </w:p>
    <w:p>
      <w:pPr>
        <w:ind w:left="660" w:right="220" w:firstLine="1293"/>
        <w:spacing w:after="0" w:line="259" w:lineRule="auto"/>
        <w:tabs>
          <w:tab w:leader="none" w:pos="262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not change the accounting methods, estimation techniques, principles or practices affecting the reported assets, liabilities or results of operations of any Group Company or change any Group Company’s cash management procedures or management of working capital, including by accelerating collections or receivables or by delaying payment of any payables or other liabilities; and</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not take any action if such action would constitute a breach of the representations and warranties set</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 xml:space="preserve">forth in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211" w:lineRule="exact"/>
        <w:rPr>
          <w:sz w:val="20"/>
          <w:szCs w:val="20"/>
          <w:color w:val="auto"/>
        </w:rPr>
      </w:pPr>
    </w:p>
    <w:p>
      <w:pPr>
        <w:ind w:right="100" w:firstLine="1296"/>
        <w:spacing w:after="0" w:line="34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use (and the Company shall cause each other Group Company to use) its reasonable best efforts to (a) take all actions necessary or appropriate and do all things (including to execute and deliver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7" w:name="page348"/>
    <w:bookmarkEnd w:id="347"/>
    <w:p>
      <w:pPr>
        <w:spacing w:after="0"/>
        <w:rPr>
          <w:sz w:val="20"/>
          <w:szCs w:val="20"/>
          <w:color w:val="auto"/>
        </w:rPr>
      </w:pPr>
      <w:r>
        <w:rPr>
          <w:rFonts w:ascii="Arial" w:cs="Arial" w:eastAsia="Arial" w:hAnsi="Arial"/>
          <w:sz w:val="16"/>
          <w:szCs w:val="16"/>
          <w:color w:val="auto"/>
        </w:rPr>
        <w:t>documents and other papers) necessary, proper or advisable to consummate the transactions contemplated by this Agreement, and</w:t>
      </w:r>
    </w:p>
    <w:p>
      <w:pPr>
        <w:spacing w:after="0" w:line="46" w:lineRule="exact"/>
        <w:rPr>
          <w:sz w:val="20"/>
          <w:szCs w:val="20"/>
          <w:color w:val="auto"/>
        </w:rPr>
      </w:pPr>
    </w:p>
    <w:p>
      <w:pPr>
        <w:ind w:firstLine="9"/>
        <w:spacing w:after="0" w:line="260" w:lineRule="auto"/>
        <w:tabs>
          <w:tab w:leader="none" w:pos="25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cause the fulfillment at the earliest practicable date of all the conditions to their respective obligations to consummate the transactions contemplated by this Agreement.</w:t>
      </w:r>
    </w:p>
    <w:p>
      <w:pPr>
        <w:spacing w:after="0" w:line="185"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7"/>
          <w:szCs w:val="17"/>
          <w:u w:val="single" w:color="auto"/>
          <w:color w:val="auto"/>
        </w:rPr>
        <w:t>Confidentiality and Publicity</w:t>
      </w:r>
      <w:r>
        <w:rPr>
          <w:rFonts w:ascii="Arial" w:cs="Arial" w:eastAsia="Arial" w:hAnsi="Arial"/>
          <w:sz w:val="17"/>
          <w:szCs w:val="17"/>
          <w:color w:val="auto"/>
        </w:rPr>
        <w:t>.</w:t>
      </w:r>
    </w:p>
    <w:p>
      <w:pPr>
        <w:spacing w:after="0" w:line="225" w:lineRule="exact"/>
        <w:rPr>
          <w:sz w:val="20"/>
          <w:szCs w:val="20"/>
          <w:color w:val="auto"/>
        </w:rPr>
      </w:pPr>
    </w:p>
    <w:p>
      <w:pPr>
        <w:ind w:left="660" w:right="40" w:firstLine="1293"/>
        <w:spacing w:after="0" w:line="286" w:lineRule="auto"/>
        <w:tabs>
          <w:tab w:leader="none" w:pos="2619"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Each Warrantor agrees to, and shall cause its agents, representatives, Affiliates, employees, officers and directors to: (i) treat and hold as confidential (and not disclose or provide access to any Person to) all confidential or proprietary information with respect to the Purchaser or the Group Companies or relating to the transactions contemplated hereby, (ii) in the event that any Warrantor or any such agent, representative, Affiliate, employee, officer or director becomes legally compelled to disclose any such information and to the extent reasonably practicable and legally permissible, provide the Purchaser and the Company with prompt written notice of such requirement so that the Purchaser or the applicable Group Company may seek a protective order or other remedy or waive compliance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and (iii) in the event that such protective order or other remedy is not obtained prior to the date such disclosure is required to be made, or the Purchaser and the Company waive compliance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furnish only that portion of such confidential information which is legally required to be provided and exercise its reasonable best efforts to obtain assurances that confidential treatment will be accorded to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legally permissible, each Warrantor shall have provided a draft of the proposed disclosure to the Purchaser and the Company reasonably in advance and shall in good faith consider any comments to the content of such proposed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shall not apply to any information that, at the time of disclosure, is in the public domain and was not disclosed in breach of this Agreement by any Warrantor or any of its agents, representatives, Affiliates, employees, officers or directors.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48" w:name="page349"/>
    <w:bookmarkEnd w:id="348"/>
    <w:p>
      <w:pPr>
        <w:ind w:left="660" w:right="20" w:firstLine="1293"/>
        <w:spacing w:after="0" w:line="270" w:lineRule="auto"/>
        <w:tabs>
          <w:tab w:leader="none" w:pos="2584"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 Party shall make, or cause to be made, any press release or public announcement in respect of this Agreement or the transactions contemplated hereby or otherwise communicate with any news media without the prior written consent of the Purchaser (in the case of a proposed release or announcement by the Seller, the Seller Parent or the Company), or of the Seller (in the case of a proposed release or announcement by the Purchaser), unless otherwise required by Law or Government Authority (in which case the Party being required to make such press release or public announcement shall, to the extent legally permissible, provide the Purchaser (if such Party is the Seller or the Seller Parent) or the Seller (if such Party is the Purchaser) with a draft of the proposed press release or public announcement reasonably in advance and shall in good faith consider any comments from the Purchaser or the Seller, as applicable, to the content of such proposed press release or public announcement).</w:t>
      </w:r>
    </w:p>
    <w:p>
      <w:pPr>
        <w:spacing w:after="0" w:line="181" w:lineRule="exact"/>
        <w:rPr>
          <w:sz w:val="20"/>
          <w:szCs w:val="20"/>
          <w:color w:val="auto"/>
        </w:rPr>
      </w:pPr>
    </w:p>
    <w:p>
      <w:pPr>
        <w:jc w:val="both"/>
        <w:ind w:right="100" w:firstLine="1296"/>
        <w:spacing w:after="0" w:line="263"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No Promotion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6.5(b)</w:t>
      </w:r>
      <w:r>
        <w:rPr>
          <w:rFonts w:ascii="Arial" w:cs="Arial" w:eastAsia="Arial" w:hAnsi="Arial"/>
          <w:sz w:val="18"/>
          <w:szCs w:val="18"/>
          <w:color w:val="auto"/>
        </w:rPr>
        <w:t>, without the prior written consent of or as otherwise agreed in writing to by the Purchaser, and whether or not the Purchaser is then a shareholder of the Company and whether or not the Closing is consummated, each Warrantor shall not and shall cause its Affiliates not to:</w:t>
      </w:r>
    </w:p>
    <w:p>
      <w:pPr>
        <w:spacing w:after="0" w:line="184" w:lineRule="exact"/>
        <w:rPr>
          <w:sz w:val="20"/>
          <w:szCs w:val="20"/>
          <w:color w:val="auto"/>
        </w:rPr>
      </w:pPr>
    </w:p>
    <w:p>
      <w:pPr>
        <w:ind w:left="2660" w:hanging="707"/>
        <w:spacing w:after="0"/>
        <w:tabs>
          <w:tab w:leader="none" w:pos="2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use in advertising, publicity, announcements, duplication or otherwise, the name of Ant, Alibaba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00" w:type="dxa"/>
            <w:vAlign w:val="bottom"/>
            <w:gridSpan w:val="11"/>
          </w:tcPr>
          <w:p>
            <w:pPr>
              <w:ind w:left="660"/>
              <w:spacing w:after="0"/>
              <w:rPr>
                <w:sz w:val="20"/>
                <w:szCs w:val="20"/>
                <w:color w:val="auto"/>
              </w:rPr>
            </w:pPr>
            <w:r>
              <w:rPr>
                <w:rFonts w:ascii="Arial" w:cs="Arial" w:eastAsia="Arial" w:hAnsi="Arial"/>
                <w:sz w:val="18"/>
                <w:szCs w:val="18"/>
                <w:color w:val="auto"/>
                <w:w w:val="96"/>
              </w:rPr>
              <w:t>Group Holding Limited or any of their respective Affiliates, either alone or in combination of, including “</w:t>
            </w:r>
          </w:p>
        </w:tc>
        <w:tc>
          <w:tcPr>
            <w:tcW w:w="1420" w:type="dxa"/>
            <w:vAlign w:val="bottom"/>
            <w:gridSpan w:val="2"/>
          </w:tcPr>
          <w:p>
            <w:pPr>
              <w:jc w:val="right"/>
              <w:ind w:right="350"/>
              <w:spacing w:after="0"/>
              <w:rPr>
                <w:sz w:val="20"/>
                <w:szCs w:val="20"/>
                <w:color w:val="auto"/>
              </w:rPr>
            </w:pPr>
            <w:r>
              <w:rPr>
                <w:rFonts w:ascii="Arial" w:cs="Arial" w:eastAsia="Arial" w:hAnsi="Arial"/>
                <w:sz w:val="18"/>
                <w:szCs w:val="18"/>
                <w:color w:val="auto"/>
              </w:rPr>
              <w:t>” (Chinese</w:t>
            </w:r>
          </w:p>
        </w:tc>
      </w:tr>
      <w:tr>
        <w:trPr>
          <w:trHeight w:val="216"/>
        </w:trPr>
        <w:tc>
          <w:tcPr>
            <w:tcW w:w="5680" w:type="dxa"/>
            <w:vAlign w:val="bottom"/>
            <w:gridSpan w:val="6"/>
          </w:tcPr>
          <w:p>
            <w:pPr>
              <w:ind w:left="660"/>
              <w:spacing w:after="0"/>
              <w:rPr>
                <w:sz w:val="20"/>
                <w:szCs w:val="20"/>
                <w:color w:val="auto"/>
              </w:rPr>
            </w:pPr>
            <w:r>
              <w:rPr>
                <w:rFonts w:ascii="Arial" w:cs="Arial" w:eastAsia="Arial" w:hAnsi="Arial"/>
                <w:sz w:val="18"/>
                <w:szCs w:val="18"/>
                <w:color w:val="auto"/>
                <w:w w:val="96"/>
              </w:rPr>
              <w:t>equivalent for “Alibaba”), “   ” (Chinese equivalent for “Taobao”), “</w:t>
            </w:r>
          </w:p>
        </w:tc>
        <w:tc>
          <w:tcPr>
            <w:tcW w:w="3580" w:type="dxa"/>
            <w:vAlign w:val="bottom"/>
            <w:gridSpan w:val="6"/>
          </w:tcPr>
          <w:p>
            <w:pPr>
              <w:ind w:left="200"/>
              <w:spacing w:after="0"/>
              <w:rPr>
                <w:sz w:val="20"/>
                <w:szCs w:val="20"/>
                <w:color w:val="auto"/>
              </w:rPr>
            </w:pPr>
            <w:r>
              <w:rPr>
                <w:rFonts w:ascii="Arial" w:cs="Arial" w:eastAsia="Arial" w:hAnsi="Arial"/>
                <w:sz w:val="18"/>
                <w:szCs w:val="18"/>
                <w:color w:val="auto"/>
                <w:w w:val="98"/>
              </w:rPr>
              <w:t>” (Chinese equivalent for “Tmall”), “1688”, “</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gridSpan w:val="3"/>
          </w:tcPr>
          <w:p>
            <w:pPr>
              <w:ind w:left="660"/>
              <w:spacing w:after="0"/>
              <w:rPr>
                <w:sz w:val="20"/>
                <w:szCs w:val="20"/>
                <w:color w:val="auto"/>
              </w:rPr>
            </w:pPr>
            <w:r>
              <w:rPr>
                <w:rFonts w:ascii="Arial" w:cs="Arial" w:eastAsia="Arial" w:hAnsi="Arial"/>
                <w:sz w:val="18"/>
                <w:szCs w:val="18"/>
                <w:color w:val="auto"/>
                <w:w w:val="94"/>
              </w:rPr>
              <w:t>(Chinese equivalent for “Juhuasuan”), “</w:t>
            </w:r>
          </w:p>
        </w:tc>
        <w:tc>
          <w:tcPr>
            <w:tcW w:w="380" w:type="dxa"/>
            <w:vAlign w:val="bottom"/>
          </w:tcPr>
          <w:p>
            <w:pPr>
              <w:spacing w:after="0"/>
              <w:rPr>
                <w:sz w:val="18"/>
                <w:szCs w:val="18"/>
                <w:color w:val="auto"/>
              </w:rPr>
            </w:pPr>
          </w:p>
        </w:tc>
        <w:tc>
          <w:tcPr>
            <w:tcW w:w="2920" w:type="dxa"/>
            <w:vAlign w:val="bottom"/>
            <w:gridSpan w:val="4"/>
          </w:tcPr>
          <w:p>
            <w:pPr>
              <w:ind w:left="40"/>
              <w:spacing w:after="0"/>
              <w:rPr>
                <w:sz w:val="20"/>
                <w:szCs w:val="20"/>
                <w:color w:val="auto"/>
              </w:rPr>
            </w:pPr>
            <w:r>
              <w:rPr>
                <w:rFonts w:ascii="Arial" w:cs="Arial" w:eastAsia="Arial" w:hAnsi="Arial"/>
                <w:sz w:val="18"/>
                <w:szCs w:val="18"/>
                <w:color w:val="auto"/>
              </w:rPr>
              <w:t>” (Chinese brand for “AliExpress”), “</w:t>
            </w:r>
          </w:p>
        </w:tc>
        <w:tc>
          <w:tcPr>
            <w:tcW w:w="2980" w:type="dxa"/>
            <w:vAlign w:val="bottom"/>
            <w:gridSpan w:val="5"/>
          </w:tcPr>
          <w:p>
            <w:pPr>
              <w:jc w:val="right"/>
              <w:ind w:right="110"/>
              <w:spacing w:after="0"/>
              <w:rPr>
                <w:sz w:val="20"/>
                <w:szCs w:val="20"/>
                <w:color w:val="auto"/>
              </w:rPr>
            </w:pPr>
            <w:r>
              <w:rPr>
                <w:rFonts w:ascii="Arial" w:cs="Arial" w:eastAsia="Arial" w:hAnsi="Arial"/>
                <w:sz w:val="18"/>
                <w:szCs w:val="18"/>
                <w:color w:val="auto"/>
                <w:w w:val="97"/>
              </w:rPr>
              <w:t>” (Chinese equivalent for “Fliggy”), “</w:t>
            </w:r>
          </w:p>
        </w:tc>
      </w:tr>
      <w:tr>
        <w:trPr>
          <w:trHeight w:val="216"/>
        </w:trPr>
        <w:tc>
          <w:tcPr>
            <w:tcW w:w="4020" w:type="dxa"/>
            <w:vAlign w:val="bottom"/>
            <w:gridSpan w:val="4"/>
          </w:tcPr>
          <w:p>
            <w:pPr>
              <w:ind w:left="980"/>
              <w:spacing w:after="0"/>
              <w:rPr>
                <w:sz w:val="20"/>
                <w:szCs w:val="20"/>
                <w:color w:val="auto"/>
              </w:rPr>
            </w:pPr>
            <w:r>
              <w:rPr>
                <w:rFonts w:ascii="Arial" w:cs="Arial" w:eastAsia="Arial" w:hAnsi="Arial"/>
                <w:sz w:val="18"/>
                <w:szCs w:val="18"/>
                <w:color w:val="auto"/>
                <w:w w:val="98"/>
              </w:rPr>
              <w:t>” (Chinese equivalent for “Alimama”), “</w:t>
            </w:r>
          </w:p>
        </w:tc>
        <w:tc>
          <w:tcPr>
            <w:tcW w:w="3600" w:type="dxa"/>
            <w:vAlign w:val="bottom"/>
            <w:gridSpan w:val="5"/>
          </w:tcPr>
          <w:p>
            <w:pPr>
              <w:ind w:left="200"/>
              <w:spacing w:after="0"/>
              <w:rPr>
                <w:sz w:val="20"/>
                <w:szCs w:val="20"/>
                <w:color w:val="auto"/>
              </w:rPr>
            </w:pPr>
            <w:r>
              <w:rPr>
                <w:rFonts w:ascii="Arial" w:cs="Arial" w:eastAsia="Arial" w:hAnsi="Arial"/>
                <w:sz w:val="18"/>
                <w:szCs w:val="18"/>
                <w:color w:val="auto"/>
                <w:w w:val="97"/>
              </w:rPr>
              <w:t>” (Chinese equivalent for “Alibaba Cloud”), “</w:t>
            </w:r>
          </w:p>
        </w:tc>
        <w:tc>
          <w:tcPr>
            <w:tcW w:w="300" w:type="dxa"/>
            <w:vAlign w:val="bottom"/>
          </w:tcPr>
          <w:p>
            <w:pPr>
              <w:spacing w:after="0"/>
              <w:rPr>
                <w:sz w:val="18"/>
                <w:szCs w:val="18"/>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 (Chinese equivalent for</w:t>
            </w:r>
          </w:p>
        </w:tc>
      </w:tr>
      <w:tr>
        <w:trPr>
          <w:trHeight w:val="216"/>
        </w:trPr>
        <w:tc>
          <w:tcPr>
            <w:tcW w:w="2060" w:type="dxa"/>
            <w:vAlign w:val="bottom"/>
            <w:gridSpan w:val="2"/>
          </w:tcPr>
          <w:p>
            <w:pPr>
              <w:ind w:left="660"/>
              <w:spacing w:after="0"/>
              <w:rPr>
                <w:sz w:val="20"/>
                <w:szCs w:val="20"/>
                <w:color w:val="auto"/>
              </w:rPr>
            </w:pPr>
            <w:r>
              <w:rPr>
                <w:rFonts w:ascii="Arial" w:cs="Arial" w:eastAsia="Arial" w:hAnsi="Arial"/>
                <w:sz w:val="18"/>
                <w:szCs w:val="18"/>
                <w:color w:val="auto"/>
              </w:rPr>
              <w:t>“AliTelecom”), “</w:t>
            </w:r>
          </w:p>
        </w:tc>
        <w:tc>
          <w:tcPr>
            <w:tcW w:w="2820" w:type="dxa"/>
            <w:vAlign w:val="bottom"/>
            <w:gridSpan w:val="3"/>
          </w:tcPr>
          <w:p>
            <w:pPr>
              <w:ind w:left="160"/>
              <w:spacing w:after="0"/>
              <w:rPr>
                <w:sz w:val="20"/>
                <w:szCs w:val="20"/>
                <w:color w:val="auto"/>
              </w:rPr>
            </w:pPr>
            <w:r>
              <w:rPr>
                <w:rFonts w:ascii="Arial" w:cs="Arial" w:eastAsia="Arial" w:hAnsi="Arial"/>
                <w:sz w:val="18"/>
                <w:szCs w:val="18"/>
                <w:color w:val="auto"/>
                <w:w w:val="93"/>
              </w:rPr>
              <w:t>” (Chinese brand for “OneTouch”), “</w:t>
            </w:r>
          </w:p>
        </w:tc>
        <w:tc>
          <w:tcPr>
            <w:tcW w:w="3040" w:type="dxa"/>
            <w:vAlign w:val="bottom"/>
            <w:gridSpan w:val="5"/>
          </w:tcPr>
          <w:p>
            <w:pPr>
              <w:ind w:left="200"/>
              <w:spacing w:after="0"/>
              <w:rPr>
                <w:sz w:val="20"/>
                <w:szCs w:val="20"/>
                <w:color w:val="auto"/>
              </w:rPr>
            </w:pPr>
            <w:r>
              <w:rPr>
                <w:rFonts w:ascii="Arial" w:cs="Arial" w:eastAsia="Arial" w:hAnsi="Arial"/>
                <w:sz w:val="18"/>
                <w:szCs w:val="18"/>
                <w:color w:val="auto"/>
                <w:w w:val="96"/>
              </w:rPr>
              <w:t>” (Chinese equivalent for “Umeng”), “</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w w:val="99"/>
              </w:rPr>
              <w:t>” (Chinese equivalent for</w:t>
            </w:r>
          </w:p>
        </w:tc>
      </w:tr>
      <w:tr>
        <w:trPr>
          <w:trHeight w:val="216"/>
        </w:trPr>
        <w:tc>
          <w:tcPr>
            <w:tcW w:w="4880" w:type="dxa"/>
            <w:vAlign w:val="bottom"/>
            <w:gridSpan w:val="5"/>
          </w:tcPr>
          <w:p>
            <w:pPr>
              <w:ind w:left="660"/>
              <w:spacing w:after="0"/>
              <w:rPr>
                <w:sz w:val="20"/>
                <w:szCs w:val="20"/>
                <w:color w:val="auto"/>
              </w:rPr>
            </w:pPr>
            <w:r>
              <w:rPr>
                <w:rFonts w:ascii="Arial" w:cs="Arial" w:eastAsia="Arial" w:hAnsi="Arial"/>
                <w:sz w:val="18"/>
                <w:szCs w:val="18"/>
                <w:color w:val="auto"/>
                <w:w w:val="99"/>
              </w:rPr>
              <w:t>“Freshippo”), “   ” (Chinese equivalent for “XianYu”), “</w:t>
            </w:r>
          </w:p>
        </w:tc>
        <w:tc>
          <w:tcPr>
            <w:tcW w:w="3040" w:type="dxa"/>
            <w:vAlign w:val="bottom"/>
            <w:gridSpan w:val="5"/>
          </w:tcPr>
          <w:p>
            <w:pPr>
              <w:ind w:left="120"/>
              <w:spacing w:after="0"/>
              <w:rPr>
                <w:sz w:val="20"/>
                <w:szCs w:val="20"/>
                <w:color w:val="auto"/>
              </w:rPr>
            </w:pPr>
            <w:r>
              <w:rPr>
                <w:rFonts w:ascii="Arial" w:cs="Arial" w:eastAsia="Arial" w:hAnsi="Arial"/>
                <w:sz w:val="18"/>
                <w:szCs w:val="18"/>
                <w:color w:val="auto"/>
                <w:w w:val="96"/>
              </w:rPr>
              <w:t>” (Chinese equivalent for “YOUKU”), “</w:t>
            </w:r>
          </w:p>
        </w:tc>
        <w:tc>
          <w:tcPr>
            <w:tcW w:w="2000" w:type="dxa"/>
            <w:vAlign w:val="bottom"/>
            <w:gridSpan w:val="3"/>
          </w:tcPr>
          <w:p>
            <w:pPr>
              <w:jc w:val="right"/>
              <w:ind w:right="170"/>
              <w:spacing w:after="0"/>
              <w:rPr>
                <w:sz w:val="20"/>
                <w:szCs w:val="20"/>
                <w:color w:val="auto"/>
              </w:rPr>
            </w:pPr>
            <w:r>
              <w:rPr>
                <w:rFonts w:ascii="Arial" w:cs="Arial" w:eastAsia="Arial" w:hAnsi="Arial"/>
                <w:sz w:val="18"/>
                <w:szCs w:val="18"/>
                <w:color w:val="auto"/>
              </w:rPr>
              <w:t>” (Chinese equivalent</w:t>
            </w:r>
          </w:p>
        </w:tc>
      </w:tr>
      <w:tr>
        <w:trPr>
          <w:trHeight w:val="216"/>
        </w:trPr>
        <w:tc>
          <w:tcPr>
            <w:tcW w:w="5680" w:type="dxa"/>
            <w:vAlign w:val="bottom"/>
            <w:gridSpan w:val="6"/>
          </w:tcPr>
          <w:p>
            <w:pPr>
              <w:ind w:left="660"/>
              <w:spacing w:after="0"/>
              <w:rPr>
                <w:sz w:val="20"/>
                <w:szCs w:val="20"/>
                <w:color w:val="auto"/>
              </w:rPr>
            </w:pPr>
            <w:r>
              <w:rPr>
                <w:rFonts w:ascii="Arial" w:cs="Arial" w:eastAsia="Arial" w:hAnsi="Arial"/>
                <w:sz w:val="18"/>
                <w:szCs w:val="18"/>
                <w:color w:val="auto"/>
              </w:rPr>
              <w:t>for “TUDOO”), “   ” (Chinese equivalent for “UC/UCWeb”), “</w:t>
            </w:r>
          </w:p>
        </w:tc>
        <w:tc>
          <w:tcPr>
            <w:tcW w:w="3580" w:type="dxa"/>
            <w:vAlign w:val="bottom"/>
            <w:gridSpan w:val="6"/>
          </w:tcPr>
          <w:p>
            <w:pPr>
              <w:ind w:left="20"/>
              <w:spacing w:after="0"/>
              <w:rPr>
                <w:sz w:val="20"/>
                <w:szCs w:val="20"/>
                <w:color w:val="auto"/>
              </w:rPr>
            </w:pPr>
            <w:r>
              <w:rPr>
                <w:rFonts w:ascii="Arial" w:cs="Arial" w:eastAsia="Arial" w:hAnsi="Arial"/>
                <w:sz w:val="18"/>
                <w:szCs w:val="18"/>
                <w:color w:val="auto"/>
              </w:rPr>
              <w:t>” (Chinese equivalent for “Alibaba Games”) ”</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gridSpan w:val="3"/>
          </w:tcPr>
          <w:p>
            <w:pPr>
              <w:ind w:left="660"/>
              <w:spacing w:after="0"/>
              <w:rPr>
                <w:sz w:val="20"/>
                <w:szCs w:val="20"/>
                <w:color w:val="auto"/>
              </w:rPr>
            </w:pPr>
            <w:r>
              <w:rPr>
                <w:rFonts w:ascii="Arial" w:cs="Arial" w:eastAsia="Arial" w:hAnsi="Arial"/>
                <w:sz w:val="18"/>
                <w:szCs w:val="18"/>
                <w:color w:val="auto"/>
              </w:rPr>
              <w:t>(Chinese equivalent for “9Game”), “</w:t>
            </w:r>
          </w:p>
        </w:tc>
        <w:tc>
          <w:tcPr>
            <w:tcW w:w="3980" w:type="dxa"/>
            <w:vAlign w:val="bottom"/>
            <w:gridSpan w:val="6"/>
          </w:tcPr>
          <w:p>
            <w:pPr>
              <w:ind w:left="100"/>
              <w:spacing w:after="0"/>
              <w:rPr>
                <w:sz w:val="20"/>
                <w:szCs w:val="20"/>
                <w:color w:val="auto"/>
              </w:rPr>
            </w:pPr>
            <w:r>
              <w:rPr>
                <w:rFonts w:ascii="Arial" w:cs="Arial" w:eastAsia="Arial" w:hAnsi="Arial"/>
                <w:sz w:val="18"/>
                <w:szCs w:val="18"/>
                <w:color w:val="auto"/>
              </w:rPr>
              <w:t>” (Chinese equivalent for “Alibaba Literature”), “</w:t>
            </w:r>
          </w:p>
        </w:tc>
        <w:tc>
          <w:tcPr>
            <w:tcW w:w="2300" w:type="dxa"/>
            <w:vAlign w:val="bottom"/>
            <w:gridSpan w:val="4"/>
          </w:tcPr>
          <w:p>
            <w:pPr>
              <w:ind w:left="120"/>
              <w:spacing w:after="0"/>
              <w:rPr>
                <w:sz w:val="20"/>
                <w:szCs w:val="20"/>
                <w:color w:val="auto"/>
              </w:rPr>
            </w:pPr>
            <w:r>
              <w:rPr>
                <w:rFonts w:ascii="Arial" w:cs="Arial" w:eastAsia="Arial" w:hAnsi="Arial"/>
                <w:sz w:val="18"/>
                <w:szCs w:val="18"/>
                <w:color w:val="auto"/>
              </w:rPr>
              <w:t>” (Chinese equivalent for</w:t>
            </w: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“Shuqi”), “</w:t>
            </w:r>
          </w:p>
        </w:tc>
        <w:tc>
          <w:tcPr>
            <w:tcW w:w="6000" w:type="dxa"/>
            <w:vAlign w:val="bottom"/>
            <w:gridSpan w:val="8"/>
          </w:tcPr>
          <w:p>
            <w:pPr>
              <w:ind w:left="60"/>
              <w:spacing w:after="0"/>
              <w:rPr>
                <w:sz w:val="20"/>
                <w:szCs w:val="20"/>
                <w:color w:val="auto"/>
              </w:rPr>
            </w:pPr>
            <w:r>
              <w:rPr>
                <w:rFonts w:ascii="Arial" w:cs="Arial" w:eastAsia="Arial" w:hAnsi="Arial"/>
                <w:sz w:val="18"/>
                <w:szCs w:val="18"/>
                <w:color w:val="auto"/>
              </w:rPr>
              <w:t>” (Chinese equivalent for “Damai”), “   ” (Chinese equivalent for “Xiami”), “</w:t>
            </w:r>
          </w:p>
        </w:tc>
        <w:tc>
          <w:tcPr>
            <w:tcW w:w="1640" w:type="dxa"/>
            <w:vAlign w:val="bottom"/>
            <w:gridSpan w:val="3"/>
          </w:tcPr>
          <w:p>
            <w:pPr>
              <w:ind w:left="140"/>
              <w:spacing w:after="0"/>
              <w:rPr>
                <w:sz w:val="20"/>
                <w:szCs w:val="20"/>
                <w:color w:val="auto"/>
              </w:rPr>
            </w:pPr>
            <w:r>
              <w:rPr>
                <w:rFonts w:ascii="Arial" w:cs="Arial" w:eastAsia="Arial" w:hAnsi="Arial"/>
                <w:sz w:val="18"/>
                <w:szCs w:val="18"/>
                <w:color w:val="auto"/>
                <w:w w:val="92"/>
              </w:rPr>
              <w:t>” (Chinese brand for</w:t>
            </w:r>
          </w:p>
        </w:tc>
        <w:tc>
          <w:tcPr>
            <w:tcW w:w="660" w:type="dxa"/>
            <w:vAlign w:val="bottom"/>
          </w:tcPr>
          <w:p>
            <w:pPr>
              <w:spacing w:after="0"/>
              <w:rPr>
                <w:sz w:val="18"/>
                <w:szCs w:val="18"/>
                <w:color w:val="auto"/>
              </w:rPr>
            </w:pPr>
          </w:p>
        </w:tc>
      </w:t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“AMAP”), “</w:t>
            </w:r>
          </w:p>
        </w:tc>
        <w:tc>
          <w:tcPr>
            <w:tcW w:w="5320" w:type="dxa"/>
            <w:vAlign w:val="bottom"/>
            <w:gridSpan w:val="7"/>
          </w:tcPr>
          <w:p>
            <w:pPr>
              <w:ind w:left="160"/>
              <w:spacing w:after="0"/>
              <w:rPr>
                <w:sz w:val="20"/>
                <w:szCs w:val="20"/>
                <w:color w:val="auto"/>
              </w:rPr>
            </w:pPr>
            <w:r>
              <w:rPr>
                <w:rFonts w:ascii="Arial" w:cs="Arial" w:eastAsia="Arial" w:hAnsi="Arial"/>
                <w:sz w:val="18"/>
                <w:szCs w:val="18"/>
                <w:color w:val="auto"/>
                <w:w w:val="97"/>
              </w:rPr>
              <w:t>” (Chinese equivalent for “Ali”), “ ” (Chinese equivalent for “Tao”), “</w:t>
            </w:r>
          </w:p>
        </w:tc>
        <w:tc>
          <w:tcPr>
            <w:tcW w:w="2980" w:type="dxa"/>
            <w:vAlign w:val="bottom"/>
            <w:gridSpan w:val="5"/>
          </w:tcPr>
          <w:p>
            <w:pPr>
              <w:jc w:val="right"/>
              <w:ind w:right="150"/>
              <w:spacing w:after="0"/>
              <w:rPr>
                <w:sz w:val="20"/>
                <w:szCs w:val="20"/>
                <w:color w:val="auto"/>
              </w:rPr>
            </w:pPr>
            <w:r>
              <w:rPr>
                <w:rFonts w:ascii="Arial" w:cs="Arial" w:eastAsia="Arial" w:hAnsi="Arial"/>
                <w:sz w:val="18"/>
                <w:szCs w:val="18"/>
                <w:color w:val="auto"/>
              </w:rPr>
              <w:t>” (Chinese brand for “DingTalk”), “</w:t>
            </w:r>
          </w:p>
        </w:tc>
      </w:tr>
      <w:tr>
        <w:trPr>
          <w:trHeight w:val="216"/>
        </w:trPr>
        <w:tc>
          <w:tcPr>
            <w:tcW w:w="3640" w:type="dxa"/>
            <w:vAlign w:val="bottom"/>
            <w:gridSpan w:val="3"/>
          </w:tcPr>
          <w:p>
            <w:pPr>
              <w:ind w:left="760"/>
              <w:spacing w:after="0"/>
              <w:rPr>
                <w:sz w:val="20"/>
                <w:szCs w:val="20"/>
                <w:color w:val="auto"/>
              </w:rPr>
            </w:pPr>
            <w:r>
              <w:rPr>
                <w:rFonts w:ascii="Arial" w:cs="Arial" w:eastAsia="Arial" w:hAnsi="Arial"/>
                <w:sz w:val="18"/>
                <w:szCs w:val="18"/>
                <w:color w:val="auto"/>
                <w:w w:val="98"/>
              </w:rPr>
              <w:t>” (Chinese equivalent for “Koubei”), “</w:t>
            </w:r>
          </w:p>
        </w:tc>
        <w:tc>
          <w:tcPr>
            <w:tcW w:w="3300" w:type="dxa"/>
            <w:vAlign w:val="bottom"/>
            <w:gridSpan w:val="5"/>
          </w:tcPr>
          <w:p>
            <w:pPr>
              <w:ind w:left="220"/>
              <w:spacing w:after="0"/>
              <w:rPr>
                <w:sz w:val="20"/>
                <w:szCs w:val="20"/>
                <w:color w:val="auto"/>
              </w:rPr>
            </w:pPr>
            <w:r>
              <w:rPr>
                <w:rFonts w:ascii="Arial" w:cs="Arial" w:eastAsia="Arial" w:hAnsi="Arial"/>
                <w:sz w:val="18"/>
                <w:szCs w:val="18"/>
                <w:color w:val="auto"/>
              </w:rPr>
              <w:t>” (Chinese equivalent for “Eleme”), “</w:t>
            </w:r>
          </w:p>
        </w:tc>
        <w:tc>
          <w:tcPr>
            <w:tcW w:w="2980" w:type="dxa"/>
            <w:vAlign w:val="bottom"/>
            <w:gridSpan w:val="5"/>
          </w:tcPr>
          <w:p>
            <w:pPr>
              <w:jc w:val="right"/>
              <w:ind w:right="50"/>
              <w:spacing w:after="0"/>
              <w:rPr>
                <w:sz w:val="20"/>
                <w:szCs w:val="20"/>
                <w:color w:val="auto"/>
              </w:rPr>
            </w:pPr>
            <w:r>
              <w:rPr>
                <w:rFonts w:ascii="Arial" w:cs="Arial" w:eastAsia="Arial" w:hAnsi="Arial"/>
                <w:sz w:val="18"/>
                <w:szCs w:val="18"/>
                <w:color w:val="auto"/>
                <w:w w:val="96"/>
              </w:rPr>
              <w:t>” (Chinese brand for “Ant Financial”),</w:t>
            </w:r>
          </w:p>
        </w:tc>
      </w:tr>
      <w:tr>
        <w:trPr>
          <w:trHeight w:val="216"/>
        </w:trPr>
        <w:tc>
          <w:tcPr>
            <w:tcW w:w="3640" w:type="dxa"/>
            <w:vAlign w:val="bottom"/>
            <w:gridSpan w:val="3"/>
          </w:tcPr>
          <w:p>
            <w:pPr>
              <w:ind w:left="660"/>
              <w:spacing w:after="0"/>
              <w:rPr>
                <w:sz w:val="20"/>
                <w:szCs w:val="20"/>
                <w:color w:val="auto"/>
              </w:rPr>
            </w:pPr>
            <w:r>
              <w:rPr>
                <w:rFonts w:ascii="Arial" w:cs="Arial" w:eastAsia="Arial" w:hAnsi="Arial"/>
                <w:sz w:val="18"/>
                <w:szCs w:val="18"/>
                <w:color w:val="auto"/>
              </w:rPr>
              <w:t>“   ” (Chinese equivalent for “Ant”), “</w:t>
            </w:r>
          </w:p>
        </w:tc>
        <w:tc>
          <w:tcPr>
            <w:tcW w:w="2720" w:type="dxa"/>
            <w:vAlign w:val="bottom"/>
            <w:gridSpan w:val="4"/>
          </w:tcPr>
          <w:p>
            <w:pPr>
              <w:ind w:left="160"/>
              <w:spacing w:after="0"/>
              <w:rPr>
                <w:sz w:val="20"/>
                <w:szCs w:val="20"/>
                <w:color w:val="auto"/>
              </w:rPr>
            </w:pPr>
            <w:r>
              <w:rPr>
                <w:rFonts w:ascii="Arial" w:cs="Arial" w:eastAsia="Arial" w:hAnsi="Arial"/>
                <w:sz w:val="18"/>
                <w:szCs w:val="18"/>
                <w:color w:val="auto"/>
              </w:rPr>
              <w:t>” (Chinese brand for “Alipay”), “</w:t>
            </w:r>
          </w:p>
        </w:tc>
        <w:tc>
          <w:tcPr>
            <w:tcW w:w="3560" w:type="dxa"/>
            <w:vAlign w:val="bottom"/>
            <w:gridSpan w:val="6"/>
          </w:tcPr>
          <w:p>
            <w:pPr>
              <w:jc w:val="right"/>
              <w:ind w:right="390"/>
              <w:spacing w:after="0"/>
              <w:rPr>
                <w:sz w:val="20"/>
                <w:szCs w:val="20"/>
                <w:color w:val="auto"/>
              </w:rPr>
            </w:pPr>
            <w:r>
              <w:rPr>
                <w:rFonts w:ascii="Arial" w:cs="Arial" w:eastAsia="Arial" w:hAnsi="Arial"/>
                <w:sz w:val="18"/>
                <w:szCs w:val="18"/>
                <w:color w:val="auto"/>
                <w:w w:val="99"/>
              </w:rPr>
              <w:t>” (Chinese equivalent for “Yu’e Bao”), “</w:t>
            </w:r>
          </w:p>
        </w:tc>
      </w:tr>
      <w:tr>
        <w:trPr>
          <w:trHeight w:val="230"/>
        </w:trPr>
        <w:tc>
          <w:tcPr>
            <w:tcW w:w="4020" w:type="dxa"/>
            <w:vAlign w:val="bottom"/>
            <w:gridSpan w:val="4"/>
          </w:tcPr>
          <w:p>
            <w:pPr>
              <w:ind w:left="760"/>
              <w:spacing w:after="0"/>
              <w:rPr>
                <w:sz w:val="20"/>
                <w:szCs w:val="20"/>
                <w:color w:val="auto"/>
              </w:rPr>
            </w:pPr>
            <w:r>
              <w:rPr>
                <w:rFonts w:ascii="Arial" w:cs="Arial" w:eastAsia="Arial" w:hAnsi="Arial"/>
                <w:sz w:val="18"/>
                <w:szCs w:val="18"/>
                <w:color w:val="auto"/>
                <w:w w:val="95"/>
              </w:rPr>
              <w:t>” (Chinese equivalent for “Zhima Credit”), “</w:t>
            </w:r>
          </w:p>
        </w:tc>
        <w:tc>
          <w:tcPr>
            <w:tcW w:w="2340" w:type="dxa"/>
            <w:vAlign w:val="bottom"/>
            <w:gridSpan w:val="3"/>
          </w:tcPr>
          <w:p>
            <w:pPr>
              <w:ind w:left="380"/>
              <w:spacing w:after="0"/>
              <w:rPr>
                <w:sz w:val="20"/>
                <w:szCs w:val="20"/>
                <w:color w:val="auto"/>
              </w:rPr>
            </w:pPr>
            <w:r>
              <w:rPr>
                <w:rFonts w:ascii="Arial" w:cs="Arial" w:eastAsia="Arial" w:hAnsi="Arial"/>
                <w:sz w:val="18"/>
                <w:szCs w:val="18"/>
                <w:color w:val="auto"/>
              </w:rPr>
              <w:t>” (Chinese brand for</w:t>
            </w: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648"/>
        </w:trPr>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jc w:val="right"/>
              <w:ind w:right="530"/>
              <w:spacing w:after="0"/>
              <w:rPr>
                <w:sz w:val="20"/>
                <w:szCs w:val="20"/>
                <w:color w:val="auto"/>
              </w:rPr>
            </w:pPr>
            <w:r>
              <w:rPr>
                <w:rFonts w:ascii="Arial" w:cs="Arial" w:eastAsia="Arial" w:hAnsi="Arial"/>
                <w:sz w:val="18"/>
                <w:szCs w:val="18"/>
                <w:color w:val="auto"/>
                <w:w w:val="79"/>
              </w:rPr>
              <w:t>53</w:t>
            </w: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560"/>
        </w:trPr>
        <w:tc>
          <w:tcPr>
            <w:tcW w:w="1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49" w:name="page350"/>
    <w:bookmarkEnd w:id="349"/>
    <w:p>
      <w:pPr>
        <w:ind w:left="660"/>
        <w:spacing w:after="0" w:line="287" w:lineRule="auto"/>
        <w:rPr>
          <w:sz w:val="20"/>
          <w:szCs w:val="20"/>
          <w:color w:val="auto"/>
        </w:rPr>
      </w:pPr>
      <w:r>
        <w:rPr>
          <w:rFonts w:ascii="Arial" w:cs="Arial" w:eastAsia="Arial" w:hAnsi="Arial"/>
          <w:sz w:val="16"/>
          <w:szCs w:val="16"/>
          <w:color w:val="auto"/>
        </w:rPr>
        <w:t>“MYbank”), “ ” (Chinese equivalent for “HUABEI”), “Alibaba”, “Taobao”, “Tmall”, “Juhuasuan”, “AliExpress”, “Fliggy”, “Alimama”, “Alibaba Cloud”, “AliOS”, “AliTelecom”, “OneTouch”, “Umeng”, “Freshippo”, “YOUKU”, “TUDOO”, “TUDOU”, “UC”, “UCWeb”, “Alibaba Games”, “9Game”, “Alibaba Literature”, “Shuqi”, “Damai”, “Xiami”, “AMAP”, “Ali”, “Tao”, “DingTalk”, “Koubei”, “Eleme”, “Ant Financial”, “Ant”, “Alipay”, “Yu’e Bao”, “Zhima Credit”, “MYbank”, “HUABEI”, the associated devices and logos of the above brands (including but not limited to the smiling face device of Alibaba Group, the cow device of Alibaba.com, the Tao doll device of Taobao, the cat device of Tmall, the Ju doll device of Juhuasuan, the pig device of Fliggy, the bracket device of Alibaba Cloud, the hippo device of Freshippo, the fish device of XianYu, the doughnut device of YOUKU, the smiling face device of TUDOO and TUDOU, the 9 Games device, the Shuqi device of Shuqi, the hand device of Damai, the shrimp device of Xiami, the Gaoxiaode device and the paper aeroplane device of AutoNavi, the wing device of Dingtalk, the ant device of Ant Financial, the Zhi device of Alipay, the Zhima Credit device, etc.) or any company name, trade name, trademark, service mark, domain name, device, design, symbol or any abbreviation, contraction or simulation thereof owned or used by the Purchaser, Alibaba Group or any of their respective Affiliates; or</w:t>
      </w:r>
    </w:p>
    <w:p>
      <w:pPr>
        <w:spacing w:after="0" w:line="168" w:lineRule="exact"/>
        <w:rPr>
          <w:sz w:val="20"/>
          <w:szCs w:val="20"/>
          <w:color w:val="auto"/>
        </w:rPr>
      </w:pPr>
    </w:p>
    <w:p>
      <w:pPr>
        <w:ind w:left="660" w:right="140" w:firstLine="1293"/>
        <w:spacing w:after="0" w:line="277" w:lineRule="auto"/>
        <w:tabs>
          <w:tab w:leader="none" w:pos="262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represent, directly or indirectly, that any product or services provided by such Party or its Affiliates has been approved or endorsed by the Purchaser or any of its Affiliates.</w:t>
      </w:r>
    </w:p>
    <w:p>
      <w:pPr>
        <w:spacing w:after="0" w:line="170" w:lineRule="exact"/>
        <w:rPr>
          <w:sz w:val="20"/>
          <w:szCs w:val="20"/>
          <w:color w:val="auto"/>
        </w:rPr>
      </w:pPr>
    </w:p>
    <w:p>
      <w:pPr>
        <w:ind w:right="60" w:firstLine="1296"/>
        <w:spacing w:after="0" w:line="267" w:lineRule="auto"/>
        <w:rPr>
          <w:sz w:val="20"/>
          <w:szCs w:val="20"/>
          <w:color w:val="auto"/>
        </w:rPr>
      </w:pPr>
      <w:r>
        <w:rPr>
          <w:rFonts w:ascii="Arial" w:cs="Arial" w:eastAsia="Arial" w:hAnsi="Arial"/>
          <w:sz w:val="17"/>
          <w:szCs w:val="17"/>
          <w:color w:val="auto"/>
        </w:rPr>
        <w:t xml:space="preserve">Section 6.7 </w:t>
      </w:r>
      <w:r>
        <w:rPr>
          <w:rFonts w:ascii="Arial" w:cs="Arial" w:eastAsia="Arial" w:hAnsi="Arial"/>
          <w:sz w:val="17"/>
          <w:szCs w:val="17"/>
          <w:u w:val="single" w:color="auto"/>
          <w:color w:val="auto"/>
        </w:rPr>
        <w:t>Exclusivity</w:t>
      </w:r>
      <w:r>
        <w:rPr>
          <w:rFonts w:ascii="Arial" w:cs="Arial" w:eastAsia="Arial" w:hAnsi="Arial"/>
          <w:sz w:val="17"/>
          <w:szCs w:val="17"/>
          <w:color w:val="auto"/>
        </w:rPr>
        <w:t xml:space="preserve">. Between the date of this Agreement and the earlier of (a) the Closing and (b) the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none of the Warrantors and the Company or any of their respective Affiliates, officers, directors, representatives or agents shall, and the Warrantors and the Company shall cause the other Group Companies and their respective Affiliates, officers, directors, representatives and agents not to, (i) solicit, initiate, consider, encourage or accept any other proposals or offers from any Person (A) relating to any acquisition or purchase of all or any portion of the equity interests in the Company or any other Group Company or all or any material portion of the assets of the Group Companies, or (B) to enter into any merger, consolidation, business combination, recapitalization, reorganization or other extraordinary business transaction involving or otherwise relating to any Group Company, or (ii) participate in any discussions, conversations, negotiations and other communications regarding, or furnish to any other Person any information with respect to, or otherwise cooperate in any way, assist or participate in, facilitate or encourage any effort or attempt by any other Person to seek to do any of the foregoing. The Warrantors and the Company shall, and shall cause the other Group Companies to, immediately cease and cause to be terminated all existing discussions, conversations, negotiations and other communications with any Persons conducted heretofore with respect to any of the foregoing. The Warrantors and the Company shall notify the Purchaser promptly if any such proposal or offer, or any inquiry or other contact with any Person with respect thereto, is made and shall, in any such notice to the Purchaser, indicate in reasonable detail the identity of the Person making such proposal, offer, inquiry or contact and the terms and conditions of such proposal, offer, inquiry or other contact. The Warrantors and the Company agree not to, and to cause the other Group Companies not to, without the prior written consent of the Purchaser, release any Person from, or waive any provision of, any confidentiality or standstill agreement to which any Warrantor or Group Company is a party.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50" w:name="page351"/>
    <w:bookmarkEnd w:id="350"/>
    <w:p>
      <w:pPr>
        <w:ind w:left="840"/>
        <w:spacing w:after="0"/>
        <w:tabs>
          <w:tab w:leader="none" w:pos="212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Tax Filings and Payments</w:t>
      </w:r>
      <w:r>
        <w:rPr>
          <w:rFonts w:ascii="Arial" w:cs="Arial" w:eastAsia="Arial" w:hAnsi="Arial"/>
          <w:sz w:val="16"/>
          <w:szCs w:val="16"/>
          <w:color w:val="auto"/>
        </w:rPr>
        <w:t>.</w:t>
      </w:r>
    </w:p>
    <w:p>
      <w:pPr>
        <w:spacing w:after="0" w:line="225" w:lineRule="exact"/>
        <w:rPr>
          <w:sz w:val="20"/>
          <w:szCs w:val="20"/>
          <w:color w:val="auto"/>
        </w:rPr>
      </w:pPr>
    </w:p>
    <w:p>
      <w:pPr>
        <w:ind w:left="200" w:right="20" w:firstLine="1293"/>
        <w:spacing w:after="0" w:line="296" w:lineRule="auto"/>
        <w:tabs>
          <w:tab w:leader="none" w:pos="2159"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Parties hereby acknowledge, covenant and agree that (i) the Purchaser shall have no obligation to pay any Tax of any nature that is required by applicable Law to be paid by the Seller or its Affiliates or their respective direct and indirect partners, members and shareholders arising out of the transactions contemplated by this Agreement and the other Transaction Documents; and (ii) the Seller agrees to bear and pay any Tax of any nature that is required by applicable Laws to be paid by it arising out of the transactions contemplated by this Agreement and the other Transaction Documents.</w:t>
      </w:r>
    </w:p>
    <w:p>
      <w:pPr>
        <w:spacing w:after="0" w:line="161" w:lineRule="exact"/>
        <w:rPr>
          <w:rFonts w:ascii="Arial" w:cs="Arial" w:eastAsia="Arial" w:hAnsi="Arial"/>
          <w:sz w:val="16"/>
          <w:szCs w:val="16"/>
          <w:color w:val="auto"/>
        </w:rPr>
      </w:pPr>
    </w:p>
    <w:p>
      <w:pPr>
        <w:ind w:left="200" w:right="100" w:firstLine="1293"/>
        <w:spacing w:after="0" w:line="291" w:lineRule="auto"/>
        <w:tabs>
          <w:tab w:leader="none" w:pos="2124"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Seller shall engage, at its own cost and expense, and hereby authorize one of the Big Four (the “</w:t>
      </w:r>
      <w:r>
        <w:rPr>
          <w:rFonts w:ascii="Arial" w:cs="Arial" w:eastAsia="Arial" w:hAnsi="Arial"/>
          <w:sz w:val="16"/>
          <w:szCs w:val="16"/>
          <w:u w:val="single" w:color="auto"/>
          <w:color w:val="auto"/>
        </w:rPr>
        <w:t>Filing Agent</w:t>
      </w:r>
      <w:r>
        <w:rPr>
          <w:rFonts w:ascii="Arial" w:cs="Arial" w:eastAsia="Arial" w:hAnsi="Arial"/>
          <w:sz w:val="16"/>
          <w:szCs w:val="16"/>
          <w:color w:val="auto"/>
        </w:rPr>
        <w:t>”) to, and shall cause the Filing Agent to, as soon as possible after the date hereof, and in any event, within thirty</w:t>
      </w:r>
    </w:p>
    <w:p>
      <w:pPr>
        <w:ind w:left="200" w:hanging="3"/>
        <w:spacing w:after="0" w:line="284" w:lineRule="auto"/>
        <w:tabs>
          <w:tab w:leader="none" w:pos="54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days after the date hereof, duly and timely make with the applicable PRC Tax Authority (being the PRC Tax Authority to which such filings are to be made pursuant to applicable Law) (the “</w:t>
      </w:r>
      <w:r>
        <w:rPr>
          <w:rFonts w:ascii="Arial" w:cs="Arial" w:eastAsia="Arial" w:hAnsi="Arial"/>
          <w:sz w:val="16"/>
          <w:szCs w:val="16"/>
          <w:u w:val="single" w:color="auto"/>
          <w:color w:val="auto"/>
        </w:rPr>
        <w:t>Relevant PRC Tax Authority</w:t>
      </w:r>
      <w:r>
        <w:rPr>
          <w:rFonts w:ascii="Arial" w:cs="Arial" w:eastAsia="Arial" w:hAnsi="Arial"/>
          <w:sz w:val="16"/>
          <w:szCs w:val="16"/>
          <w:color w:val="auto"/>
        </w:rPr>
        <w:t>”) the relevant Tax filings and disclosures that are required by (and shall make such filings and disclosures in accordance with the requirements of) applicable Law (including Circular 7) in connection with the transactions contemplated by this Agreement and the other Transaction Documents (the foregoing transactions, collectively, the “</w:t>
      </w:r>
      <w:r>
        <w:rPr>
          <w:rFonts w:ascii="Arial" w:cs="Arial" w:eastAsia="Arial" w:hAnsi="Arial"/>
          <w:sz w:val="16"/>
          <w:szCs w:val="16"/>
          <w:u w:val="single" w:color="auto"/>
          <w:color w:val="auto"/>
        </w:rPr>
        <w:t>Reporting Transactions</w:t>
      </w:r>
      <w:r>
        <w:rPr>
          <w:rFonts w:ascii="Arial" w:cs="Arial" w:eastAsia="Arial" w:hAnsi="Arial"/>
          <w:sz w:val="16"/>
          <w:szCs w:val="16"/>
          <w:color w:val="auto"/>
        </w:rPr>
        <w:t xml:space="preserve">”), and shall (A) provide the whole package of tax reporting documents to the Purchaser for any comment at least seven (7) Business Days before the formal submission and consider any reasonable comments from the Purchaser, (B) permit the Purchaser to make a joint filing with the Seller in respect of the Reporting Transactions (or to sign on the filing) if the Purchaser so elects, (C) allow one representative of the Purchaser or its tax advisor to accompany the Filing Agent to the Relevant PRC Tax Authority’s offices to witness the Filing Agent submitting such Tax filings on behalf of the Seller, and (D) provide the Purchaser with adequate evidence (as specified below in this </w:t>
      </w:r>
      <w:r>
        <w:rPr>
          <w:rFonts w:ascii="Arial" w:cs="Arial" w:eastAsia="Arial" w:hAnsi="Arial"/>
          <w:sz w:val="16"/>
          <w:szCs w:val="16"/>
          <w:u w:val="single" w:color="auto"/>
          <w:color w:val="auto"/>
        </w:rPr>
        <w:t>Section 6.8(a)</w:t>
      </w:r>
      <w:r>
        <w:rPr>
          <w:rFonts w:ascii="Arial" w:cs="Arial" w:eastAsia="Arial" w:hAnsi="Arial"/>
          <w:sz w:val="16"/>
          <w:szCs w:val="16"/>
          <w:color w:val="auto"/>
        </w:rPr>
        <w:t xml:space="preserve">) that such Tax filings have been made in accordance with applicable Law as soon as reasonably practicable. The Seller agrees to use its reasonable best efforts to promptly submit, or cause the Filing Agent to submit, all documents subsequently requested by the Relevant PRC Tax Authority in connection with such Tax filing with a copy delivered to the Purchaser and the Company simultaneously therewith for review and comments, and the Seller shall cause the Filing Agent to give regular updates to the Purchaser and the Company as to the determination (and delivers to the Purchaser and the Company assessment notices, if any, issued by the Relevant PRC Tax Authority in connection with such determination) and payment status of any Taxes assessed by the Relevant PRC Tax Authority in respect of the Seller in connection with the Reporting Transactions. For purposes of this </w:t>
      </w:r>
      <w:r>
        <w:rPr>
          <w:rFonts w:ascii="Arial" w:cs="Arial" w:eastAsia="Arial" w:hAnsi="Arial"/>
          <w:sz w:val="16"/>
          <w:szCs w:val="16"/>
          <w:u w:val="single" w:color="auto"/>
          <w:color w:val="auto"/>
        </w:rPr>
        <w:t>Section 6.8(a)</w:t>
      </w:r>
      <w:r>
        <w:rPr>
          <w:rFonts w:ascii="Arial" w:cs="Arial" w:eastAsia="Arial" w:hAnsi="Arial"/>
          <w:sz w:val="16"/>
          <w:szCs w:val="16"/>
          <w:color w:val="auto"/>
        </w:rPr>
        <w:t>, the following shall be adequate evidence that a Tax filing has been made in respect of the Seller:</w:t>
      </w:r>
    </w:p>
    <w:p>
      <w:pPr>
        <w:spacing w:after="0" w:line="386" w:lineRule="exact"/>
        <w:rPr>
          <w:rFonts w:ascii="Arial" w:cs="Arial" w:eastAsia="Arial" w:hAnsi="Arial"/>
          <w:sz w:val="16"/>
          <w:szCs w:val="16"/>
          <w:color w:val="auto"/>
        </w:rPr>
      </w:pPr>
    </w:p>
    <w:p>
      <w:pPr>
        <w:jc w:val="both"/>
        <w:ind w:left="840" w:right="140" w:firstLine="1301"/>
        <w:spacing w:after="0" w:line="263" w:lineRule="auto"/>
        <w:tabs>
          <w:tab w:leader="none" w:pos="2814"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an acknowledgement or receipt in respect of the filing by or on behalf of the Seller issued by the Relevant PRC Tax Authority or the original signature of an official of the Relevant PRC Tax Authority on the duplicate of the filing documents submitted by or on behalf of the Seller; or</w:t>
      </w:r>
    </w:p>
    <w:p>
      <w:pPr>
        <w:spacing w:after="0" w:line="183" w:lineRule="exact"/>
        <w:rPr>
          <w:rFonts w:ascii="Arial" w:cs="Arial" w:eastAsia="Arial" w:hAnsi="Arial"/>
          <w:sz w:val="18"/>
          <w:szCs w:val="18"/>
          <w:color w:val="auto"/>
        </w:rPr>
      </w:pPr>
    </w:p>
    <w:p>
      <w:pPr>
        <w:ind w:left="840" w:right="100" w:firstLine="1301"/>
        <w:spacing w:after="0" w:line="263" w:lineRule="auto"/>
        <w:tabs>
          <w:tab w:leader="none" w:pos="2819" w:val="left"/>
        </w:tabs>
        <w:numPr>
          <w:ilvl w:val="2"/>
          <w:numId w:val="253"/>
        </w:numPr>
        <w:rPr>
          <w:rFonts w:ascii="Arial" w:cs="Arial" w:eastAsia="Arial" w:hAnsi="Arial"/>
          <w:sz w:val="18"/>
          <w:szCs w:val="18"/>
          <w:color w:val="auto"/>
        </w:rPr>
      </w:pPr>
      <w:r>
        <w:rPr>
          <w:rFonts w:ascii="Arial" w:cs="Arial" w:eastAsia="Arial" w:hAnsi="Arial"/>
          <w:sz w:val="18"/>
          <w:szCs w:val="18"/>
          <w:color w:val="auto"/>
        </w:rPr>
        <w:t>an original written confirmation issued by the Filing Agent and executed by an authorized signatory thereof, attaching a copy of the filing made and confirming that they have submitted the filing on behalf of the</w:t>
      </w:r>
    </w:p>
    <w:p>
      <w:pPr>
        <w:spacing w:after="0" w:line="40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00"/>
          </w:cols>
          <w:pgMar w:left="1440" w:top="125" w:right="1059" w:bottom="1440" w:gutter="0" w:footer="0" w:header="0"/>
        </w:sectPr>
      </w:pPr>
    </w:p>
    <w:bookmarkStart w:id="351" w:name="page352"/>
    <w:bookmarkEnd w:id="351"/>
    <w:p>
      <w:pPr>
        <w:ind w:left="840" w:right="200"/>
        <w:spacing w:after="0" w:line="342" w:lineRule="auto"/>
        <w:rPr>
          <w:sz w:val="20"/>
          <w:szCs w:val="20"/>
          <w:color w:val="auto"/>
        </w:rPr>
      </w:pPr>
      <w:r>
        <w:rPr>
          <w:rFonts w:ascii="Arial" w:cs="Arial" w:eastAsia="Arial" w:hAnsi="Arial"/>
          <w:sz w:val="16"/>
          <w:szCs w:val="16"/>
          <w:color w:val="auto"/>
        </w:rPr>
        <w:t xml:space="preserve">Seller with the Relevant PRC Tax Authority in accordance with this </w:t>
      </w:r>
      <w:r>
        <w:rPr>
          <w:rFonts w:ascii="Arial" w:cs="Arial" w:eastAsia="Arial" w:hAnsi="Arial"/>
          <w:sz w:val="16"/>
          <w:szCs w:val="16"/>
          <w:u w:val="single" w:color="auto"/>
          <w:color w:val="auto"/>
        </w:rPr>
        <w:t>Section 6.8(a)</w:t>
      </w:r>
      <w:r>
        <w:rPr>
          <w:rFonts w:ascii="Arial" w:cs="Arial" w:eastAsia="Arial" w:hAnsi="Arial"/>
          <w:sz w:val="16"/>
          <w:szCs w:val="16"/>
          <w:color w:val="auto"/>
        </w:rPr>
        <w:t>, and confirming that the Relevant PRC Tax Authority does not issue, and has not issued, any acknowledgement or receipt in respect of the filing.</w:t>
      </w:r>
    </w:p>
    <w:p>
      <w:pPr>
        <w:spacing w:after="0" w:line="124" w:lineRule="exact"/>
        <w:rPr>
          <w:sz w:val="20"/>
          <w:szCs w:val="20"/>
          <w:color w:val="auto"/>
        </w:rPr>
      </w:pPr>
    </w:p>
    <w:p>
      <w:pPr>
        <w:ind w:left="200" w:firstLine="1293"/>
        <w:spacing w:after="0" w:line="293" w:lineRule="auto"/>
        <w:tabs>
          <w:tab w:leader="none" w:pos="215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Seller shall cause the Filing Agent to, on a monthly basis, follow up with the Relevant PRC Tax Authority on the Tax filings of the Seller and shall promptly respond to any requests by the Relevant PRC Tax Authorities for additional information or materials and give regular (and in any event not less frequently than monthly) updates to the Purchaser as to any development in the assessment of any Taxes by the Relevant PRC Tax Authority. Without prejudice to the foregoing, if the Seller or any of its Affiliates receives any notice or demand from any PRC Tax Authority in respect of the Reporting Transactions, the Seller shall promptly provide a true and complete copy of such notice or demand to the Purchaser.</w:t>
      </w:r>
    </w:p>
    <w:p>
      <w:pPr>
        <w:spacing w:after="0" w:line="164" w:lineRule="exact"/>
        <w:rPr>
          <w:rFonts w:ascii="Arial" w:cs="Arial" w:eastAsia="Arial" w:hAnsi="Arial"/>
          <w:sz w:val="16"/>
          <w:szCs w:val="16"/>
          <w:color w:val="auto"/>
        </w:rPr>
      </w:pPr>
    </w:p>
    <w:p>
      <w:pPr>
        <w:ind w:left="200" w:right="100" w:firstLine="1293"/>
        <w:spacing w:after="0" w:line="284" w:lineRule="auto"/>
        <w:tabs>
          <w:tab w:leader="none" w:pos="2169"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To the extent that the Seller is determined by the Relevant PRC Tax Authority to be required by applicable Law (including Circular 7) to pay Taxes in connection with the Reporting Transactions (the “</w:t>
      </w:r>
      <w:r>
        <w:rPr>
          <w:rFonts w:ascii="Arial" w:cs="Arial" w:eastAsia="Arial" w:hAnsi="Arial"/>
          <w:sz w:val="16"/>
          <w:szCs w:val="16"/>
          <w:u w:val="single" w:color="auto"/>
          <w:color w:val="auto"/>
        </w:rPr>
        <w:t>Selling Taxes</w:t>
      </w:r>
      <w:r>
        <w:rPr>
          <w:rFonts w:ascii="Arial" w:cs="Arial" w:eastAsia="Arial" w:hAnsi="Arial"/>
          <w:sz w:val="16"/>
          <w:szCs w:val="16"/>
          <w:color w:val="auto"/>
        </w:rPr>
        <w:t>”), the Seller shall promptly pay the Selling Taxes and shall provide the Purchaser, as soon as reasonably practicable, with evidence in the form of a payment receipt issued by the Relevant PRC Tax Authority (together with the details of Tax calculation and supporting documents) demonstrating that the Selling Taxes have been paid. If (i) no such evidence is received by the Purchaser within such period of time as the Selling Taxes are required to be paid by the Relevant PRC Tax Authority, and</w:t>
      </w:r>
    </w:p>
    <w:p>
      <w:pPr>
        <w:spacing w:after="0" w:line="4" w:lineRule="exact"/>
        <w:rPr>
          <w:rFonts w:ascii="Arial" w:cs="Arial" w:eastAsia="Arial" w:hAnsi="Arial"/>
          <w:sz w:val="16"/>
          <w:szCs w:val="16"/>
          <w:color w:val="auto"/>
        </w:rPr>
      </w:pPr>
    </w:p>
    <w:p>
      <w:pPr>
        <w:ind w:left="200" w:right="60" w:hanging="3"/>
        <w:spacing w:after="0" w:line="252" w:lineRule="auto"/>
        <w:tabs>
          <w:tab w:leader="none" w:pos="46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Purchaser has received a written notice from the Relevant PRC Tax Authority demanding the payment of the Selling Taxes by the Purchaser, then the Purchaser may, following reasonable consultation with the Seller, pay the Selling Taxes out of the Indemnity Withheld Amount (and the Purchaser shall provide the Seller, as soon as reasonably practicable, with evidence in the form of a payment receipt issued by the Relevant PRC Tax Authority demonstrating that the Selling Taxes have been paid). The Indemnity Withheld Amount shall be deemed to have been reduced by the amount of the Selling Taxes paid on behalf of the Seller pursuant to the foregoing clause.</w:t>
      </w:r>
    </w:p>
    <w:p>
      <w:pPr>
        <w:spacing w:after="0" w:line="193" w:lineRule="exact"/>
        <w:rPr>
          <w:rFonts w:ascii="Arial" w:cs="Arial" w:eastAsia="Arial" w:hAnsi="Arial"/>
          <w:sz w:val="18"/>
          <w:szCs w:val="18"/>
          <w:color w:val="auto"/>
        </w:rPr>
      </w:pPr>
    </w:p>
    <w:p>
      <w:pPr>
        <w:ind w:left="200" w:right="20" w:firstLine="1293"/>
        <w:spacing w:after="0" w:line="269" w:lineRule="auto"/>
        <w:tabs>
          <w:tab w:leader="none" w:pos="2159"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Agreement to the contrary, (i) the Seller and its Affiliates, on the one hand, and the Purchaser and its Affiliates (including, for the avoidance of doubt, the Group Companies after the Closing Date), on the other hand, shall each cooperate, and shall cause its Affiliates (including the Group Companies) to cooperate, with the other as and to the extent reasonably requested by the Seller or the Purchaser, as applicable, in connection with the filing of any Tax Returns, calculating or paying any Taxes as is required under this Agreement (including, without limitation, any Seller Taxes) and making any Tax filings as is required under this Agreement (including any Tax filing required pursuant to </w:t>
      </w:r>
      <w:r>
        <w:rPr>
          <w:rFonts w:ascii="Arial" w:cs="Arial" w:eastAsia="Arial" w:hAnsi="Arial"/>
          <w:sz w:val="17"/>
          <w:szCs w:val="17"/>
          <w:u w:val="single" w:color="auto"/>
          <w:color w:val="auto"/>
        </w:rPr>
        <w:t>Section 6.8</w:t>
      </w:r>
      <w:r>
        <w:rPr>
          <w:rFonts w:ascii="Arial" w:cs="Arial" w:eastAsia="Arial" w:hAnsi="Arial"/>
          <w:sz w:val="17"/>
          <w:szCs w:val="17"/>
          <w:color w:val="auto"/>
        </w:rPr>
        <w:t>), and in any threatened or actual audit or other proceeding with respect to Taxes, including the retention and (upon request) the provision of records (it being understood and agreed that, following the Closing Date. Following the Closing, the Seller and its Affiliates, on the one hand, and the Purchaser and its Affiliates (including, for the avoidance of doubt, the Group Companies after the Closing Date), on the other hand, shall make its, or shall cause their respective Affiliates to make its, employees and facilities available during normal business hours on a mutually convenient basis to provide reasonable explanation of any documents or information provided hereunder.</w:t>
      </w:r>
    </w:p>
    <w:p>
      <w:pPr>
        <w:spacing w:after="0" w:line="39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52" w:name="page353"/>
    <w:bookmarkEnd w:id="352"/>
    <w:p>
      <w:pPr>
        <w:ind w:left="200" w:firstLine="1293"/>
        <w:spacing w:after="0" w:line="270" w:lineRule="auto"/>
        <w:tabs>
          <w:tab w:leader="none" w:pos="2139"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neither the Purchaser nor any of its Affiliates (including, after the Closing Date, the Group Companies) (i) file (except as expressly contemplated by this Agreement), re-file, supplement or amend any Tax Return relating to a Tax period (or portion thereof) ending on or prior to the Closing Date, (ii) make any election with an effective date on or before the Closing Date, (iii) except as otherwise expressly contemplated by this Agreement, voluntarily approach any taxing authority, or make any voluntary disclosure, amnesty or similar filing, in respect of Taxes relating to any Tax period (or portion thereof) ending on or prior to the Closing Date or (iv) or take any action that could increase Seller’s or any of its Affiliate’s obligations in respect of Taxes (including any obligation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any other provision of this Agreement), without the prior written consent of Seller, which consent shall not be unreasonably withheld, conditioned or delayed.</w:t>
      </w:r>
    </w:p>
    <w:p>
      <w:pPr>
        <w:spacing w:after="0" w:line="181"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5"/>
          <w:szCs w:val="15"/>
          <w:u w:val="single" w:color="auto"/>
          <w:color w:val="auto"/>
        </w:rPr>
        <w:t>Release and Discharge</w:t>
      </w:r>
      <w:r>
        <w:rPr>
          <w:rFonts w:ascii="Arial" w:cs="Arial" w:eastAsia="Arial" w:hAnsi="Arial"/>
          <w:sz w:val="15"/>
          <w:szCs w:val="15"/>
          <w:color w:val="auto"/>
        </w:rPr>
        <w:t>.</w:t>
      </w:r>
    </w:p>
    <w:p>
      <w:pPr>
        <w:spacing w:after="0" w:line="225" w:lineRule="exact"/>
        <w:rPr>
          <w:sz w:val="20"/>
          <w:szCs w:val="20"/>
          <w:color w:val="auto"/>
        </w:rPr>
      </w:pPr>
    </w:p>
    <w:p>
      <w:pPr>
        <w:ind w:left="200" w:firstLine="1293"/>
        <w:spacing w:after="0" w:line="285" w:lineRule="auto"/>
        <w:tabs>
          <w:tab w:leader="none" w:pos="2114" w:val="left"/>
        </w:tabs>
        <w:numPr>
          <w:ilvl w:val="0"/>
          <w:numId w:val="257"/>
        </w:numPr>
        <w:rPr>
          <w:rFonts w:ascii="Arial" w:cs="Arial" w:eastAsia="Arial" w:hAnsi="Arial"/>
          <w:sz w:val="16"/>
          <w:szCs w:val="16"/>
          <w:color w:val="auto"/>
        </w:rPr>
      </w:pPr>
      <w:r>
        <w:rPr>
          <w:rFonts w:ascii="Arial" w:cs="Arial" w:eastAsia="Arial" w:hAnsi="Arial"/>
          <w:sz w:val="16"/>
          <w:szCs w:val="16"/>
          <w:color w:val="auto"/>
        </w:rPr>
        <w:t>Effective as of and contingent upon the Closing, to the fullest extent permitted by applicable Law, each of the Warrantors, on behalf of itself and on behalf of its shareholders or members, as applicable, assigns and beneficiaries and, to the extent acting in a representative capacity, its creditors, directors, officers, managers, employees, investors, Affiliates, representatives (including any investment banking, legal or accounting firm retained by such Warrantor), successors and assigns of any of them (collectively, the “</w:t>
      </w:r>
      <w:r>
        <w:rPr>
          <w:rFonts w:ascii="Arial" w:cs="Arial" w:eastAsia="Arial" w:hAnsi="Arial"/>
          <w:sz w:val="16"/>
          <w:szCs w:val="16"/>
          <w:u w:val="single" w:color="auto"/>
          <w:color w:val="auto"/>
        </w:rPr>
        <w:t>Releasing Persons</w:t>
      </w:r>
      <w:r>
        <w:rPr>
          <w:rFonts w:ascii="Arial" w:cs="Arial" w:eastAsia="Arial" w:hAnsi="Arial"/>
          <w:sz w:val="16"/>
          <w:szCs w:val="16"/>
          <w:color w:val="auto"/>
        </w:rPr>
        <w:t>”), hereby knowingly, voluntarily, unconditionally and irrevocably waives, fully and finally releases, acquits and forever discharges each Group Company and its shareholders or members, as applicable, assigns and beneficiaries, creditors, directors, officers, managers, employees, investors, Affiliates, representatives (including any investment banking, legal or accounting firm retained by any of them), successors and assigns of any of them, Affiliates and predecessors, successors and assigns of any of them (collectively, the “</w:t>
      </w:r>
      <w:r>
        <w:rPr>
          <w:rFonts w:ascii="Arial" w:cs="Arial" w:eastAsia="Arial" w:hAnsi="Arial"/>
          <w:sz w:val="16"/>
          <w:szCs w:val="16"/>
          <w:u w:val="single" w:color="auto"/>
          <w:color w:val="auto"/>
        </w:rPr>
        <w:t>Released Persons</w:t>
      </w:r>
      <w:r>
        <w:rPr>
          <w:rFonts w:ascii="Arial" w:cs="Arial" w:eastAsia="Arial" w:hAnsi="Arial"/>
          <w:sz w:val="16"/>
          <w:szCs w:val="16"/>
          <w:color w:val="auto"/>
        </w:rPr>
        <w:t>”) from any and all actions, causes of action, suits, debts, accounts, bonds, bills, covenants, contracts, controversies, obligations, claims, counterclaims, debts, demands, damages, costs, expenses, compensation or liabilities of every kind and any nature whatsoever, in each case whether absolute or contingent, liquidated or unliquidated, known or unknown, direct or derivative on behalf of any Person, and whether arising under any agreement or understanding or otherwise at Law or equity (“</w:t>
      </w:r>
      <w:r>
        <w:rPr>
          <w:rFonts w:ascii="Arial" w:cs="Arial" w:eastAsia="Arial" w:hAnsi="Arial"/>
          <w:sz w:val="16"/>
          <w:szCs w:val="16"/>
          <w:u w:val="single" w:color="auto"/>
          <w:color w:val="auto"/>
        </w:rPr>
        <w:t>Released Claims</w:t>
      </w:r>
      <w:r>
        <w:rPr>
          <w:rFonts w:ascii="Arial" w:cs="Arial" w:eastAsia="Arial" w:hAnsi="Arial"/>
          <w:sz w:val="16"/>
          <w:szCs w:val="16"/>
          <w:color w:val="auto"/>
        </w:rPr>
        <w:t>”), which such Releasing Persons, or any of them, had, has, or may have had arising from, connected or related to, or caused by any event, occurrence, cause or thing, of any type whatsoever, or otherwise, arising or existing, or occurring, in whole or in part, at any time in the past until and including the Closing against any of the Released Persons with respect to any Group Company, whether arising out of, relating to or in connection with the Seller’s investment in securities in any Group Company, the Existing Articles or otherwise (the “</w:t>
      </w:r>
      <w:r>
        <w:rPr>
          <w:rFonts w:ascii="Arial" w:cs="Arial" w:eastAsia="Arial" w:hAnsi="Arial"/>
          <w:sz w:val="16"/>
          <w:szCs w:val="16"/>
          <w:u w:val="single" w:color="auto"/>
          <w:color w:val="auto"/>
        </w:rPr>
        <w:t>Release</w:t>
      </w:r>
      <w:r>
        <w:rPr>
          <w:rFonts w:ascii="Arial" w:cs="Arial" w:eastAsia="Arial" w:hAnsi="Arial"/>
          <w:sz w:val="16"/>
          <w:szCs w:val="16"/>
          <w:color w:val="auto"/>
        </w:rPr>
        <w:t>”). The Release shall be effective as a full, final and irrevocable accord and satisfaction and release of all the Released Claims.</w:t>
      </w:r>
    </w:p>
    <w:p>
      <w:pPr>
        <w:spacing w:after="0" w:line="168" w:lineRule="exact"/>
        <w:rPr>
          <w:rFonts w:ascii="Arial" w:cs="Arial" w:eastAsia="Arial" w:hAnsi="Arial"/>
          <w:sz w:val="16"/>
          <w:szCs w:val="16"/>
          <w:color w:val="auto"/>
        </w:rPr>
      </w:pPr>
    </w:p>
    <w:p>
      <w:pPr>
        <w:ind w:left="200" w:right="180" w:firstLine="1293"/>
        <w:spacing w:after="0" w:line="259" w:lineRule="auto"/>
        <w:tabs>
          <w:tab w:leader="none" w:pos="2169"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Effective as of and contingent upon the Closing, each of the Warrantors hereby irrevocably and unconditionally covenants to refrain from, directly or indirectly, asserting any claim or demand, or commencing, instituting or causing to be commenced, any proceeding of any kind against any Released Person, based upon the Release or to seek to recover any amounts in connection therewith or thereunder</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53" w:name="page354"/>
    <w:bookmarkEnd w:id="353"/>
    <w:p>
      <w:pPr>
        <w:ind w:left="660" w:right="180"/>
        <w:spacing w:after="0" w:line="277" w:lineRule="auto"/>
        <w:rPr>
          <w:sz w:val="20"/>
          <w:szCs w:val="20"/>
          <w:color w:val="auto"/>
        </w:rPr>
      </w:pPr>
      <w:r>
        <w:rPr>
          <w:rFonts w:ascii="Arial" w:cs="Arial" w:eastAsia="Arial" w:hAnsi="Arial"/>
          <w:sz w:val="18"/>
          <w:szCs w:val="18"/>
          <w:color w:val="auto"/>
        </w:rPr>
        <w:t>from and after the Closing. Any Released Person may plead this Release as a complete bar to any Released Claims brought in derogation of this covenant not to sue.</w:t>
      </w:r>
    </w:p>
    <w:p>
      <w:pPr>
        <w:spacing w:after="0" w:line="170" w:lineRule="exact"/>
        <w:rPr>
          <w:sz w:val="20"/>
          <w:szCs w:val="20"/>
          <w:color w:val="auto"/>
        </w:rPr>
      </w:pPr>
    </w:p>
    <w:p>
      <w:pPr>
        <w:ind w:left="660" w:firstLine="1293"/>
        <w:spacing w:after="0" w:line="263" w:lineRule="auto"/>
        <w:tabs>
          <w:tab w:leader="none" w:pos="2619"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Each of the Warrantors agrees that if it violates any provision of this </w:t>
      </w:r>
      <w:r>
        <w:rPr>
          <w:rFonts w:ascii="Arial" w:cs="Arial" w:eastAsia="Arial" w:hAnsi="Arial"/>
          <w:sz w:val="18"/>
          <w:szCs w:val="18"/>
          <w:u w:val="single" w:color="auto"/>
          <w:color w:val="auto"/>
        </w:rPr>
        <w:t>Section 6.9</w:t>
      </w:r>
      <w:r>
        <w:rPr>
          <w:rFonts w:ascii="Arial" w:cs="Arial" w:eastAsia="Arial" w:hAnsi="Arial"/>
          <w:sz w:val="18"/>
          <w:szCs w:val="18"/>
          <w:color w:val="auto"/>
        </w:rPr>
        <w:t>, such Warrantor will pay the costs and expenses of defending against any related or resulting Legal Proceedings incurred by the Released Persons, including attorney’s fees.</w:t>
      </w:r>
    </w:p>
    <w:p>
      <w:pPr>
        <w:spacing w:after="0" w:line="183" w:lineRule="exact"/>
        <w:rPr>
          <w:rFonts w:ascii="Arial" w:cs="Arial" w:eastAsia="Arial" w:hAnsi="Arial"/>
          <w:sz w:val="18"/>
          <w:szCs w:val="18"/>
          <w:color w:val="auto"/>
        </w:rPr>
      </w:pPr>
    </w:p>
    <w:p>
      <w:pPr>
        <w:ind w:left="2580" w:hanging="627"/>
        <w:spacing w:after="0"/>
        <w:tabs>
          <w:tab w:leader="none" w:pos="258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 xml:space="preserve">The provisions of the foregoing </w:t>
      </w:r>
      <w:r>
        <w:rPr>
          <w:rFonts w:ascii="Arial" w:cs="Arial" w:eastAsia="Arial" w:hAnsi="Arial"/>
          <w:sz w:val="18"/>
          <w:szCs w:val="18"/>
          <w:u w:val="single" w:color="auto"/>
          <w:color w:val="auto"/>
        </w:rPr>
        <w:t>Section 6.9(a)</w:t>
      </w:r>
      <w:r>
        <w:rPr>
          <w:rFonts w:ascii="Arial" w:cs="Arial" w:eastAsia="Arial" w:hAnsi="Arial"/>
          <w:sz w:val="18"/>
          <w:szCs w:val="18"/>
          <w:color w:val="auto"/>
        </w:rPr>
        <w:t xml:space="preserve"> to </w:t>
      </w: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not apply to any liability or claim</w:t>
      </w:r>
    </w:p>
    <w:p>
      <w:pPr>
        <w:spacing w:after="0" w:line="23" w:lineRule="exact"/>
        <w:rPr>
          <w:rFonts w:ascii="Arial" w:cs="Arial" w:eastAsia="Arial" w:hAnsi="Arial"/>
          <w:sz w:val="18"/>
          <w:szCs w:val="18"/>
          <w:color w:val="auto"/>
        </w:rPr>
      </w:pPr>
    </w:p>
    <w:p>
      <w:pPr>
        <w:ind w:left="880" w:hanging="223"/>
        <w:spacing w:after="0"/>
        <w:tabs>
          <w:tab w:leader="none" w:pos="88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arising from the Seller Guarantee, (ii) arising from Onshore Shareholder Loans or the Offshore Shareholder Loans,</w:t>
      </w:r>
    </w:p>
    <w:p>
      <w:pPr>
        <w:spacing w:after="0" w:line="21" w:lineRule="exact"/>
        <w:rPr>
          <w:sz w:val="20"/>
          <w:szCs w:val="20"/>
          <w:color w:val="auto"/>
        </w:rPr>
      </w:pPr>
    </w:p>
    <w:p>
      <w:pPr>
        <w:ind w:left="660" w:right="60" w:hanging="3"/>
        <w:spacing w:after="0" w:line="270" w:lineRule="auto"/>
        <w:tabs>
          <w:tab w:leader="none" w:pos="975"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arising from any transaction that is at least as favorable to Group Companies as would have been obtainable by them at the time in a comparable arm’s-length transaction with an unrelated party, (iv) arising under the governing documents of the Group Companies, including in respect of exculpation and indemnification, or any indemnification agreement, (v) arising under the Transaction Documents, or (vi) arising from employment relationship with the Group Companies, including accrued but unpaid salary, benefits, reimbursable expenses and other types of compensation and benefits to the extent reflected in the Financial Statements or the Closing Statement.</w:t>
      </w:r>
    </w:p>
    <w:p>
      <w:pPr>
        <w:spacing w:after="0" w:line="178" w:lineRule="exact"/>
        <w:rPr>
          <w:rFonts w:ascii="Arial" w:cs="Arial" w:eastAsia="Arial" w:hAnsi="Arial"/>
          <w:sz w:val="17"/>
          <w:szCs w:val="17"/>
          <w:color w:val="auto"/>
        </w:rPr>
      </w:pPr>
    </w:p>
    <w:p>
      <w:pPr>
        <w:ind w:left="660" w:right="20" w:firstLine="1293"/>
        <w:spacing w:after="0" w:line="272" w:lineRule="auto"/>
        <w:tabs>
          <w:tab w:leader="none" w:pos="2619" w:val="left"/>
        </w:tabs>
        <w:numPr>
          <w:ilvl w:val="1"/>
          <w:numId w:val="260"/>
        </w:numPr>
        <w:rPr>
          <w:rFonts w:ascii="Arial" w:cs="Arial" w:eastAsia="Arial" w:hAnsi="Arial"/>
          <w:sz w:val="17"/>
          <w:szCs w:val="17"/>
          <w:color w:val="auto"/>
        </w:rPr>
      </w:pPr>
      <w:r>
        <w:rPr>
          <w:rFonts w:ascii="Arial" w:cs="Arial" w:eastAsia="Arial" w:hAnsi="Arial"/>
          <w:sz w:val="17"/>
          <w:szCs w:val="17"/>
          <w:color w:val="auto"/>
        </w:rPr>
        <w:t>For the avoidance of doubt, the Warrantors shall, and shall cause their respective Affiliates to, knowingly, voluntarily, unconditionally and irrevocably waive, fully and finally release, acquit and forever discharge (i) each employee of the Group Companies from all Liabilities and claims arising from any non-competition obligations under his or her existing labor contract with the relevant Group Company, and (ii) the Group Companies from all Liabilities and claims for any liquidated damages or penalties due to a breach of non-compete or similar obligations as a result of the transactions contemplated hereby under any of their existing business contract with the Warrantors or their Affiliates (excluding the Group Companies), to the extent such contact is not terminated at the Closing.</w:t>
      </w:r>
    </w:p>
    <w:p>
      <w:pPr>
        <w:spacing w:after="0" w:line="177" w:lineRule="exact"/>
        <w:rPr>
          <w:sz w:val="20"/>
          <w:szCs w:val="20"/>
          <w:color w:val="auto"/>
        </w:rPr>
      </w:pPr>
    </w:p>
    <w:p>
      <w:pPr>
        <w:ind w:right="100" w:firstLine="1296"/>
        <w:spacing w:after="0" w:line="275"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Withholding Rights</w:t>
      </w:r>
      <w:r>
        <w:rPr>
          <w:rFonts w:ascii="Arial" w:cs="Arial" w:eastAsia="Arial" w:hAnsi="Arial"/>
          <w:sz w:val="17"/>
          <w:szCs w:val="17"/>
          <w:color w:val="auto"/>
        </w:rPr>
        <w:t>. Notwithstanding anything herein to the contrary, the payor of any amount payable pursuant to this Agreement shall be entitled to deduct and withhold from the amounts otherwise payable pursuant to this Agreement such amounts as such payor is required to deduct and withhold under the any applicable Tax Law with respect to the making of such payment. To the extent that amounts are so withheld, such withheld amounts shall be treated for all purposes of this Agreement as having been paid to the Person in respect of whom such deduction and withholding was made.</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Treatment of Company Share Awards and NetEase RSUs</w:t>
      </w:r>
      <w:r>
        <w:rPr>
          <w:rFonts w:ascii="Arial" w:cs="Arial" w:eastAsia="Arial" w:hAnsi="Arial"/>
          <w:sz w:val="16"/>
          <w:szCs w:val="16"/>
          <w:color w:val="auto"/>
        </w:rPr>
        <w:t>.</w:t>
      </w:r>
    </w:p>
    <w:p>
      <w:pPr>
        <w:spacing w:after="0" w:line="225" w:lineRule="exact"/>
        <w:rPr>
          <w:sz w:val="20"/>
          <w:szCs w:val="20"/>
          <w:color w:val="auto"/>
        </w:rPr>
      </w:pPr>
    </w:p>
    <w:p>
      <w:pPr>
        <w:jc w:val="both"/>
        <w:ind w:left="660" w:right="300" w:firstLine="1293"/>
        <w:spacing w:after="0" w:line="263" w:lineRule="auto"/>
        <w:tabs>
          <w:tab w:leader="none" w:pos="2619"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As soon as practicable after the date hereof, and in any event prior to the Closing, the Warrantors shall take all such actions as may be necessary to or cause the Company to terminate the Company Share Incentive Plan and cancel all Company Share Awards issued thereunder.</w:t>
      </w:r>
    </w:p>
    <w:p>
      <w:pPr>
        <w:spacing w:after="0" w:line="183" w:lineRule="exact"/>
        <w:rPr>
          <w:rFonts w:ascii="Arial" w:cs="Arial" w:eastAsia="Arial" w:hAnsi="Arial"/>
          <w:sz w:val="18"/>
          <w:szCs w:val="18"/>
          <w:color w:val="auto"/>
        </w:rPr>
      </w:pPr>
    </w:p>
    <w:p>
      <w:pPr>
        <w:ind w:left="660" w:right="40" w:firstLine="1293"/>
        <w:spacing w:after="0" w:line="308" w:lineRule="auto"/>
        <w:tabs>
          <w:tab w:leader="none" w:pos="262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The Warrantors shall use their reasonable best efforts to enter into the NetEase Agreement with each of the individuals listed in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hereto prior to the Second Installment Payment Date.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54" w:name="page355"/>
    <w:bookmarkEnd w:id="354"/>
    <w:p>
      <w:pPr>
        <w:ind w:left="200" w:right="20" w:firstLine="1293"/>
        <w:spacing w:after="0" w:line="308" w:lineRule="auto"/>
        <w:tabs>
          <w:tab w:leader="none" w:pos="2159" w:val="left"/>
        </w:tabs>
        <w:numPr>
          <w:ilvl w:val="1"/>
          <w:numId w:val="262"/>
        </w:numPr>
        <w:rPr>
          <w:rFonts w:ascii="Arial" w:cs="Arial" w:eastAsia="Arial" w:hAnsi="Arial"/>
          <w:sz w:val="17"/>
          <w:szCs w:val="17"/>
          <w:color w:val="auto"/>
        </w:rPr>
      </w:pPr>
      <w:r>
        <w:rPr>
          <w:rFonts w:ascii="Arial" w:cs="Arial" w:eastAsia="Arial" w:hAnsi="Arial"/>
          <w:sz w:val="17"/>
          <w:szCs w:val="17"/>
          <w:color w:val="auto"/>
        </w:rPr>
        <w:t xml:space="preserve">The Warrantors shall use their reasonable best efforts to cause each of the individuals listed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D-2</w:t>
      </w:r>
      <w:r>
        <w:rPr>
          <w:rFonts w:ascii="Arial" w:cs="Arial" w:eastAsia="Arial" w:hAnsi="Arial"/>
          <w:sz w:val="17"/>
          <w:szCs w:val="17"/>
          <w:color w:val="auto"/>
        </w:rPr>
        <w:t xml:space="preserve"> hereto to sign the Non-compete Undertaking prior to the Second Installment Payment Date.</w:t>
      </w:r>
    </w:p>
    <w:p>
      <w:pPr>
        <w:spacing w:after="0" w:line="146" w:lineRule="exact"/>
        <w:rPr>
          <w:rFonts w:ascii="Arial" w:cs="Arial" w:eastAsia="Arial" w:hAnsi="Arial"/>
          <w:sz w:val="17"/>
          <w:szCs w:val="17"/>
          <w:color w:val="auto"/>
        </w:rPr>
      </w:pPr>
    </w:p>
    <w:p>
      <w:pPr>
        <w:ind w:left="200" w:right="300" w:firstLine="1293"/>
        <w:spacing w:after="0" w:line="277" w:lineRule="auto"/>
        <w:tabs>
          <w:tab w:leader="none" w:pos="216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The Warrantors shall use their reasonable best efforts to cause each of the NetEase Group Award Grantees to sign a Waiver Letter prior to the Second Installment Payment Date.</w:t>
      </w:r>
    </w:p>
    <w:p>
      <w:pPr>
        <w:spacing w:after="0" w:line="170" w:lineRule="exact"/>
        <w:rPr>
          <w:rFonts w:ascii="Arial" w:cs="Arial" w:eastAsia="Arial" w:hAnsi="Arial"/>
          <w:sz w:val="18"/>
          <w:szCs w:val="18"/>
          <w:color w:val="auto"/>
        </w:rPr>
      </w:pPr>
    </w:p>
    <w:p>
      <w:pPr>
        <w:ind w:left="200" w:firstLine="1293"/>
        <w:spacing w:after="0" w:line="257" w:lineRule="auto"/>
        <w:tabs>
          <w:tab w:leader="none" w:pos="215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Following the Second Installment Payment Date, to the extent that there remains any NetEase Group Award Grantee that is yet to execute the NetEase Agreement, the Non-compete Undertaking and/or the Waiver Letter, as applicable, the Warrantors shall continue to use their respective reasonable best efforts to cause all of the NetEase Group Award Grantees to execute the NetEase Agreements, the Non-compete Undertakings and the Waiver Letters, as applicable, in accordance with </w:t>
      </w:r>
      <w:r>
        <w:rPr>
          <w:rFonts w:ascii="Arial" w:cs="Arial" w:eastAsia="Arial" w:hAnsi="Arial"/>
          <w:sz w:val="18"/>
          <w:szCs w:val="18"/>
          <w:u w:val="single" w:color="auto"/>
          <w:color w:val="auto"/>
        </w:rPr>
        <w:t>Section 6.12(b)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00" w:right="540" w:firstLine="1293"/>
        <w:spacing w:after="0" w:line="277" w:lineRule="auto"/>
        <w:tabs>
          <w:tab w:leader="none" w:pos="218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Except as may be consented to in writing by the Purchaser, the Company shall not permit the exercise of any Company Share Award.</w:t>
      </w:r>
    </w:p>
    <w:p>
      <w:pPr>
        <w:spacing w:after="0" w:line="170" w:lineRule="exact"/>
        <w:rPr>
          <w:rFonts w:ascii="Arial" w:cs="Arial" w:eastAsia="Arial" w:hAnsi="Arial"/>
          <w:sz w:val="18"/>
          <w:szCs w:val="18"/>
          <w:color w:val="auto"/>
        </w:rPr>
      </w:pPr>
    </w:p>
    <w:p>
      <w:pPr>
        <w:ind w:left="200" w:right="20" w:firstLine="1293"/>
        <w:spacing w:after="0" w:line="263" w:lineRule="auto"/>
        <w:tabs>
          <w:tab w:leader="none" w:pos="2169"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The Warrantors agree to use their respective reasonable best efforts to cause each of the individuals listed in </w:t>
      </w:r>
      <w:r>
        <w:rPr>
          <w:rFonts w:ascii="Arial" w:cs="Arial" w:eastAsia="Arial" w:hAnsi="Arial"/>
          <w:sz w:val="18"/>
          <w:szCs w:val="18"/>
          <w:u w:val="single" w:color="auto"/>
          <w:color w:val="auto"/>
        </w:rPr>
        <w:t>Part A</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Schedule D-2</w:t>
      </w:r>
      <w:r>
        <w:rPr>
          <w:rFonts w:ascii="Arial" w:cs="Arial" w:eastAsia="Arial" w:hAnsi="Arial"/>
          <w:sz w:val="18"/>
          <w:szCs w:val="18"/>
          <w:color w:val="auto"/>
        </w:rPr>
        <w:t xml:space="preserve"> hereto to comply with his or her obligations provided under the relevant NetEase Agreement to which he or she is a party.</w:t>
      </w:r>
    </w:p>
    <w:p>
      <w:pPr>
        <w:spacing w:after="0" w:line="183" w:lineRule="exact"/>
        <w:rPr>
          <w:rFonts w:ascii="Arial" w:cs="Arial" w:eastAsia="Arial" w:hAnsi="Arial"/>
          <w:sz w:val="18"/>
          <w:szCs w:val="18"/>
          <w:color w:val="auto"/>
        </w:rPr>
      </w:pPr>
    </w:p>
    <w:p>
      <w:pPr>
        <w:ind w:left="200" w:right="20" w:firstLine="1293"/>
        <w:spacing w:after="0" w:line="284" w:lineRule="auto"/>
        <w:tabs>
          <w:tab w:leader="none" w:pos="2169" w:val="left"/>
        </w:tabs>
        <w:numPr>
          <w:ilvl w:val="1"/>
          <w:numId w:val="262"/>
        </w:numPr>
        <w:rPr>
          <w:rFonts w:ascii="Arial" w:cs="Arial" w:eastAsia="Arial" w:hAnsi="Arial"/>
          <w:sz w:val="16"/>
          <w:szCs w:val="16"/>
          <w:color w:val="auto"/>
        </w:rPr>
      </w:pPr>
      <w:r>
        <w:rPr>
          <w:rFonts w:ascii="Arial" w:cs="Arial" w:eastAsia="Arial" w:hAnsi="Arial"/>
          <w:sz w:val="16"/>
          <w:szCs w:val="16"/>
          <w:color w:val="auto"/>
        </w:rPr>
        <w:t xml:space="preserve">The Warrantors shall (i) use their reasonable best efforts to ensure that the number of Qualifying Grantees represent no less than 90% of the total number of the NetEase Group Award Grantees prior to the Second Installment Payment Date, (ii) deliver to the Purchaser the Waiver Letters and the NetEase Agreements that have been duly executed by the individuals listed in </w:t>
      </w:r>
      <w:r>
        <w:rPr>
          <w:rFonts w:ascii="Arial" w:cs="Arial" w:eastAsia="Arial" w:hAnsi="Arial"/>
          <w:sz w:val="16"/>
          <w:szCs w:val="16"/>
          <w:u w:val="single" w:color="auto"/>
          <w:color w:val="auto"/>
        </w:rPr>
        <w:t>Part A</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hereto prior to such date, and (iii) make the Waiver Letters and the Non-compete Undertakings that have been duly executed by the individuals listed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D-2</w:t>
      </w:r>
      <w:r>
        <w:rPr>
          <w:rFonts w:ascii="Arial" w:cs="Arial" w:eastAsia="Arial" w:hAnsi="Arial"/>
          <w:sz w:val="16"/>
          <w:szCs w:val="16"/>
          <w:color w:val="auto"/>
        </w:rPr>
        <w:t xml:space="preserve"> hereto prior to such date available for inspection by Purchaser’s counsel (each of the conditions the Warrantors are required to use their reasonable best efforts to satisfy prior to the Second Installment Payment Date set forth in the immediately preceding sub-sections (i), (ii) and</w:t>
      </w:r>
    </w:p>
    <w:p>
      <w:pPr>
        <w:spacing w:after="0" w:line="2" w:lineRule="exact"/>
        <w:rPr>
          <w:rFonts w:ascii="Arial" w:cs="Arial" w:eastAsia="Arial" w:hAnsi="Arial"/>
          <w:sz w:val="16"/>
          <w:szCs w:val="16"/>
          <w:color w:val="auto"/>
        </w:rPr>
      </w:pPr>
    </w:p>
    <w:p>
      <w:pPr>
        <w:ind w:left="520" w:hanging="323"/>
        <w:spacing w:after="0"/>
        <w:tabs>
          <w:tab w:leader="none" w:pos="52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above, the “</w:t>
      </w:r>
      <w:r>
        <w:rPr>
          <w:rFonts w:ascii="Arial" w:cs="Arial" w:eastAsia="Arial" w:hAnsi="Arial"/>
          <w:sz w:val="18"/>
          <w:szCs w:val="18"/>
          <w:u w:val="single" w:color="auto"/>
          <w:color w:val="auto"/>
        </w:rPr>
        <w:t>Second Installment Payment Condition</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20"/>
          </w:cols>
          <w:pgMar w:left="1440" w:top="125" w:right="1039" w:bottom="1440" w:gutter="0" w:footer="0" w:header="0"/>
        </w:sectPr>
      </w:pPr>
    </w:p>
    <w:bookmarkStart w:id="355" w:name="page356"/>
    <w:bookmarkEnd w:id="355"/>
    <w:p>
      <w:pPr>
        <w:ind w:left="840"/>
        <w:spacing w:after="0"/>
        <w:tabs>
          <w:tab w:leader="none" w:pos="21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No Leakage</w:t>
      </w:r>
      <w:r>
        <w:rPr>
          <w:rFonts w:ascii="Arial" w:cs="Arial" w:eastAsia="Arial" w:hAnsi="Arial"/>
          <w:sz w:val="16"/>
          <w:szCs w:val="16"/>
          <w:color w:val="auto"/>
        </w:rPr>
        <w:t>.</w:t>
      </w:r>
    </w:p>
    <w:p>
      <w:pPr>
        <w:spacing w:after="0" w:line="225" w:lineRule="exact"/>
        <w:rPr>
          <w:sz w:val="20"/>
          <w:szCs w:val="20"/>
          <w:color w:val="auto"/>
        </w:rPr>
      </w:pPr>
    </w:p>
    <w:p>
      <w:pPr>
        <w:ind w:left="200" w:right="140" w:firstLine="1293"/>
        <w:spacing w:after="0" w:line="342" w:lineRule="auto"/>
        <w:tabs>
          <w:tab w:leader="none" w:pos="2159" w:val="left"/>
        </w:tabs>
        <w:numPr>
          <w:ilvl w:val="0"/>
          <w:numId w:val="264"/>
        </w:numPr>
        <w:rPr>
          <w:rFonts w:ascii="Arial" w:cs="Arial" w:eastAsia="Arial" w:hAnsi="Arial"/>
          <w:sz w:val="16"/>
          <w:szCs w:val="16"/>
          <w:color w:val="auto"/>
        </w:rPr>
      </w:pPr>
      <w:r>
        <w:rPr>
          <w:rFonts w:ascii="Arial" w:cs="Arial" w:eastAsia="Arial" w:hAnsi="Arial"/>
          <w:sz w:val="16"/>
          <w:szCs w:val="16"/>
          <w:color w:val="auto"/>
        </w:rPr>
        <w:t>Each of the Warrantors undertakes that it will cause the Group Companies not to incur any Leakage during the period from the Balance Sheet Date to the Closing Date, unless with the prior written consent of the Purchaser.</w:t>
      </w:r>
    </w:p>
    <w:p>
      <w:pPr>
        <w:spacing w:after="0" w:line="123" w:lineRule="exact"/>
        <w:rPr>
          <w:rFonts w:ascii="Arial" w:cs="Arial" w:eastAsia="Arial" w:hAnsi="Arial"/>
          <w:sz w:val="16"/>
          <w:szCs w:val="16"/>
          <w:color w:val="auto"/>
        </w:rPr>
      </w:pPr>
    </w:p>
    <w:p>
      <w:pPr>
        <w:ind w:left="200" w:right="40" w:firstLine="1293"/>
        <w:spacing w:after="0" w:line="255" w:lineRule="auto"/>
        <w:tabs>
          <w:tab w:leader="none" w:pos="216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Subject to the Closing having taken place, if the Seller or any of its Affiliates (other than any Group Company) has received (or is entitled to receive as a result of a binding agreement or binding commitment by any Group Company) a Leakage Amount in respect of any Group Company occurring between the Balance Sheet Date and the Closing Date, the Seller shall be liable to pay to the Purchaser the aggregate sum equal to the Leakage Amount, which amount shall be paid following final determination thereof in accordance with this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and first out of the Indemnity Withheld Amount, to the extent any such amount remains.</w:t>
      </w:r>
    </w:p>
    <w:p>
      <w:pPr>
        <w:spacing w:after="0" w:line="192" w:lineRule="exact"/>
        <w:rPr>
          <w:rFonts w:ascii="Arial" w:cs="Arial" w:eastAsia="Arial" w:hAnsi="Arial"/>
          <w:sz w:val="18"/>
          <w:szCs w:val="18"/>
          <w:color w:val="auto"/>
        </w:rPr>
      </w:pPr>
    </w:p>
    <w:p>
      <w:pPr>
        <w:ind w:left="200" w:right="40" w:firstLine="1293"/>
        <w:spacing w:after="0" w:line="255" w:lineRule="auto"/>
        <w:tabs>
          <w:tab w:leader="none" w:pos="215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If the Purchaser wishes to make a claim for any Leakage under this </w:t>
      </w:r>
      <w:r>
        <w:rPr>
          <w:rFonts w:ascii="Arial" w:cs="Arial" w:eastAsia="Arial" w:hAnsi="Arial"/>
          <w:sz w:val="18"/>
          <w:szCs w:val="18"/>
          <w:u w:val="single" w:color="auto"/>
          <w:color w:val="auto"/>
        </w:rPr>
        <w:t>Section 6.13</w:t>
      </w:r>
      <w:r>
        <w:rPr>
          <w:rFonts w:ascii="Arial" w:cs="Arial" w:eastAsia="Arial" w:hAnsi="Arial"/>
          <w:sz w:val="18"/>
          <w:szCs w:val="18"/>
          <w:color w:val="auto"/>
        </w:rPr>
        <w:t>, it must send a written notice (a “</w:t>
      </w:r>
      <w:r>
        <w:rPr>
          <w:rFonts w:ascii="Arial" w:cs="Arial" w:eastAsia="Arial" w:hAnsi="Arial"/>
          <w:sz w:val="18"/>
          <w:szCs w:val="18"/>
          <w:u w:val="single" w:color="auto"/>
          <w:color w:val="auto"/>
        </w:rPr>
        <w:t>Leakage Notice</w:t>
      </w:r>
      <w:r>
        <w:rPr>
          <w:rFonts w:ascii="Arial" w:cs="Arial" w:eastAsia="Arial" w:hAnsi="Arial"/>
          <w:sz w:val="18"/>
          <w:szCs w:val="18"/>
          <w:color w:val="auto"/>
        </w:rPr>
        <w:t xml:space="preserve">”) to the Seller. A Leakage Notice shall not be valid unless it specifies in reasonable detail the factual basis of the alleged Leakage and evidence on which the Purchaser relies and sets out the Purchaser’s estimate of the amount of the Leakage Amount (including its calculation of the relevant Leakage Amount). The Seller shall not have any liability under this </w:t>
      </w:r>
      <w:r>
        <w:rPr>
          <w:rFonts w:ascii="Arial" w:cs="Arial" w:eastAsia="Arial" w:hAnsi="Arial"/>
          <w:sz w:val="18"/>
          <w:szCs w:val="18"/>
          <w:u w:val="single" w:color="auto"/>
          <w:color w:val="auto"/>
        </w:rPr>
        <w:t>Section 6.13</w:t>
      </w:r>
      <w:r>
        <w:rPr>
          <w:rFonts w:ascii="Arial" w:cs="Arial" w:eastAsia="Arial" w:hAnsi="Arial"/>
          <w:sz w:val="18"/>
          <w:szCs w:val="18"/>
          <w:color w:val="auto"/>
        </w:rPr>
        <w:t xml:space="preserve"> unless a Leakage Notice has been sent to the Seller in writing on or before the expiry of 24 months after the Closing.</w:t>
      </w:r>
    </w:p>
    <w:p>
      <w:pPr>
        <w:spacing w:after="0" w:line="192" w:lineRule="exact"/>
        <w:rPr>
          <w:rFonts w:ascii="Arial" w:cs="Arial" w:eastAsia="Arial" w:hAnsi="Arial"/>
          <w:sz w:val="18"/>
          <w:szCs w:val="18"/>
          <w:color w:val="auto"/>
        </w:rPr>
      </w:pPr>
    </w:p>
    <w:p>
      <w:pPr>
        <w:ind w:left="200" w:right="100" w:firstLine="1293"/>
        <w:spacing w:after="0" w:line="263" w:lineRule="auto"/>
        <w:tabs>
          <w:tab w:leader="none" w:pos="216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Unless within twenty (20) Business Days after the date on which the Seller receives the Leakage Notice the Seller notifies the Purchaser in writing that it does not accept the Leakage Notice, the Seller shall be deemed to have accepted such Leakage Notice.</w:t>
      </w:r>
    </w:p>
    <w:p>
      <w:pPr>
        <w:spacing w:after="0" w:line="183" w:lineRule="exact"/>
        <w:rPr>
          <w:rFonts w:ascii="Arial" w:cs="Arial" w:eastAsia="Arial" w:hAnsi="Arial"/>
          <w:sz w:val="18"/>
          <w:szCs w:val="18"/>
          <w:color w:val="auto"/>
        </w:rPr>
      </w:pPr>
    </w:p>
    <w:p>
      <w:pPr>
        <w:jc w:val="both"/>
        <w:ind w:left="200" w:right="140" w:firstLine="1293"/>
        <w:spacing w:after="0" w:line="263" w:lineRule="auto"/>
        <w:tabs>
          <w:tab w:leader="none" w:pos="215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If, within the period of twenty (20) Business Days referred to in </w:t>
      </w:r>
      <w:r>
        <w:rPr>
          <w:rFonts w:ascii="Arial" w:cs="Arial" w:eastAsia="Arial" w:hAnsi="Arial"/>
          <w:sz w:val="18"/>
          <w:szCs w:val="18"/>
          <w:u w:val="single" w:color="auto"/>
          <w:color w:val="auto"/>
        </w:rPr>
        <w:t>Section 6.13(d)</w:t>
      </w:r>
      <w:r>
        <w:rPr>
          <w:rFonts w:ascii="Arial" w:cs="Arial" w:eastAsia="Arial" w:hAnsi="Arial"/>
          <w:sz w:val="18"/>
          <w:szCs w:val="18"/>
          <w:color w:val="auto"/>
        </w:rPr>
        <w:t>, the Seller has sent the Purchaser a written notice stating the grounds on which it does not accept the Leakage Notice, the Parties shall negotiate in good faith with a view to reaching an agreement on the matter.</w:t>
      </w:r>
    </w:p>
    <w:p>
      <w:pPr>
        <w:spacing w:after="0" w:line="183" w:lineRule="exact"/>
        <w:rPr>
          <w:rFonts w:ascii="Arial" w:cs="Arial" w:eastAsia="Arial" w:hAnsi="Arial"/>
          <w:sz w:val="18"/>
          <w:szCs w:val="18"/>
          <w:color w:val="auto"/>
        </w:rPr>
      </w:pPr>
    </w:p>
    <w:p>
      <w:pPr>
        <w:ind w:left="200" w:firstLine="1293"/>
        <w:spacing w:after="0" w:line="253" w:lineRule="auto"/>
        <w:tabs>
          <w:tab w:leader="none" w:pos="213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In the event that the Seller and the Purchaser are unable to reach an agreement as aforesaid within twenty (20) Business Days of the Seller giving the notice referred to in </w:t>
      </w:r>
      <w:r>
        <w:rPr>
          <w:rFonts w:ascii="Arial" w:cs="Arial" w:eastAsia="Arial" w:hAnsi="Arial"/>
          <w:sz w:val="18"/>
          <w:szCs w:val="18"/>
          <w:u w:val="single" w:color="auto"/>
          <w:color w:val="auto"/>
        </w:rPr>
        <w:t>Section 6.13(e)</w:t>
      </w:r>
      <w:r>
        <w:rPr>
          <w:rFonts w:ascii="Arial" w:cs="Arial" w:eastAsia="Arial" w:hAnsi="Arial"/>
          <w:sz w:val="18"/>
          <w:szCs w:val="18"/>
          <w:color w:val="auto"/>
        </w:rPr>
        <w:t>, the matter shall be submitted for determination by an Expert. For the purposes of this Agreement, an “</w:t>
      </w:r>
      <w:r>
        <w:rPr>
          <w:rFonts w:ascii="Arial" w:cs="Arial" w:eastAsia="Arial" w:hAnsi="Arial"/>
          <w:sz w:val="18"/>
          <w:szCs w:val="18"/>
          <w:u w:val="single" w:color="auto"/>
          <w:color w:val="auto"/>
        </w:rPr>
        <w:t>Expert</w:t>
      </w:r>
      <w:r>
        <w:rPr>
          <w:rFonts w:ascii="Arial" w:cs="Arial" w:eastAsia="Arial" w:hAnsi="Arial"/>
          <w:sz w:val="18"/>
          <w:szCs w:val="18"/>
          <w:color w:val="auto"/>
        </w:rPr>
        <w:t xml:space="preserve">” means one of the Big Four or any other accounting firm mutually agreed upon by the Purchaser and the Seller, or any other accounting firm selected by the secretary general of the Hong Kong International Arbitration Center in accordance with </w:t>
      </w:r>
      <w:r>
        <w:rPr>
          <w:rFonts w:ascii="Arial" w:cs="Arial" w:eastAsia="Arial" w:hAnsi="Arial"/>
          <w:sz w:val="18"/>
          <w:szCs w:val="18"/>
          <w:u w:val="single" w:color="auto"/>
          <w:color w:val="auto"/>
        </w:rPr>
        <w:t>Section 10.3</w:t>
      </w:r>
      <w:r>
        <w:rPr>
          <w:rFonts w:ascii="Arial" w:cs="Arial" w:eastAsia="Arial" w:hAnsi="Arial"/>
          <w:sz w:val="18"/>
          <w:szCs w:val="18"/>
          <w:color w:val="auto"/>
        </w:rPr>
        <w:t>. Any firm proposed or nominated to be an Expert shall be required to declare in writing any current and past associations with the Purchaser, the Seller, and/or their respective Affiliates before appointment and shall have reasonably satisfied the Seller and the Purchaser of such firm’s independence. Each of the Purchaser and the Seller shall use its reasonable efforts to agree upon the terms of engagement for the Expert and appoint an Expert expeditiously within five (5) Business Days after the other Party’s written request for the nomination of the Expert.</w:t>
      </w:r>
    </w:p>
    <w:p>
      <w:pPr>
        <w:spacing w:after="0" w:line="194" w:lineRule="exact"/>
        <w:rPr>
          <w:rFonts w:ascii="Arial" w:cs="Arial" w:eastAsia="Arial" w:hAnsi="Arial"/>
          <w:sz w:val="18"/>
          <w:szCs w:val="18"/>
          <w:color w:val="auto"/>
        </w:rPr>
      </w:pPr>
    </w:p>
    <w:p>
      <w:pPr>
        <w:ind w:left="200" w:right="80" w:firstLine="1293"/>
        <w:spacing w:after="0" w:line="277" w:lineRule="auto"/>
        <w:tabs>
          <w:tab w:leader="none" w:pos="216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Expert shall act as an independent expert in connection with the giving of such decision which shall be rendered within thirty (30) Business</w:t>
      </w:r>
    </w:p>
    <w:p>
      <w:pPr>
        <w:spacing w:after="0" w:line="38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56" w:name="page357"/>
    <w:bookmarkEnd w:id="356"/>
    <w:p>
      <w:pPr>
        <w:ind w:left="660" w:right="100"/>
        <w:spacing w:after="0" w:line="277" w:lineRule="auto"/>
        <w:rPr>
          <w:sz w:val="20"/>
          <w:szCs w:val="20"/>
          <w:color w:val="auto"/>
        </w:rPr>
      </w:pPr>
      <w:r>
        <w:rPr>
          <w:rFonts w:ascii="Arial" w:cs="Arial" w:eastAsia="Arial" w:hAnsi="Arial"/>
          <w:sz w:val="18"/>
          <w:szCs w:val="18"/>
          <w:color w:val="auto"/>
        </w:rPr>
        <w:t>Days of its appointment. In giving such decision, the Expert shall state whether or not any Leakage, which does not constitute Permitted Leakage, has occurred and, if yes, the Leakage Amount.</w:t>
      </w:r>
    </w:p>
    <w:p>
      <w:pPr>
        <w:spacing w:after="0" w:line="170" w:lineRule="exact"/>
        <w:rPr>
          <w:sz w:val="20"/>
          <w:szCs w:val="20"/>
          <w:color w:val="auto"/>
        </w:rPr>
      </w:pPr>
    </w:p>
    <w:p>
      <w:pPr>
        <w:ind w:left="2620" w:hanging="667"/>
        <w:spacing w:after="0"/>
        <w:tabs>
          <w:tab w:leader="none" w:pos="26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decision of the Expert shall (except in case of manifest error) be final and binding on the Seller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 the Purchaser.</w:t>
      </w:r>
    </w:p>
    <w:p>
      <w:pPr>
        <w:spacing w:after="0" w:line="210" w:lineRule="exact"/>
        <w:rPr>
          <w:rFonts w:ascii="Arial" w:cs="Arial" w:eastAsia="Arial" w:hAnsi="Arial"/>
          <w:sz w:val="16"/>
          <w:szCs w:val="16"/>
          <w:color w:val="auto"/>
        </w:rPr>
      </w:pPr>
    </w:p>
    <w:p>
      <w:pPr>
        <w:ind w:left="660" w:right="60" w:firstLine="1293"/>
        <w:spacing w:after="0" w:line="342" w:lineRule="auto"/>
        <w:tabs>
          <w:tab w:leader="none" w:pos="258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engagement fees, any fees charged by the Expert, and any fees and expenses incurred by the Expert shall be borne by the Party whose proposed figure is the furthest away from the figure finally determined by the Expert.</w:t>
      </w:r>
    </w:p>
    <w:p>
      <w:pPr>
        <w:spacing w:after="0" w:line="123" w:lineRule="exact"/>
        <w:rPr>
          <w:rFonts w:ascii="Arial" w:cs="Arial" w:eastAsia="Arial" w:hAnsi="Arial"/>
          <w:sz w:val="16"/>
          <w:szCs w:val="16"/>
          <w:color w:val="auto"/>
        </w:rPr>
      </w:pPr>
    </w:p>
    <w:p>
      <w:pPr>
        <w:jc w:val="both"/>
        <w:ind w:left="660" w:right="80" w:firstLine="1293"/>
        <w:spacing w:after="0" w:line="259" w:lineRule="auto"/>
        <w:tabs>
          <w:tab w:leader="none" w:pos="258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Seller and the Purchaser shall promptly provide (and shall procure that their respective advisers promptly provide) to one another (and to one another’s advisers) and to any Expert appointed pursuant to </w:t>
      </w:r>
      <w:r>
        <w:rPr>
          <w:rFonts w:ascii="Arial" w:cs="Arial" w:eastAsia="Arial" w:hAnsi="Arial"/>
          <w:sz w:val="18"/>
          <w:szCs w:val="18"/>
          <w:u w:val="single" w:color="auto"/>
          <w:color w:val="auto"/>
        </w:rPr>
        <w:t>Section 6.13(f)</w:t>
      </w:r>
      <w:r>
        <w:rPr>
          <w:rFonts w:ascii="Arial" w:cs="Arial" w:eastAsia="Arial" w:hAnsi="Arial"/>
          <w:sz w:val="18"/>
          <w:szCs w:val="18"/>
          <w:color w:val="auto"/>
        </w:rPr>
        <w:t xml:space="preserve"> such documents and information within their possession or control (or that of their respective Affiliates) as may be required for the purposes of giving effect to this </w:t>
      </w:r>
      <w:r>
        <w:rPr>
          <w:rFonts w:ascii="Arial" w:cs="Arial" w:eastAsia="Arial" w:hAnsi="Arial"/>
          <w:sz w:val="18"/>
          <w:szCs w:val="18"/>
          <w:u w:val="single" w:color="auto"/>
          <w:color w:val="auto"/>
        </w:rPr>
        <w:t>Section 6.13(j)</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Any payment hereunder by the Seller shall be deemed to be a reduction in the Final Purchase Price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paid by the Purchaser.</w:t>
      </w:r>
    </w:p>
    <w:p>
      <w:pPr>
        <w:spacing w:after="0" w:line="211" w:lineRule="exact"/>
        <w:rPr>
          <w:sz w:val="20"/>
          <w:szCs w:val="20"/>
          <w:color w:val="auto"/>
        </w:rPr>
      </w:pPr>
    </w:p>
    <w:p>
      <w:pPr>
        <w:ind w:firstLine="1296"/>
        <w:spacing w:after="0" w:line="275"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Pre-Closing Covenants to Continue</w:t>
      </w:r>
      <w:r>
        <w:rPr>
          <w:rFonts w:ascii="Arial" w:cs="Arial" w:eastAsia="Arial" w:hAnsi="Arial"/>
          <w:sz w:val="17"/>
          <w:szCs w:val="17"/>
          <w:color w:val="auto"/>
        </w:rPr>
        <w:t>. If any Warrantor is required to perform any covenant or agreement herein prior to the Closing but has failed to fully perform such covenant or agreement prior to the Closing, then, without prejudice to any other rights or remedies the Purchaser may have in respect of such failure, and notwithstanding any waivers that may be granted by the Purchaser in respect of the conditions to its obligation to proceed to the Closing, such Warrantor shall continue to perform such covenant or agreement after the Closing until such covenant or agreement is fully performed.</w:t>
      </w:r>
    </w:p>
    <w:p>
      <w:pPr>
        <w:spacing w:after="0" w:line="176"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Ongoing Cooperation and Assistance</w:t>
      </w:r>
      <w:r>
        <w:rPr>
          <w:rFonts w:ascii="Arial" w:cs="Arial" w:eastAsia="Arial" w:hAnsi="Arial"/>
          <w:sz w:val="16"/>
          <w:szCs w:val="16"/>
          <w:color w:val="auto"/>
        </w:rPr>
        <w:t>.</w:t>
      </w:r>
    </w:p>
    <w:p>
      <w:pPr>
        <w:spacing w:after="0" w:line="225" w:lineRule="exact"/>
        <w:rPr>
          <w:sz w:val="20"/>
          <w:szCs w:val="20"/>
          <w:color w:val="auto"/>
        </w:rPr>
      </w:pPr>
    </w:p>
    <w:p>
      <w:pPr>
        <w:ind w:left="660" w:right="60" w:firstLine="1293"/>
        <w:spacing w:after="0" w:line="293" w:lineRule="auto"/>
        <w:tabs>
          <w:tab w:leader="none" w:pos="261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Warrantors shall cause the existing nominee shareholders, directors, legal representatives and general managers of Hangzhou Youmai and Zhejiang Anxiong and existing shareholders, directors, legal representatives and general managers of the other PRC Group Companies to provide all assistance reasonably requested by the Purchaser to complete all filings with respect to the Onshore Equity Transfers and the replacement of the directors, supervisors, officers and legal representatives of each of the other PRC Group Companies with nominees of the Purchaser with the applicable Government Authorities (including without limitation the SAMR) as soon as reasonably practicable after the Closing.</w:t>
      </w:r>
    </w:p>
    <w:p>
      <w:pPr>
        <w:spacing w:after="0" w:line="164" w:lineRule="exact"/>
        <w:rPr>
          <w:rFonts w:ascii="Arial" w:cs="Arial" w:eastAsia="Arial" w:hAnsi="Arial"/>
          <w:sz w:val="16"/>
          <w:szCs w:val="16"/>
          <w:color w:val="auto"/>
        </w:rPr>
      </w:pPr>
    </w:p>
    <w:p>
      <w:pPr>
        <w:ind w:left="660" w:right="580" w:firstLine="1293"/>
        <w:spacing w:after="0" w:line="311" w:lineRule="auto"/>
        <w:tabs>
          <w:tab w:leader="none" w:pos="2629" w:val="left"/>
        </w:tabs>
        <w:numPr>
          <w:ilvl w:val="0"/>
          <w:numId w:val="266"/>
        </w:numPr>
        <w:rPr>
          <w:rFonts w:ascii="Arial" w:cs="Arial" w:eastAsia="Arial" w:hAnsi="Arial"/>
          <w:sz w:val="16"/>
          <w:szCs w:val="16"/>
          <w:color w:val="auto"/>
        </w:rPr>
      </w:pPr>
      <w:r>
        <w:rPr>
          <w:rFonts w:ascii="Arial" w:cs="Arial" w:eastAsia="Arial" w:hAnsi="Arial"/>
          <w:sz w:val="16"/>
          <w:szCs w:val="16"/>
          <w:color w:val="auto"/>
        </w:rPr>
        <w:t xml:space="preserve">Each of the Warrantors agrees that after the Closing, it shall, and shall cause its Affiliates, as applicable, to, provide all assistance reasonably requested by the Purchaser to complete all filings with respect to the replacement of the Outgoing Directors of the Offshore Group Companies that are listed in </w:t>
      </w:r>
      <w:r>
        <w:rPr>
          <w:rFonts w:ascii="Arial" w:cs="Arial" w:eastAsia="Arial" w:hAnsi="Arial"/>
          <w:sz w:val="16"/>
          <w:szCs w:val="16"/>
          <w:u w:val="single" w:color="auto"/>
          <w:color w:val="auto"/>
        </w:rPr>
        <w:t>Part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Schedule G</w:t>
      </w:r>
      <w:r>
        <w:rPr>
          <w:rFonts w:ascii="Arial" w:cs="Arial" w:eastAsia="Arial" w:hAnsi="Arial"/>
          <w:sz w:val="16"/>
          <w:szCs w:val="16"/>
          <w:color w:val="auto"/>
        </w:rPr>
        <w:t xml:space="preserve"> hereto.</w:t>
      </w:r>
    </w:p>
    <w:p>
      <w:pPr>
        <w:spacing w:after="0" w:line="148" w:lineRule="exact"/>
        <w:rPr>
          <w:rFonts w:ascii="Arial" w:cs="Arial" w:eastAsia="Arial" w:hAnsi="Arial"/>
          <w:sz w:val="16"/>
          <w:szCs w:val="16"/>
          <w:color w:val="auto"/>
        </w:rPr>
      </w:pPr>
    </w:p>
    <w:p>
      <w:pPr>
        <w:ind w:left="660" w:right="600" w:firstLine="1293"/>
        <w:spacing w:after="0" w:line="277" w:lineRule="auto"/>
        <w:tabs>
          <w:tab w:leader="none" w:pos="2619" w:val="left"/>
        </w:tabs>
        <w:numPr>
          <w:ilvl w:val="0"/>
          <w:numId w:val="266"/>
        </w:numPr>
        <w:rPr>
          <w:rFonts w:ascii="Arial" w:cs="Arial" w:eastAsia="Arial" w:hAnsi="Arial"/>
          <w:sz w:val="18"/>
          <w:szCs w:val="18"/>
          <w:color w:val="auto"/>
        </w:rPr>
      </w:pPr>
      <w:r>
        <w:rPr>
          <w:rFonts w:ascii="Arial" w:cs="Arial" w:eastAsia="Arial" w:hAnsi="Arial"/>
          <w:sz w:val="18"/>
          <w:szCs w:val="18"/>
          <w:color w:val="auto"/>
        </w:rPr>
        <w:t>Each of the Warrantors agrees that after the Closing, it shall, and shall cause its Affiliates, as applicable, to, provide such assistance as may be</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357" w:name="page358"/>
    <w:bookmarkEnd w:id="357"/>
    <w:p>
      <w:pPr>
        <w:ind w:left="200"/>
        <w:spacing w:after="0"/>
        <w:rPr>
          <w:sz w:val="20"/>
          <w:szCs w:val="20"/>
          <w:color w:val="auto"/>
        </w:rPr>
      </w:pPr>
      <w:r>
        <w:rPr>
          <w:rFonts w:ascii="Arial" w:cs="Arial" w:eastAsia="Arial" w:hAnsi="Arial"/>
          <w:sz w:val="18"/>
          <w:szCs w:val="18"/>
          <w:color w:val="auto"/>
        </w:rPr>
        <w:t>reasonably requested by the Purchaser in order to wind up Lion Trading Company S.r.l.</w:t>
      </w:r>
    </w:p>
    <w:p>
      <w:pPr>
        <w:spacing w:after="0" w:line="225" w:lineRule="exact"/>
        <w:rPr>
          <w:sz w:val="20"/>
          <w:szCs w:val="20"/>
          <w:color w:val="auto"/>
        </w:rPr>
      </w:pPr>
    </w:p>
    <w:p>
      <w:pPr>
        <w:ind w:left="200" w:right="80" w:firstLine="1293"/>
        <w:spacing w:after="0" w:line="290" w:lineRule="auto"/>
        <w:tabs>
          <w:tab w:leader="none" w:pos="216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In the case of any dispute or claim for indemnification against any Group Company by any third party after the Closing, which involves any agreement or contract entered into by any Warrantor, its Affiliates or any Group Company prior to the Closing, the Warrantors shall afford the Purchaser or its Affiliates, as applicable, reasonable access to the employees of the Seller and its Affiliates during normal business hours, to assist such Persons resolving such dispute, provided, however, that such access shall be subject to any applicable Laws relating to privacy or data protection and shall only be upon reasonable notice, shall not unreasonably disrupt personnel, operations and properties of the Seller or any of its Affiliates, and shall be at the Purchaser’s sole risk and expense, provided, further, that no such employee shall be required to give any testimony, or attend any conferences, discovery proceedings, hearings, trials or appeals.</w:t>
      </w:r>
    </w:p>
    <w:p>
      <w:pPr>
        <w:spacing w:after="0" w:line="165" w:lineRule="exact"/>
        <w:rPr>
          <w:rFonts w:ascii="Arial" w:cs="Arial" w:eastAsia="Arial" w:hAnsi="Arial"/>
          <w:sz w:val="16"/>
          <w:szCs w:val="16"/>
          <w:color w:val="auto"/>
        </w:rPr>
      </w:pPr>
    </w:p>
    <w:p>
      <w:pPr>
        <w:ind w:left="200" w:right="480" w:firstLine="1293"/>
        <w:spacing w:after="0" w:line="301" w:lineRule="auto"/>
        <w:tabs>
          <w:tab w:leader="none" w:pos="2159" w:val="left"/>
        </w:tabs>
        <w:numPr>
          <w:ilvl w:val="0"/>
          <w:numId w:val="267"/>
        </w:numPr>
        <w:rPr>
          <w:rFonts w:ascii="Arial" w:cs="Arial" w:eastAsia="Arial" w:hAnsi="Arial"/>
          <w:sz w:val="16"/>
          <w:szCs w:val="16"/>
          <w:color w:val="auto"/>
        </w:rPr>
      </w:pPr>
      <w:r>
        <w:rPr>
          <w:rFonts w:ascii="Arial" w:cs="Arial" w:eastAsia="Arial" w:hAnsi="Arial"/>
          <w:sz w:val="16"/>
          <w:szCs w:val="16"/>
          <w:color w:val="auto"/>
        </w:rPr>
        <w:t>Each of the Warrantors agrees that after the Closing, it shall, and shall cause its Affiliates, as applicable, to provide such assistance as may be reasonably requested by the Purchaser in the event that the competent Government Authorities initiate any Tax audit or other investigations of any Group Company (including any such audit or investigation initiated during the liquidation process of any Group Company), in each case at the cost of the Purchaser.</w:t>
      </w:r>
    </w:p>
    <w:p>
      <w:pPr>
        <w:spacing w:after="0" w:line="157" w:lineRule="exact"/>
        <w:rPr>
          <w:rFonts w:ascii="Arial" w:cs="Arial" w:eastAsia="Arial" w:hAnsi="Arial"/>
          <w:sz w:val="16"/>
          <w:szCs w:val="16"/>
          <w:color w:val="auto"/>
        </w:rPr>
      </w:pPr>
    </w:p>
    <w:p>
      <w:pPr>
        <w:ind w:left="200" w:firstLine="1293"/>
        <w:spacing w:after="0" w:line="273" w:lineRule="auto"/>
        <w:tabs>
          <w:tab w:leader="none" w:pos="2139"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Each of the Warrantors shall, and shall cause its Affiliates to, continue granting the Group Companies a perpetual, worldwide, irrevocable, non-exclusive, fully-paid up, royalty-free license to use, make, have made, import, sell, offer to sell, distribute, copy, modify, perform and otherwise exploit, solely in the conduct of the Business, the Intellectual Property owned by such Warrantor or its Affiliates at Closing (which, for clarity, does not include any trade name, logo or brand image of the Warrantors or its Affiliates (excluding the Group Companies)) that is necessary for the Group Companies to operate the Business in substantially the same manner as currently conducted.</w:t>
      </w:r>
    </w:p>
    <w:p>
      <w:pPr>
        <w:spacing w:after="0" w:line="177" w:lineRule="exact"/>
        <w:rPr>
          <w:rFonts w:ascii="Arial" w:cs="Arial" w:eastAsia="Arial" w:hAnsi="Arial"/>
          <w:sz w:val="17"/>
          <w:szCs w:val="17"/>
          <w:color w:val="auto"/>
        </w:rPr>
      </w:pPr>
    </w:p>
    <w:p>
      <w:pPr>
        <w:ind w:left="200" w:right="100" w:firstLine="1293"/>
        <w:spacing w:after="0" w:line="255" w:lineRule="auto"/>
        <w:tabs>
          <w:tab w:leader="none" w:pos="2169" w:val="left"/>
        </w:tabs>
        <w:numPr>
          <w:ilvl w:val="0"/>
          <w:numId w:val="267"/>
        </w:numPr>
        <w:rPr>
          <w:rFonts w:ascii="Arial" w:cs="Arial" w:eastAsia="Arial" w:hAnsi="Arial"/>
          <w:sz w:val="18"/>
          <w:szCs w:val="18"/>
          <w:color w:val="auto"/>
        </w:rPr>
      </w:pPr>
      <w:r>
        <w:rPr>
          <w:rFonts w:ascii="Arial" w:cs="Arial" w:eastAsia="Arial" w:hAnsi="Arial"/>
          <w:sz w:val="18"/>
          <w:szCs w:val="18"/>
          <w:color w:val="auto"/>
        </w:rPr>
        <w:t>Each of the Warrantors agrees that after the Closing (i) it shall not, and shall cause its Affiliates not to, use its master USB Keys (U ) to do anything to interfere with the Business or the operation of the Group Companies. Each of the Warrantors agrees that after the Closing; and (ii) it shall, and shall cause its Affiliates, as applicable, to take all necessary actions to cancel such master USB Keys’ authorization over, or any other access to, the bank accounts of the Group Companies within one (1) month after the Closing. The Purchaser and the Group Companies shall provide all necessary assistance in connection with the foregoing.</w:t>
      </w: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58" w:name="page359"/>
    <w:bookmarkEnd w:id="358"/>
    <w:p>
      <w:pPr>
        <w:ind w:right="20" w:firstLine="1296"/>
        <w:spacing w:after="0" w:line="257" w:lineRule="auto"/>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Optimization of Workforce Structure</w:t>
      </w:r>
      <w:r>
        <w:rPr>
          <w:rFonts w:ascii="Arial" w:cs="Arial" w:eastAsia="Arial" w:hAnsi="Arial"/>
          <w:sz w:val="18"/>
          <w:szCs w:val="18"/>
          <w:color w:val="auto"/>
        </w:rPr>
        <w:t>. The Warrantors agree to bear, and to reimburse the Purchaser, promptly upon demand, for, 50% of all documented costs (but in no event more than RMB50 million) actually incurred by the Group Companies in connection with the optimization of the existing workforce structure of the Group Companies during the twelve (12)-month period following the Closing, which reimbursement shall first be paid out of the Indemnity Withheld Amount, to the extent any such amount remains.</w:t>
      </w:r>
    </w:p>
    <w:p>
      <w:pPr>
        <w:spacing w:after="0" w:line="188"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6.16</w:t>
      </w:r>
      <w:r>
        <w:rPr>
          <w:sz w:val="20"/>
          <w:szCs w:val="20"/>
          <w:color w:val="auto"/>
        </w:rPr>
        <w:tab/>
      </w:r>
      <w:r>
        <w:rPr>
          <w:rFonts w:ascii="Arial" w:cs="Arial" w:eastAsia="Arial" w:hAnsi="Arial"/>
          <w:sz w:val="16"/>
          <w:szCs w:val="16"/>
          <w:u w:val="single" w:color="auto"/>
          <w:color w:val="auto"/>
        </w:rPr>
        <w:t>Intellectual Property Arrangements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87" w:lineRule="auto"/>
        <w:tabs>
          <w:tab w:leader="none" w:pos="1959"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6.16(d)</w:t>
      </w:r>
      <w:r>
        <w:rPr>
          <w:rFonts w:ascii="Arial" w:cs="Arial" w:eastAsia="Arial" w:hAnsi="Arial"/>
          <w:sz w:val="16"/>
          <w:szCs w:val="16"/>
          <w:color w:val="auto"/>
        </w:rPr>
        <w:t xml:space="preserve">, each of the Warrantors agrees that after the Closing, it shall not, and shall cause its Affiliates not to, (a) use any Intellectual Property that is currently exclusively used, or held for exclusive use, by the Group Companies (excluding commercial off-the-shelf Software) as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hereto, or any Intellectual Property that includes the</w:t>
      </w:r>
    </w:p>
    <w:p>
      <w:pPr>
        <w:spacing w:after="0" w:line="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 xml:space="preserve">trade name, logo or brand image of the Group Companies (including but not limited to Kaola ( )), which, for clarity, does not include any trade name, logo or brand image of the Warrantors or its Affiliates (excluding the Group Companies), or (b) retain or use any Confidential Information with respect to the Business, or any Intellectual Property created by any employees during their employment with, and used or held for use by, the relevant Group Companies. Each of the Warrantors agrees that as soon as practical, and in any event within three (3) months after the Closing, it shall, and shall cause its Affiliates to file with the competent Government Authorities to seek cancellation of the registrations of the Intellectual Property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hereto, and assist the Group Companies, at Purchaser’s expense, in providing reasonable assistance in applying for new Intellectual Property registrations derived from or in connection with those set forth on </w:t>
      </w:r>
      <w:r>
        <w:rPr>
          <w:rFonts w:ascii="Arial" w:cs="Arial" w:eastAsia="Arial" w:hAnsi="Arial"/>
          <w:sz w:val="16"/>
          <w:szCs w:val="16"/>
          <w:u w:val="single" w:color="auto"/>
          <w:color w:val="auto"/>
        </w:rPr>
        <w:t>Schedule F</w:t>
      </w:r>
      <w:r>
        <w:rPr>
          <w:rFonts w:ascii="Arial" w:cs="Arial" w:eastAsia="Arial" w:hAnsi="Arial"/>
          <w:sz w:val="16"/>
          <w:szCs w:val="16"/>
          <w:color w:val="auto"/>
        </w:rPr>
        <w:t xml:space="preserve"> hereto to the extent that such new registrations do not include any trade name, logo or brand image of the Seller Parent or any of its Affiliates and such assistance is requested by relevant Government Authority.</w:t>
      </w:r>
    </w:p>
    <w:p>
      <w:pPr>
        <w:spacing w:after="0" w:line="172" w:lineRule="exact"/>
        <w:rPr>
          <w:sz w:val="20"/>
          <w:szCs w:val="20"/>
          <w:color w:val="auto"/>
        </w:rPr>
      </w:pPr>
    </w:p>
    <w:p>
      <w:pPr>
        <w:jc w:val="both"/>
        <w:ind w:right="120" w:firstLine="1305"/>
        <w:spacing w:after="0" w:line="279" w:lineRule="auto"/>
        <w:tabs>
          <w:tab w:leader="none" w:pos="1969"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The Group Companies hereby grant to Seller Parent and its Affiliates a perpetual, worldwide, irrevocable, non-exclusive, fully-paid up, royalty-free license to use, make, have made, import, sell, offer to sell, distribute, copy, modify, perform and otherwise exploit the Intellectual Property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foregoing license shall be effective upon Closing, and may be sublicensed, transferred and otherwise exercised for any purposes, subject to </w:t>
      </w:r>
      <w:r>
        <w:rPr>
          <w:rFonts w:ascii="Arial" w:cs="Arial" w:eastAsia="Arial" w:hAnsi="Arial"/>
          <w:sz w:val="17"/>
          <w:szCs w:val="17"/>
          <w:u w:val="single" w:color="auto"/>
          <w:color w:val="auto"/>
        </w:rPr>
        <w:t>Section 6.17</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right="40" w:firstLine="1305"/>
        <w:spacing w:after="0" w:line="311" w:lineRule="auto"/>
        <w:tabs>
          <w:tab w:leader="none" w:pos="195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Promptly following the Closing, the Parties shall cooperate with each other to complete the transfer of (a) the Intellectual Property set forth on </w:t>
      </w:r>
      <w:r>
        <w:rPr>
          <w:rFonts w:ascii="Arial" w:cs="Arial" w:eastAsia="Arial" w:hAnsi="Arial"/>
          <w:sz w:val="16"/>
          <w:szCs w:val="16"/>
          <w:u w:val="single" w:color="auto"/>
          <w:color w:val="auto"/>
        </w:rPr>
        <w:t>Schedule K</w:t>
      </w:r>
      <w:r>
        <w:rPr>
          <w:rFonts w:ascii="Arial" w:cs="Arial" w:eastAsia="Arial" w:hAnsi="Arial"/>
          <w:sz w:val="16"/>
          <w:szCs w:val="16"/>
          <w:color w:val="auto"/>
        </w:rPr>
        <w:t xml:space="preserve"> hereto from the Group Companies to the Warrantors or its Affiliates, and (b) the Intellectual Property set forth on </w:t>
      </w:r>
      <w:r>
        <w:rPr>
          <w:rFonts w:ascii="Arial" w:cs="Arial" w:eastAsia="Arial" w:hAnsi="Arial"/>
          <w:sz w:val="16"/>
          <w:szCs w:val="16"/>
          <w:u w:val="single" w:color="auto"/>
          <w:color w:val="auto"/>
        </w:rPr>
        <w:t>Schedule L</w:t>
      </w:r>
      <w:r>
        <w:rPr>
          <w:rFonts w:ascii="Arial" w:cs="Arial" w:eastAsia="Arial" w:hAnsi="Arial"/>
          <w:sz w:val="16"/>
          <w:szCs w:val="16"/>
          <w:color w:val="auto"/>
        </w:rPr>
        <w:t xml:space="preserve"> from the Warrantors and its Affiliates to the Group Companies, in each case for no consideration.</w:t>
      </w:r>
    </w:p>
    <w:p>
      <w:pPr>
        <w:spacing w:after="0" w:line="148" w:lineRule="exact"/>
        <w:rPr>
          <w:rFonts w:ascii="Arial" w:cs="Arial" w:eastAsia="Arial" w:hAnsi="Arial"/>
          <w:sz w:val="16"/>
          <w:szCs w:val="16"/>
          <w:color w:val="auto"/>
        </w:rPr>
      </w:pPr>
    </w:p>
    <w:p>
      <w:pPr>
        <w:jc w:val="both"/>
        <w:ind w:right="20" w:firstLine="1305"/>
        <w:spacing w:after="0" w:line="259" w:lineRule="auto"/>
        <w:tabs>
          <w:tab w:leader="none" w:pos="1969"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Nothing in this Agreement shall (i) prevent the Seller or its Affiliates from using, for any purpose and without compensating the Group Companies, information retained in the unaided memory of the personnel of the Seller or its Affiliates who have had access to Confidential Information or Company Intellectual Property prior to the Closing, or (ii) obligate the Seller or its Affiliates to restrict the scope of employment of such personnel.</w:t>
      </w:r>
    </w:p>
    <w:p>
      <w:pPr>
        <w:spacing w:after="0" w:line="187"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6.17</w:t>
      </w:r>
      <w:r>
        <w:rPr>
          <w:sz w:val="20"/>
          <w:szCs w:val="20"/>
          <w:color w:val="auto"/>
        </w:rPr>
        <w:tab/>
      </w:r>
      <w:r>
        <w:rPr>
          <w:rFonts w:ascii="Arial" w:cs="Arial" w:eastAsia="Arial" w:hAnsi="Arial"/>
          <w:sz w:val="16"/>
          <w:szCs w:val="16"/>
          <w:u w:val="single" w:color="auto"/>
          <w:color w:val="auto"/>
        </w:rPr>
        <w:t>Non-compete</w:t>
      </w:r>
      <w:r>
        <w:rPr>
          <w:rFonts w:ascii="Arial" w:cs="Arial" w:eastAsia="Arial" w:hAnsi="Arial"/>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59" w:name="page360"/>
    <w:bookmarkEnd w:id="359"/>
    <w:p>
      <w:pPr>
        <w:ind w:left="660" w:right="80" w:firstLine="1293"/>
        <w:spacing w:after="0" w:line="283" w:lineRule="auto"/>
        <w:tabs>
          <w:tab w:leader="none" w:pos="2619" w:val="left"/>
        </w:tabs>
        <w:numPr>
          <w:ilvl w:val="1"/>
          <w:numId w:val="270"/>
        </w:numPr>
        <w:rPr>
          <w:rFonts w:ascii="Arial" w:cs="Arial" w:eastAsia="Arial" w:hAnsi="Arial"/>
          <w:sz w:val="16"/>
          <w:szCs w:val="16"/>
          <w:color w:val="auto"/>
        </w:rPr>
      </w:pPr>
      <w:r>
        <w:rPr>
          <w:rFonts w:ascii="Arial" w:cs="Arial" w:eastAsia="Arial" w:hAnsi="Arial"/>
          <w:sz w:val="16"/>
          <w:szCs w:val="16"/>
          <w:color w:val="auto"/>
        </w:rPr>
        <w:t xml:space="preserve">Each of the Warrantors agrees that for a period of two (2) years after the Closing Date, it shall not, and shall cause its Affiliates not to, without the prior consent of the Purchaser, directly or indirectly, (i)(1) acquire more than twenty percent (20%) of the outstanding equity interests in any business, if at the time of such acquisition, annual revenue generated from e-commerce business with respect to the sale of physical consumer goods as set forth in its most recent audited financial statements or management accounts exceeds 50% of the total annual revenue of such business during the same period, or (2) enter into any strategic cooperation with any business in the area of cross-border e-commerce business that primarily targets consumers located in the PRC, if (x) the Warrantors and their Affiliates hold more than twenty percent (20%) of the outstanding equity interests in such business, and (y) annual revenue generated from e-commerce business with respect to the sale of physical consumer goods as set forth in its most recent audited financial statements or management accounts exceeds 50% of the total annual revenue of such business during the same period; or (ii) Control or operate any e-commerce business with respect to the sale of physical consumer goods, other than (A) any Exempted Business as set forth on </w:t>
      </w:r>
      <w:r>
        <w:rPr>
          <w:rFonts w:ascii="Arial" w:cs="Arial" w:eastAsia="Arial" w:hAnsi="Arial"/>
          <w:sz w:val="16"/>
          <w:szCs w:val="16"/>
          <w:u w:val="single" w:color="auto"/>
          <w:color w:val="auto"/>
        </w:rPr>
        <w:t>Schedule C</w:t>
      </w:r>
      <w:r>
        <w:rPr>
          <w:rFonts w:ascii="Arial" w:cs="Arial" w:eastAsia="Arial" w:hAnsi="Arial"/>
          <w:sz w:val="16"/>
          <w:szCs w:val="16"/>
          <w:color w:val="auto"/>
        </w:rPr>
        <w:t>, or</w:t>
      </w:r>
    </w:p>
    <w:p>
      <w:pPr>
        <w:spacing w:after="0" w:line="3" w:lineRule="exact"/>
        <w:rPr>
          <w:rFonts w:ascii="Arial" w:cs="Arial" w:eastAsia="Arial" w:hAnsi="Arial"/>
          <w:sz w:val="16"/>
          <w:szCs w:val="16"/>
          <w:color w:val="auto"/>
        </w:rPr>
      </w:pPr>
    </w:p>
    <w:p>
      <w:pPr>
        <w:ind w:left="660" w:hanging="3"/>
        <w:spacing w:after="0" w:line="267" w:lineRule="auto"/>
        <w:tabs>
          <w:tab w:leader="none" w:pos="945"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e-commerce business of any existing or future business unit of such Warrantor or its Affiliates that is not an Exempted Business so long as the annual revenue generated from any such e-commerce business (to the extent for the sale of physical consumer goods) as set forth in its most recent audited financial statement or management accounts does not exceed 20% of the total annual revenue of such business unit during the same period. Without prejudice to the foregoing, each Warrantor hereby agrees that, for a period of five (5) years after the Closing Date, it shall not, and shall cause its Affiliates not to, without the prior consent of the Purchaser, directly or indirectly, Control or operate any Exempted Business or any other existing or future business unit of such Warrantor or any of its Affiliates if the annual revenue generated from as set forth in its most recent audited financial statements or management accounts, or annual gross merchandise volume transacted in connection with cross-border e-commerce business that primarily targets consumers located in the PRC exceeds 20% of the total annual revenue or total annual gross merchandise volume, as applicable, of such Exempted Business or such other business unit, as applicable, during the same period.</w:t>
      </w:r>
    </w:p>
    <w:p>
      <w:pPr>
        <w:spacing w:after="0" w:line="185" w:lineRule="exact"/>
        <w:rPr>
          <w:rFonts w:ascii="Arial" w:cs="Arial" w:eastAsia="Arial" w:hAnsi="Arial"/>
          <w:sz w:val="17"/>
          <w:szCs w:val="17"/>
          <w:color w:val="auto"/>
        </w:rPr>
      </w:pPr>
    </w:p>
    <w:p>
      <w:pPr>
        <w:ind w:left="660" w:right="120" w:firstLine="1293"/>
        <w:spacing w:after="0" w:line="296" w:lineRule="auto"/>
        <w:tabs>
          <w:tab w:leader="none" w:pos="2629" w:val="left"/>
        </w:tabs>
        <w:numPr>
          <w:ilvl w:val="1"/>
          <w:numId w:val="271"/>
        </w:numPr>
        <w:rPr>
          <w:rFonts w:ascii="Arial" w:cs="Arial" w:eastAsia="Arial" w:hAnsi="Arial"/>
          <w:sz w:val="16"/>
          <w:szCs w:val="16"/>
          <w:color w:val="auto"/>
        </w:rPr>
      </w:pPr>
      <w:r>
        <w:rPr>
          <w:rFonts w:ascii="Arial" w:cs="Arial" w:eastAsia="Arial" w:hAnsi="Arial"/>
          <w:sz w:val="16"/>
          <w:szCs w:val="16"/>
          <w:color w:val="auto"/>
        </w:rPr>
        <w:t xml:space="preserve">The Parties agree that, if any court or arbitral tribunal of competent jurisdiction determines that a specified time period, geographical area, a specified business limitation or any other relevant feature of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6.19</w:t>
      </w:r>
      <w:r>
        <w:rPr>
          <w:rFonts w:ascii="Arial" w:cs="Arial" w:eastAsia="Arial" w:hAnsi="Arial"/>
          <w:sz w:val="16"/>
          <w:szCs w:val="16"/>
          <w:color w:val="auto"/>
        </w:rPr>
        <w:t xml:space="preserve"> is unreasonable, arbitrary or against public policy, then a lesser period of time, geographical area, business limitation or other relevant feature which is determined by such court or arbitral tribunal to be reasonable, not arbitrary and not against public policy may be enforced against the applicable Warrantor under this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6.19</w:t>
      </w:r>
      <w:r>
        <w:rPr>
          <w:rFonts w:ascii="Arial" w:cs="Arial" w:eastAsia="Arial" w:hAnsi="Arial"/>
          <w:sz w:val="16"/>
          <w:szCs w:val="16"/>
          <w:color w:val="auto"/>
        </w:rPr>
        <w:t>, as applicable.</w:t>
      </w:r>
    </w:p>
    <w:p>
      <w:pPr>
        <w:spacing w:after="0" w:line="161"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 xml:space="preserve">Section 6.18 </w:t>
      </w:r>
      <w:r>
        <w:rPr>
          <w:rFonts w:ascii="Arial" w:cs="Arial" w:eastAsia="Arial" w:hAnsi="Arial"/>
          <w:sz w:val="18"/>
          <w:szCs w:val="18"/>
          <w:u w:val="single" w:color="auto"/>
          <w:color w:val="auto"/>
        </w:rPr>
        <w:t>Non-solicit</w:t>
      </w:r>
      <w:r>
        <w:rPr>
          <w:rFonts w:ascii="Arial" w:cs="Arial" w:eastAsia="Arial" w:hAnsi="Arial"/>
          <w:sz w:val="18"/>
          <w:szCs w:val="18"/>
          <w:color w:val="auto"/>
        </w:rPr>
        <w:t>. Each of the Warrantors agrees that for a period of four (4) years after the Closing, it shall not, and shall cause its Affiliates not to, directly or indirectly</w:t>
      </w:r>
    </w:p>
    <w:p>
      <w:pPr>
        <w:spacing w:after="0" w:line="170" w:lineRule="exact"/>
        <w:rPr>
          <w:sz w:val="20"/>
          <w:szCs w:val="20"/>
          <w:color w:val="auto"/>
        </w:rPr>
      </w:pPr>
    </w:p>
    <w:p>
      <w:pPr>
        <w:ind w:left="660" w:right="160" w:firstLine="1293"/>
        <w:spacing w:after="0" w:line="263" w:lineRule="auto"/>
        <w:tabs>
          <w:tab w:leader="none" w:pos="2619"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recruit, solicit or employ any Senior Managers of any Group Company, provided that the foregoing shall not prohibit the recruitment, solicitation or employment of any such person (i) resulting from general advertisements for employment (including any recruitment efforts conducted by any recruitment agency,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60" w:name="page361"/>
    <w:bookmarkEnd w:id="360"/>
    <w:p>
      <w:pPr>
        <w:ind w:left="660" w:right="60"/>
        <w:spacing w:after="0" w:line="286" w:lineRule="auto"/>
        <w:rPr>
          <w:sz w:val="20"/>
          <w:szCs w:val="20"/>
          <w:color w:val="auto"/>
        </w:rPr>
      </w:pPr>
      <w:r>
        <w:rPr>
          <w:rFonts w:ascii="Arial" w:cs="Arial" w:eastAsia="Arial" w:hAnsi="Arial"/>
          <w:sz w:val="17"/>
          <w:szCs w:val="17"/>
          <w:color w:val="auto"/>
        </w:rPr>
        <w:t>provided that neither Warrantor nor any of its Affiliates has directed such recruitment efforts at such person), (ii) if such person approaches any Warrantor or any of its Affiliates on an unsolicited basis, or (iii) following the cessation of such person’s employment with any Group Company without any solicitation by any Warrantor or any of its Affiliates;</w:t>
      </w:r>
    </w:p>
    <w:p>
      <w:pPr>
        <w:spacing w:after="0" w:line="165" w:lineRule="exact"/>
        <w:rPr>
          <w:sz w:val="20"/>
          <w:szCs w:val="20"/>
          <w:color w:val="auto"/>
        </w:rPr>
      </w:pPr>
    </w:p>
    <w:p>
      <w:pPr>
        <w:ind w:left="2620" w:hanging="667"/>
        <w:spacing w:after="0"/>
        <w:tabs>
          <w:tab w:leader="none" w:pos="26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 xml:space="preserve">solicit or recruit any of the Persons set forth in </w:t>
      </w:r>
      <w:r>
        <w:rPr>
          <w:rFonts w:ascii="Arial" w:cs="Arial" w:eastAsia="Arial" w:hAnsi="Arial"/>
          <w:sz w:val="18"/>
          <w:szCs w:val="18"/>
          <w:u w:val="single" w:color="auto"/>
          <w:color w:val="auto"/>
        </w:rPr>
        <w:t>Schedule E</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660" w:right="200" w:firstLine="1293"/>
        <w:spacing w:after="0" w:line="277" w:lineRule="auto"/>
        <w:tabs>
          <w:tab w:leader="none" w:pos="265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knowingly induce or encourage any such persons described in subsection (a) and (b) to terminate, reduce or materially alter its relationship with the Group Companies.</w:t>
      </w:r>
    </w:p>
    <w:p>
      <w:pPr>
        <w:spacing w:after="0" w:line="170" w:lineRule="exact"/>
        <w:rPr>
          <w:sz w:val="20"/>
          <w:szCs w:val="20"/>
          <w:color w:val="auto"/>
        </w:rPr>
      </w:pPr>
    </w:p>
    <w:p>
      <w:pPr>
        <w:ind w:firstLine="1296"/>
        <w:spacing w:after="0" w:line="263"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Rights with respect to Investment in NetEase Yanxuan</w:t>
      </w:r>
      <w:r>
        <w:rPr>
          <w:rFonts w:ascii="Arial" w:cs="Arial" w:eastAsia="Arial" w:hAnsi="Arial"/>
          <w:sz w:val="18"/>
          <w:szCs w:val="18"/>
          <w:color w:val="auto"/>
        </w:rPr>
        <w:t>. Each of the Warrantors agrees, and it shall cause its Affiliates to agree that, with respect to the investment in NetEase Yanxuan during the four (4) year period following the Closing Date:</w:t>
      </w:r>
    </w:p>
    <w:p>
      <w:pPr>
        <w:spacing w:after="0" w:line="184" w:lineRule="exact"/>
        <w:rPr>
          <w:sz w:val="20"/>
          <w:szCs w:val="20"/>
          <w:color w:val="auto"/>
        </w:rPr>
      </w:pPr>
    </w:p>
    <w:p>
      <w:pPr>
        <w:ind w:left="660" w:firstLine="1293"/>
        <w:spacing w:after="0" w:line="259" w:lineRule="auto"/>
        <w:tabs>
          <w:tab w:leader="none" w:pos="266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in the event that NetEase Yanxuan issues any new equity securities to one or more Person other than the Seller Parent or any of its Affiliates, the Purchaser or any of its designated Affiliates shall have a right of first refusal, exercisable within twenty (20) Business Days following notice, to subscribe for up to all of such new equity securities, at the same price and otherwise on the same terms and conditions, and</w:t>
      </w:r>
    </w:p>
    <w:p>
      <w:pPr>
        <w:spacing w:after="0" w:line="186" w:lineRule="exact"/>
        <w:rPr>
          <w:rFonts w:ascii="Arial" w:cs="Arial" w:eastAsia="Arial" w:hAnsi="Arial"/>
          <w:sz w:val="18"/>
          <w:szCs w:val="18"/>
          <w:color w:val="auto"/>
        </w:rPr>
      </w:pPr>
    </w:p>
    <w:p>
      <w:pPr>
        <w:ind w:left="660" w:right="20" w:firstLine="1293"/>
        <w:spacing w:after="0" w:line="273" w:lineRule="auto"/>
        <w:tabs>
          <w:tab w:leader="none" w:pos="2674"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any existing shareholder (other than employees, officers, directors, contractors, advisors or consultants of NetEase Yanxuan or any of its Affiliates whose equity interests were acquired pursuant to any equity incentive program of NetEase Yanxuan) of NetEase Yanxuan proposes to transfer its equity interests in NetEase Yanxuan to one or more Person other than the Seller Parent or any of its Affiliates, the Purchaser or any of its designated Affiliates shall have a right of first refusal, exercisable within twenty (20) Business Days following notice, to purchase up to all such equity interests proposed to be transferred, at the same price and otherwise on the same terms and conditions,</w:t>
      </w:r>
    </w:p>
    <w:p>
      <w:pPr>
        <w:spacing w:after="0" w:line="178" w:lineRule="exact"/>
        <w:rPr>
          <w:sz w:val="20"/>
          <w:szCs w:val="20"/>
          <w:color w:val="auto"/>
        </w:rPr>
      </w:pPr>
    </w:p>
    <w:p>
      <w:pPr>
        <w:ind w:right="80" w:firstLine="1296"/>
        <w:spacing w:after="0" w:line="259" w:lineRule="auto"/>
        <w:rPr>
          <w:sz w:val="20"/>
          <w:szCs w:val="20"/>
          <w:color w:val="auto"/>
        </w:rPr>
      </w:pPr>
      <w:r>
        <w:rPr>
          <w:rFonts w:ascii="Arial" w:cs="Arial" w:eastAsia="Arial" w:hAnsi="Arial"/>
          <w:sz w:val="18"/>
          <w:szCs w:val="18"/>
          <w:color w:val="auto"/>
        </w:rPr>
        <w:t>provided that the foregoing subsection (a) shall not apply to any issuance (i) in connection with any share split, share dividend, reclassification or other similar event, (ii) in connection with a public offering, or (iii) to the employees, officers, directors, contractors, advisors or consultants of the NetEase Yanxuan or any of its Affiliates pursuant to any equity incentive program of NetEase Yanxuan.</w:t>
      </w:r>
    </w:p>
    <w:p>
      <w:pPr>
        <w:spacing w:after="0" w:line="187" w:lineRule="exact"/>
        <w:rPr>
          <w:sz w:val="20"/>
          <w:szCs w:val="20"/>
          <w:color w:val="auto"/>
        </w:rPr>
      </w:pPr>
    </w:p>
    <w:p>
      <w:pPr>
        <w:ind w:right="140" w:firstLine="1296"/>
        <w:spacing w:after="0" w:line="342" w:lineRule="auto"/>
        <w:rPr>
          <w:sz w:val="20"/>
          <w:szCs w:val="20"/>
          <w:color w:val="auto"/>
        </w:rPr>
      </w:pPr>
      <w:r>
        <w:rPr>
          <w:rFonts w:ascii="Arial" w:cs="Arial" w:eastAsia="Arial" w:hAnsi="Arial"/>
          <w:sz w:val="16"/>
          <w:szCs w:val="16"/>
          <w:color w:val="auto"/>
        </w:rPr>
        <w:t xml:space="preserve">Section 6.20 </w:t>
      </w:r>
      <w:r>
        <w:rPr>
          <w:rFonts w:ascii="Arial" w:cs="Arial" w:eastAsia="Arial" w:hAnsi="Arial"/>
          <w:sz w:val="16"/>
          <w:szCs w:val="16"/>
          <w:u w:val="single" w:color="auto"/>
          <w:color w:val="auto"/>
        </w:rPr>
        <w:t>Lock-up Requirements</w:t>
      </w:r>
      <w:r>
        <w:rPr>
          <w:rFonts w:ascii="Arial" w:cs="Arial" w:eastAsia="Arial" w:hAnsi="Arial"/>
          <w:sz w:val="16"/>
          <w:szCs w:val="16"/>
          <w:color w:val="auto"/>
        </w:rPr>
        <w:t>. The Seller agrees that it will not, and the Seller Parent agrees to cause the Seller not to, Transfer any Subject Shares during the eighteen (18) months period following the Closing Date (the “</w:t>
      </w:r>
      <w:r>
        <w:rPr>
          <w:rFonts w:ascii="Arial" w:cs="Arial" w:eastAsia="Arial" w:hAnsi="Arial"/>
          <w:sz w:val="16"/>
          <w:szCs w:val="16"/>
          <w:u w:val="single" w:color="auto"/>
          <w:color w:val="auto"/>
        </w:rPr>
        <w:t>Lock-up Period</w:t>
      </w:r>
      <w:r>
        <w:rPr>
          <w:rFonts w:ascii="Arial" w:cs="Arial" w:eastAsia="Arial" w:hAnsi="Arial"/>
          <w:sz w:val="16"/>
          <w:szCs w:val="16"/>
          <w:color w:val="auto"/>
        </w:rPr>
        <w:t>”).</w:t>
      </w:r>
    </w:p>
    <w:p>
      <w:pPr>
        <w:spacing w:after="0" w:line="124" w:lineRule="exact"/>
        <w:rPr>
          <w:sz w:val="20"/>
          <w:szCs w:val="20"/>
          <w:color w:val="auto"/>
        </w:rPr>
      </w:pPr>
    </w:p>
    <w:p>
      <w:pPr>
        <w:ind w:left="1300"/>
        <w:spacing w:after="0"/>
        <w:tabs>
          <w:tab w:leader="none" w:pos="2640" w:val="left"/>
        </w:tabs>
        <w:rPr>
          <w:sz w:val="20"/>
          <w:szCs w:val="20"/>
          <w:color w:val="auto"/>
        </w:rPr>
      </w:pPr>
      <w:r>
        <w:rPr>
          <w:rFonts w:ascii="Arial" w:cs="Arial" w:eastAsia="Arial" w:hAnsi="Arial"/>
          <w:sz w:val="18"/>
          <w:szCs w:val="18"/>
          <w:color w:val="auto"/>
        </w:rPr>
        <w:t>Section 6.21</w:t>
      </w:r>
      <w:r>
        <w:rPr>
          <w:sz w:val="20"/>
          <w:szCs w:val="20"/>
          <w:color w:val="auto"/>
        </w:rPr>
        <w:tab/>
      </w:r>
      <w:r>
        <w:rPr>
          <w:rFonts w:ascii="Arial" w:cs="Arial" w:eastAsia="Arial" w:hAnsi="Arial"/>
          <w:sz w:val="16"/>
          <w:szCs w:val="16"/>
          <w:u w:val="single" w:color="auto"/>
          <w:color w:val="auto"/>
        </w:rPr>
        <w:t>Replacement of Seller Guarantee</w:t>
      </w:r>
      <w:r>
        <w:rPr>
          <w:rFonts w:ascii="Arial" w:cs="Arial" w:eastAsia="Arial" w:hAnsi="Arial"/>
          <w:sz w:val="16"/>
          <w:szCs w:val="16"/>
          <w:color w:val="auto"/>
        </w:rPr>
        <w:t>. Promptly following the Closing but in any event within fifteen</w:t>
      </w:r>
    </w:p>
    <w:p>
      <w:pPr>
        <w:spacing w:after="0" w:line="23" w:lineRule="exact"/>
        <w:rPr>
          <w:sz w:val="20"/>
          <w:szCs w:val="20"/>
          <w:color w:val="auto"/>
        </w:rPr>
      </w:pPr>
    </w:p>
    <w:p>
      <w:pPr>
        <w:ind w:right="80" w:firstLine="9"/>
        <w:spacing w:after="0" w:line="323" w:lineRule="auto"/>
        <w:tabs>
          <w:tab w:leader="none" w:pos="34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Business Days after the Closing Date, the Purchaser shall provide guarantee that are sufficient to replace the Seller Guarantee, such that the Seller Guarantee may be unconditionally released within fifteen (15) Business Days after the Closing Date.</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5" w:right="103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to Closing</w:t>
      </w:r>
    </w:p>
    <w:p>
      <w:pPr>
        <w:spacing w:after="0" w:line="225"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Precedent to Obligations of Each Party</w:t>
      </w:r>
      <w:r>
        <w:rPr>
          <w:rFonts w:ascii="Arial" w:cs="Arial" w:eastAsia="Arial" w:hAnsi="Arial"/>
          <w:sz w:val="18"/>
          <w:szCs w:val="18"/>
          <w:color w:val="auto"/>
        </w:rPr>
        <w:t>. The respective obligation of each Party to consummate the transactions contemplated by this Agreement is subject to the fulfillment, on or prior to the Closing Date, of each of the following conditions (any or all of which may be waived by such Party, in its sole discretion, in whole or in part to the extent permitted by applicable Law):</w:t>
      </w:r>
    </w:p>
    <w:p>
      <w:pPr>
        <w:spacing w:after="0" w:line="187" w:lineRule="exact"/>
        <w:rPr>
          <w:sz w:val="20"/>
          <w:szCs w:val="20"/>
          <w:color w:val="auto"/>
        </w:rPr>
      </w:pPr>
    </w:p>
    <w:p>
      <w:pPr>
        <w:ind w:left="660" w:right="200" w:firstLine="1293"/>
        <w:spacing w:after="0" w:line="342" w:lineRule="auto"/>
        <w:tabs>
          <w:tab w:leader="none" w:pos="261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there shall not be in effect any Law or Order by a Government Authority of competent jurisdiction restraining, enjoining or otherwise prohibiting the consummation of the transactions contemplated hereby; and</w:t>
      </w:r>
    </w:p>
    <w:p>
      <w:pPr>
        <w:spacing w:after="0" w:line="123" w:lineRule="exact"/>
        <w:rPr>
          <w:rFonts w:ascii="Arial" w:cs="Arial" w:eastAsia="Arial" w:hAnsi="Arial"/>
          <w:sz w:val="16"/>
          <w:szCs w:val="16"/>
          <w:color w:val="auto"/>
        </w:rPr>
      </w:pPr>
    </w:p>
    <w:p>
      <w:pPr>
        <w:jc w:val="both"/>
        <w:ind w:left="660" w:right="240" w:firstLine="1293"/>
        <w:spacing w:after="0" w:line="301" w:lineRule="auto"/>
        <w:tabs>
          <w:tab w:leader="none" w:pos="2629"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no Legal Proceeding shall have been commenced by or before any Government Authority against any Party hereto seeking to restrain or materially and adversely alter the transactions contemplated by this Agreement which would render it impossible or unlawful to consummate such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provisions of this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shall not apply if such Party has directly or indirectly solicited or encouraged any such Legal Proceeding.</w:t>
      </w:r>
    </w:p>
    <w:p>
      <w:pPr>
        <w:spacing w:after="0" w:line="157" w:lineRule="exact"/>
        <w:rPr>
          <w:sz w:val="20"/>
          <w:szCs w:val="20"/>
          <w:color w:val="auto"/>
        </w:rPr>
      </w:pPr>
    </w:p>
    <w:p>
      <w:pPr>
        <w:ind w:right="60" w:firstLine="1296"/>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Precedent to Obligations of the Purchaser</w:t>
      </w:r>
      <w:r>
        <w:rPr>
          <w:rFonts w:ascii="Arial" w:cs="Arial" w:eastAsia="Arial" w:hAnsi="Arial"/>
          <w:sz w:val="18"/>
          <w:szCs w:val="18"/>
          <w:color w:val="auto"/>
        </w:rPr>
        <w:t>. The obligation of the Purchaser to consummate the transactions contemplated by this Agreement is subject to the fulfillment, on or prior to the Closing Date, of each of the following conditions (any or all of which may be waived by the Purchaser, in its sole discretion, in whole or in part to the extent permitted by applicable Law):</w:t>
      </w:r>
    </w:p>
    <w:p>
      <w:pPr>
        <w:spacing w:after="0" w:line="187" w:lineRule="exact"/>
        <w:rPr>
          <w:sz w:val="20"/>
          <w:szCs w:val="20"/>
          <w:color w:val="auto"/>
        </w:rPr>
      </w:pPr>
    </w:p>
    <w:p>
      <w:pPr>
        <w:ind w:left="660" w:firstLine="1293"/>
        <w:spacing w:after="0" w:line="268" w:lineRule="auto"/>
        <w:tabs>
          <w:tab w:leader="none" w:pos="2619"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(i) the representations and warranties set forth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(the foregoing representations and warranties, collectively, the “</w:t>
      </w:r>
      <w:r>
        <w:rPr>
          <w:rFonts w:ascii="Arial" w:cs="Arial" w:eastAsia="Arial" w:hAnsi="Arial"/>
          <w:sz w:val="17"/>
          <w:szCs w:val="17"/>
          <w:u w:val="single" w:color="auto"/>
          <w:color w:val="auto"/>
        </w:rPr>
        <w:t>Company Fundamental Warranties</w:t>
      </w:r>
      <w:r>
        <w:rPr>
          <w:rFonts w:ascii="Arial" w:cs="Arial" w:eastAsia="Arial" w:hAnsi="Arial"/>
          <w:sz w:val="17"/>
          <w:szCs w:val="17"/>
          <w:color w:val="auto"/>
        </w:rPr>
        <w:t xml:space="preserve">”) and the representations and warranties set forth in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(the foregoing representations and warranties, collectively, the “</w:t>
      </w:r>
      <w:r>
        <w:rPr>
          <w:rFonts w:ascii="Arial" w:cs="Arial" w:eastAsia="Arial" w:hAnsi="Arial"/>
          <w:sz w:val="17"/>
          <w:szCs w:val="17"/>
          <w:u w:val="single" w:color="auto"/>
          <w:color w:val="auto"/>
        </w:rPr>
        <w:t>Warrantor Fundamental Warranties</w:t>
      </w:r>
      <w:r>
        <w:rPr>
          <w:rFonts w:ascii="Arial" w:cs="Arial" w:eastAsia="Arial" w:hAnsi="Arial"/>
          <w:sz w:val="17"/>
          <w:szCs w:val="17"/>
          <w:color w:val="auto"/>
        </w:rPr>
        <w:t xml:space="preserve">”) shall be true and correct in all respects, in each case, as of the date of this Agreement and as of the Closing as though made at and as of the Closing, except to the extent such representations and warranties expressly speak as of another date (in which case such representations and warranties shall be true and correct in all respects as of such other date as though made at and as of such other date), and (ii) the representations and warranties with respect to the Group Companies and/or the Warrantors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the representations and warranties enumerated in </w:t>
      </w:r>
      <w:r>
        <w:rPr>
          <w:rFonts w:ascii="Arial" w:cs="Arial" w:eastAsia="Arial" w:hAnsi="Arial"/>
          <w:sz w:val="17"/>
          <w:szCs w:val="17"/>
          <w:u w:val="single" w:color="auto"/>
          <w:color w:val="auto"/>
        </w:rPr>
        <w:t>Section 7.2(a)(i)</w:t>
      </w:r>
      <w:r>
        <w:rPr>
          <w:rFonts w:ascii="Arial" w:cs="Arial" w:eastAsia="Arial" w:hAnsi="Arial"/>
          <w:sz w:val="17"/>
          <w:szCs w:val="17"/>
          <w:color w:val="auto"/>
        </w:rPr>
        <w:t>) (A) that are not qualified by “materiality”, “Material Adverse Effect” or similar qualifiers shall be true and correct in all material respects, in each case, as of the date of this Agreement and as of the Closing, as though made at and as of the Closing, and (B) that are qualified by “materiality”, “Material Adverse Effect” or similar qualifiers shall be true and correct in all respects, in each case, as of the date of this Agreement and as of the Closing, as though made at and as of the Closing, in each case of (A) and (B), other than such representations and warranties that relate to another date (in which case such representations and warranties shall be true and correct in all respects as of such other date as though made as of such other date);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2" w:name="page363"/>
    <w:bookmarkEnd w:id="362"/>
    <w:p>
      <w:pPr>
        <w:ind w:left="660" w:right="80" w:firstLine="1293"/>
        <w:spacing w:after="0" w:line="263" w:lineRule="auto"/>
        <w:tabs>
          <w:tab w:leader="none" w:pos="262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and the Warrantors shall have performed and complied with, in all material respects, each of the obligations and agreements required by this Agreement to be performed or complied with by them on or prior to the Closing Date;</w:t>
      </w:r>
    </w:p>
    <w:p>
      <w:pPr>
        <w:spacing w:after="0" w:line="183" w:lineRule="exact"/>
        <w:rPr>
          <w:rFonts w:ascii="Arial" w:cs="Arial" w:eastAsia="Arial" w:hAnsi="Arial"/>
          <w:sz w:val="18"/>
          <w:szCs w:val="18"/>
          <w:color w:val="auto"/>
        </w:rPr>
      </w:pPr>
    </w:p>
    <w:p>
      <w:pPr>
        <w:ind w:left="660" w:right="400" w:firstLine="1293"/>
        <w:spacing w:after="0" w:line="263" w:lineRule="auto"/>
        <w:tabs>
          <w:tab w:leader="none" w:pos="261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since the Balance Sheet Date there shall not have been or occurred any change, circumstance, condition, event or effect that, individually or in the aggregate, has had or would reasonably be expected to have a Material Adverse Effect;</w:t>
      </w:r>
    </w:p>
    <w:p>
      <w:pPr>
        <w:spacing w:after="0" w:line="183" w:lineRule="exact"/>
        <w:rPr>
          <w:rFonts w:ascii="Arial" w:cs="Arial" w:eastAsia="Arial" w:hAnsi="Arial"/>
          <w:sz w:val="18"/>
          <w:szCs w:val="18"/>
          <w:color w:val="auto"/>
        </w:rPr>
      </w:pPr>
    </w:p>
    <w:p>
      <w:pPr>
        <w:ind w:left="660" w:firstLine="1293"/>
        <w:spacing w:after="0" w:line="263" w:lineRule="auto"/>
        <w:tabs>
          <w:tab w:leader="none" w:pos="262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each of the Transaction Documents (excluding the NetEase Agreements, the Non-compete Undertakings and the Waiver Letters) shall have been duly executed by all of the parties thereto (other than the Purchaser and its Affiliates) and delivered to the Purchaser;</w:t>
      </w:r>
    </w:p>
    <w:p>
      <w:pPr>
        <w:spacing w:after="0" w:line="183" w:lineRule="exact"/>
        <w:rPr>
          <w:rFonts w:ascii="Arial" w:cs="Arial" w:eastAsia="Arial" w:hAnsi="Arial"/>
          <w:sz w:val="18"/>
          <w:szCs w:val="18"/>
          <w:color w:val="auto"/>
        </w:rPr>
      </w:pPr>
    </w:p>
    <w:p>
      <w:pPr>
        <w:ind w:left="660" w:firstLine="1293"/>
        <w:spacing w:after="0" w:line="301" w:lineRule="auto"/>
        <w:tabs>
          <w:tab w:leader="none" w:pos="2619" w:val="left"/>
        </w:tabs>
        <w:numPr>
          <w:ilvl w:val="0"/>
          <w:numId w:val="278"/>
        </w:numPr>
        <w:rPr>
          <w:rFonts w:ascii="Arial" w:cs="Arial" w:eastAsia="Arial" w:hAnsi="Arial"/>
          <w:sz w:val="16"/>
          <w:szCs w:val="16"/>
          <w:color w:val="auto"/>
        </w:rPr>
      </w:pPr>
      <w:r>
        <w:rPr>
          <w:rFonts w:ascii="Arial" w:cs="Arial" w:eastAsia="Arial" w:hAnsi="Arial"/>
          <w:sz w:val="16"/>
          <w:szCs w:val="16"/>
          <w:color w:val="auto"/>
        </w:rPr>
        <w:t>each of the Warrantors or their respective Affiliates to whom any Indebtedness is owed by any Group Company as of the date hereof shall have entered into a letter agreement with each relevant Group Company in form and substance satisfactory to the Purchaser, which shall specify the details of such Indebtedness including the outstanding principal, interest amount and payment schedule and copies of each such letter agreement shall have been delivered to the Purchaser;</w:t>
      </w:r>
    </w:p>
    <w:p>
      <w:pPr>
        <w:spacing w:after="0" w:line="157" w:lineRule="exact"/>
        <w:rPr>
          <w:rFonts w:ascii="Arial" w:cs="Arial" w:eastAsia="Arial" w:hAnsi="Arial"/>
          <w:sz w:val="16"/>
          <w:szCs w:val="16"/>
          <w:color w:val="auto"/>
        </w:rPr>
      </w:pPr>
    </w:p>
    <w:p>
      <w:pPr>
        <w:ind w:left="660" w:right="80" w:firstLine="1293"/>
        <w:spacing w:after="0" w:line="263" w:lineRule="auto"/>
        <w:tabs>
          <w:tab w:leader="none" w:pos="259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shall have delivered to the Purchaser a legal opinion from each of the Cayman Islands, Hong Kong and PRC counsel for the Company, dated as of the Closing Date, in form and substance satisfactory to the Purchaser; and</w:t>
      </w:r>
    </w:p>
    <w:p>
      <w:pPr>
        <w:spacing w:after="0" w:line="183" w:lineRule="exact"/>
        <w:rPr>
          <w:rFonts w:ascii="Arial" w:cs="Arial" w:eastAsia="Arial" w:hAnsi="Arial"/>
          <w:sz w:val="18"/>
          <w:szCs w:val="18"/>
          <w:color w:val="auto"/>
        </w:rPr>
      </w:pPr>
    </w:p>
    <w:p>
      <w:pPr>
        <w:ind w:left="660" w:right="160" w:firstLine="1293"/>
        <w:spacing w:after="0" w:line="274" w:lineRule="auto"/>
        <w:tabs>
          <w:tab w:leader="none" w:pos="2629" w:val="left"/>
        </w:tabs>
        <w:numPr>
          <w:ilvl w:val="0"/>
          <w:numId w:val="278"/>
        </w:numPr>
        <w:rPr>
          <w:rFonts w:ascii="Arial" w:cs="Arial" w:eastAsia="Arial" w:hAnsi="Arial"/>
          <w:sz w:val="17"/>
          <w:szCs w:val="17"/>
          <w:color w:val="auto"/>
        </w:rPr>
      </w:pPr>
      <w:r>
        <w:rPr>
          <w:rFonts w:ascii="Arial" w:cs="Arial" w:eastAsia="Arial" w:hAnsi="Arial"/>
          <w:sz w:val="17"/>
          <w:szCs w:val="17"/>
          <w:color w:val="auto"/>
        </w:rPr>
        <w:t>the Purchaser shall have received a certificate signed by a director or executive officer of the Seller and an executive officer of the Company, dated the Closing Date, certifying that each of the conditions set forth in</w:t>
      </w:r>
    </w:p>
    <w:p>
      <w:pPr>
        <w:ind w:left="660"/>
        <w:spacing w:after="0"/>
        <w:rPr>
          <w:rFonts w:ascii="Arial" w:cs="Arial" w:eastAsia="Arial" w:hAnsi="Arial"/>
          <w:sz w:val="17"/>
          <w:szCs w:val="17"/>
          <w:color w:val="auto"/>
        </w:rPr>
      </w:pP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have been satisfied.</w:t>
      </w:r>
    </w:p>
    <w:p>
      <w:pPr>
        <w:spacing w:after="0" w:line="211" w:lineRule="exact"/>
        <w:rPr>
          <w:sz w:val="20"/>
          <w:szCs w:val="20"/>
          <w:color w:val="auto"/>
        </w:rPr>
      </w:pPr>
    </w:p>
    <w:p>
      <w:pPr>
        <w:ind w:right="300" w:firstLine="1296"/>
        <w:spacing w:after="0" w:line="259"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Precedent to Obligations of the Seller</w:t>
      </w:r>
      <w:r>
        <w:rPr>
          <w:rFonts w:ascii="Arial" w:cs="Arial" w:eastAsia="Arial" w:hAnsi="Arial"/>
          <w:sz w:val="18"/>
          <w:szCs w:val="18"/>
          <w:color w:val="auto"/>
        </w:rPr>
        <w:t>. The obligation of the Seller to consummate the transactions contemplated by this Agreement is subject to the fulfillment, prior to or on the Closing Date, of each of the following conditions (any or all of which may be waived by the Seller, in its sole discretion, in whole or in part to the extent permitted by applicable Law):</w:t>
      </w:r>
    </w:p>
    <w:p>
      <w:pPr>
        <w:spacing w:after="0" w:line="187" w:lineRule="exact"/>
        <w:rPr>
          <w:sz w:val="20"/>
          <w:szCs w:val="20"/>
          <w:color w:val="auto"/>
        </w:rPr>
      </w:pPr>
    </w:p>
    <w:p>
      <w:pPr>
        <w:ind w:left="660" w:right="280" w:firstLine="1293"/>
        <w:spacing w:after="0" w:line="277" w:lineRule="auto"/>
        <w:tabs>
          <w:tab w:leader="none" w:pos="261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true and correct in all respects when made and as of the Closing with the same force and effect as if made as of the Closing; and</w:t>
      </w:r>
    </w:p>
    <w:p>
      <w:pPr>
        <w:spacing w:after="0" w:line="170" w:lineRule="exact"/>
        <w:rPr>
          <w:rFonts w:ascii="Arial" w:cs="Arial" w:eastAsia="Arial" w:hAnsi="Arial"/>
          <w:sz w:val="18"/>
          <w:szCs w:val="18"/>
          <w:color w:val="auto"/>
        </w:rPr>
      </w:pPr>
    </w:p>
    <w:p>
      <w:pPr>
        <w:ind w:left="660" w:right="300" w:firstLine="1293"/>
        <w:spacing w:after="0" w:line="263" w:lineRule="auto"/>
        <w:tabs>
          <w:tab w:leader="none" w:pos="2629"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Purchaser shall have performed and complied with, in all material respects, each of the obligations and agreements required by this Agreement to be performed or complied with by the Purchaser on or prior to the Closing Date.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Termination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63" w:name="page364"/>
    <w:bookmarkEnd w:id="363"/>
    <w:p>
      <w:pPr>
        <w:ind w:left="1300"/>
        <w:spacing w:after="0"/>
        <w:tabs>
          <w:tab w:leader="none" w:pos="254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may be terminated at any time prior to the Closing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140" w:firstLine="1293"/>
        <w:spacing w:after="0" w:line="255" w:lineRule="auto"/>
        <w:tabs>
          <w:tab w:leader="none" w:pos="26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 xml:space="preserve">by the Purchaser if there has been any breach of any representation or warranty set forth in this Agreement or failure to perform any covenant or agreement set forth in this Agreement on the part of the Company or any Warrantor, which breach or failure to perform would cause any of the conditions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not to be satisfied on or before the Long Stop Date and such breach or failure to perform cannot be cured, or if curable, is not cured within ten (10) days after written notice of such breach or failure to perform is given to the Company or such Warrantor by the Purchaser;</w:t>
      </w:r>
    </w:p>
    <w:p>
      <w:pPr>
        <w:spacing w:after="0" w:line="192" w:lineRule="exact"/>
        <w:rPr>
          <w:rFonts w:ascii="Arial" w:cs="Arial" w:eastAsia="Arial" w:hAnsi="Arial"/>
          <w:sz w:val="18"/>
          <w:szCs w:val="18"/>
          <w:color w:val="auto"/>
        </w:rPr>
      </w:pPr>
    </w:p>
    <w:p>
      <w:pPr>
        <w:ind w:left="660" w:right="40" w:firstLine="1293"/>
        <w:spacing w:after="0" w:line="275" w:lineRule="auto"/>
        <w:tabs>
          <w:tab w:leader="none" w:pos="2629"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by the Seller if there has been any breach of any representation or warranty set forth in this Agreement or failure to perform any covenant or agreement set forth in this Agreement on the part of the Purchaser, which breach or failure to perform would cause any of the conditions set forth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not to be satisfied on or before the Long Stop Date and such breach or failure to perform cannot be cured, or if curable, is not cured within ten (10) days after written notice of such breach or failure to perform is given to the Purchaser by the Seller;</w:t>
      </w:r>
    </w:p>
    <w:p>
      <w:pPr>
        <w:spacing w:after="0" w:line="176" w:lineRule="exact"/>
        <w:rPr>
          <w:rFonts w:ascii="Arial" w:cs="Arial" w:eastAsia="Arial" w:hAnsi="Arial"/>
          <w:sz w:val="17"/>
          <w:szCs w:val="17"/>
          <w:color w:val="auto"/>
        </w:rPr>
      </w:pPr>
    </w:p>
    <w:p>
      <w:pPr>
        <w:jc w:val="both"/>
        <w:ind w:left="660" w:firstLine="1293"/>
        <w:spacing w:after="0" w:line="301" w:lineRule="auto"/>
        <w:tabs>
          <w:tab w:leader="none" w:pos="2619"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by the Purchaser on or after the Long Stop Date, if the Closing shall not have occurred by the close of business on the Long Stop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 to terminate this Agreement pursuant to this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shall not be available to the Purchaser if its breach of any representation or warranty or failure to perform any of its obligations under this Agreement shall have resulted in the failure of the Closing to be consummated by the Long Stop Date;</w:t>
      </w:r>
    </w:p>
    <w:p>
      <w:pPr>
        <w:spacing w:after="0" w:line="157" w:lineRule="exact"/>
        <w:rPr>
          <w:rFonts w:ascii="Arial" w:cs="Arial" w:eastAsia="Arial" w:hAnsi="Arial"/>
          <w:sz w:val="16"/>
          <w:szCs w:val="16"/>
          <w:color w:val="auto"/>
        </w:rPr>
      </w:pPr>
    </w:p>
    <w:p>
      <w:pPr>
        <w:ind w:left="660" w:right="20" w:firstLine="1293"/>
        <w:spacing w:after="0" w:line="275" w:lineRule="auto"/>
        <w:tabs>
          <w:tab w:leader="none" w:pos="2629"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by the Seller on or after the Long Stop Date, if the Closing shall not have occurred by the close of business on the Long Stop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the Seller if the breach of any representation or warranty by any Warrantor or the Company, or the failure by any Warrantor or the Company to perform any of their respective obligations under this Agreement, shall have resulted in the failure of the Closing to be consummated by the Long Stop Date; or</w:t>
      </w:r>
    </w:p>
    <w:p>
      <w:pPr>
        <w:spacing w:after="0" w:line="176" w:lineRule="exact"/>
        <w:rPr>
          <w:rFonts w:ascii="Arial" w:cs="Arial" w:eastAsia="Arial" w:hAnsi="Arial"/>
          <w:sz w:val="17"/>
          <w:szCs w:val="17"/>
          <w:color w:val="auto"/>
        </w:rPr>
      </w:pPr>
    </w:p>
    <w:p>
      <w:pPr>
        <w:ind w:left="2620" w:hanging="667"/>
        <w:spacing w:after="0"/>
        <w:tabs>
          <w:tab w:leader="none" w:pos="26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by mutual written consent of the Seller and the Purchaser.</w:t>
      </w:r>
    </w:p>
    <w:p>
      <w:pPr>
        <w:spacing w:after="0" w:line="225" w:lineRule="exact"/>
        <w:rPr>
          <w:sz w:val="20"/>
          <w:szCs w:val="20"/>
          <w:color w:val="auto"/>
        </w:rPr>
      </w:pPr>
    </w:p>
    <w:p>
      <w:pPr>
        <w:ind w:right="20" w:firstLine="1296"/>
        <w:spacing w:after="0" w:line="263"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Procedure Upon Termination</w:t>
      </w:r>
      <w:r>
        <w:rPr>
          <w:rFonts w:ascii="Arial" w:cs="Arial" w:eastAsia="Arial" w:hAnsi="Arial"/>
          <w:sz w:val="18"/>
          <w:szCs w:val="18"/>
          <w:color w:val="auto"/>
        </w:rPr>
        <w:t xml:space="preserve">. In the event of termination by the Purchaser or the Seller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written notice of such termination shall forthwith be given to the other Parties, and this Agreement shall thereupon terminate without further action by any Party.</w:t>
      </w:r>
    </w:p>
    <w:p>
      <w:pPr>
        <w:spacing w:after="0" w:line="184" w:lineRule="exact"/>
        <w:rPr>
          <w:sz w:val="20"/>
          <w:szCs w:val="20"/>
          <w:color w:val="auto"/>
        </w:rPr>
      </w:pPr>
    </w:p>
    <w:p>
      <w:pPr>
        <w:ind w:right="20" w:firstLine="1296"/>
        <w:spacing w:after="0" w:line="255"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Reversal of Certain Steps upon Termination</w:t>
      </w:r>
      <w:r>
        <w:rPr>
          <w:rFonts w:ascii="Arial" w:cs="Arial" w:eastAsia="Arial" w:hAnsi="Arial"/>
          <w:sz w:val="18"/>
          <w:szCs w:val="18"/>
          <w:color w:val="auto"/>
        </w:rPr>
        <w:t xml:space="preserve">. In the event that this Agreement is validly terminated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and some or all of the actions with respect to the Onshore Equity Transfers have been completed, the Purchaser, the Company and the Warrantors shall promptly (and in any event within twenty (20) Business Days thereafter) take all actions necessary to reverse and unwind such completed actions, including (i) the full refund of any and all Onshore Purchase Price (without any offset, deduction or withholding) that has been paid by, on behalf of or at the direction of the Purchaser and procuring the applicable Group Company to reimburse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4" w:name="page365"/>
    <w:bookmarkEnd w:id="364"/>
    <w:p>
      <w:pPr>
        <w:ind w:right="200"/>
        <w:spacing w:after="0" w:line="308" w:lineRule="auto"/>
        <w:rPr>
          <w:sz w:val="20"/>
          <w:szCs w:val="20"/>
          <w:color w:val="auto"/>
        </w:rPr>
      </w:pPr>
      <w:r>
        <w:rPr>
          <w:rFonts w:ascii="Arial" w:cs="Arial" w:eastAsia="Arial" w:hAnsi="Arial"/>
          <w:sz w:val="17"/>
          <w:szCs w:val="17"/>
          <w:color w:val="auto"/>
        </w:rPr>
        <w:t>applicable Affiliate of the Purchaser for any and all Taxes that may have been paid in connection therewith, and (ii) the reversal of any equity transfer that may have been completed in connection with the Onshore Equity Transfers prior to such termination.</w:t>
      </w:r>
    </w:p>
    <w:p>
      <w:pPr>
        <w:spacing w:after="0" w:line="146" w:lineRule="exact"/>
        <w:rPr>
          <w:sz w:val="20"/>
          <w:szCs w:val="20"/>
          <w:color w:val="auto"/>
        </w:rPr>
      </w:pPr>
    </w:p>
    <w:p>
      <w:pPr>
        <w:ind w:right="80" w:firstLine="1296"/>
        <w:spacing w:after="0" w:line="255"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that this Agreement is validly terminated in accordance with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each of the Parties shall be relieved of their duties and obligations arising under this Agreement after the date of such termination and such termination shall be without liability to any Party; provided, that no such termination shall relieve any Party hereto from liability for a breach of any of its covenants or agreements or its representations and warranties contained in this Agreement prior to such termination, and provided, further, that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survive any such termination.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661"/>
        <w:spacing w:after="0" w:line="285"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Survival of Representations, Warranties and Covenants</w:t>
      </w:r>
      <w:r>
        <w:rPr>
          <w:rFonts w:ascii="Arial" w:cs="Arial" w:eastAsia="Arial" w:hAnsi="Arial"/>
          <w:sz w:val="16"/>
          <w:szCs w:val="16"/>
          <w:color w:val="auto"/>
        </w:rPr>
        <w:t xml:space="preserve">. The representations, warranties and covenants of the Company and the Warrantors contained in this Agreement and any certificate delivered by the Company or the Warrantors pursuant to this Agreement shall survive the Closing until the date that is twenty-four (24) months following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the Company Fundamental Warranties and the Warrantor Fundamental Warranties shall survive the Closing indefinitely, and the representations and warranties set forth in </w:t>
      </w:r>
      <w:r>
        <w:rPr>
          <w:rFonts w:ascii="Arial" w:cs="Arial" w:eastAsia="Arial" w:hAnsi="Arial"/>
          <w:sz w:val="16"/>
          <w:szCs w:val="16"/>
          <w:u w:val="single" w:color="auto"/>
          <w:color w:val="auto"/>
        </w:rPr>
        <w:t>Section 3.13</w:t>
      </w:r>
      <w:r>
        <w:rPr>
          <w:rFonts w:ascii="Arial" w:cs="Arial" w:eastAsia="Arial" w:hAnsi="Arial"/>
          <w:sz w:val="16"/>
          <w:szCs w:val="16"/>
          <w:color w:val="auto"/>
        </w:rPr>
        <w:t xml:space="preserve"> (Taxes) shall survive the Closing until the lapse of the statute of limitation. Notwithstanding the foregoing, the covenants or other agreements of the Company and/or the Warrantors contained in this Agreement (other than those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(Tax Filings and Payments), which shall survive the Closing until lapse of the statute of limitation) that by their terms are to be performed after the Closing shall survive the Closing in accordance with their terms for the time period contemplated for performance or, if no time period for performance is contemplated, for a period of twenty-four (24) months following the Closing, unless and only to the extent that non-compliance with such covenants or agreements is waived in writing by the Purchaser. If written notice of a claim for indemnification has been given in accordance with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prior to the expiration of the applicable representations, warranties or covenants, then the relevant representations, warranties or covenants shall survive as to such claim, until such claim has been finally resolved. The rights of the Purchaser to indemnification or any other remedy under this Agreement shall not be impacted or limited by any knowledge that the Purchaser may have acquired, or could have acquired, at any time whether before or after the execution and delivery of this Agreement or the Closing Date, nor by any investigation or diligence by the Purchaser. The Warrantors hereby acknowledge that, regardless of any investigation made (or not made) by or on behalf of the Purchaser, and regardless of the results of any such investigation, the Purchaser has entered into the transactions contemplated by this Agreement in express reliance upon the representations and warranties of the Warrantors made in this Agreement.</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9.2</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left="660" w:right="140" w:firstLine="1293"/>
        <w:spacing w:after="0" w:line="263" w:lineRule="auto"/>
        <w:tabs>
          <w:tab w:leader="none" w:pos="2633"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Indemnification by Warrantors</w:t>
      </w:r>
      <w:r>
        <w:rPr>
          <w:rFonts w:ascii="Arial" w:cs="Arial" w:eastAsia="Arial" w:hAnsi="Arial"/>
          <w:sz w:val="18"/>
          <w:szCs w:val="18"/>
          <w:color w:val="auto"/>
        </w:rPr>
        <w:t>. From and after the Closing, each of the Warrantors shall, severally and jointly, indemnify, defend and hold harmless the Purchaser and its Affiliates (including, for the avoidance of doubt, the Group Companies from and after the Closing) and their respective officers, directors,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65" w:name="page366"/>
    <w:bookmarkEnd w:id="365"/>
    <w:p>
      <w:pPr>
        <w:ind w:left="200" w:right="80"/>
        <w:spacing w:after="0" w:line="257" w:lineRule="auto"/>
        <w:rPr>
          <w:sz w:val="20"/>
          <w:szCs w:val="20"/>
          <w:color w:val="auto"/>
        </w:rPr>
      </w:pPr>
      <w:r>
        <w:rPr>
          <w:rFonts w:ascii="Arial" w:cs="Arial" w:eastAsia="Arial" w:hAnsi="Arial"/>
          <w:sz w:val="18"/>
          <w:szCs w:val="18"/>
          <w:color w:val="auto"/>
        </w:rPr>
        <w:t>employees, stockholders, agents, attorneys, successors and assigns (collectively, the “</w:t>
      </w:r>
      <w:r>
        <w:rPr>
          <w:rFonts w:ascii="Arial" w:cs="Arial" w:eastAsia="Arial" w:hAnsi="Arial"/>
          <w:sz w:val="18"/>
          <w:szCs w:val="18"/>
          <w:u w:val="single" w:color="auto"/>
          <w:color w:val="auto"/>
        </w:rPr>
        <w:t>Purchaser Indemnitees</w:t>
      </w:r>
      <w:r>
        <w:rPr>
          <w:rFonts w:ascii="Arial" w:cs="Arial" w:eastAsia="Arial" w:hAnsi="Arial"/>
          <w:sz w:val="18"/>
          <w:szCs w:val="18"/>
          <w:color w:val="auto"/>
        </w:rPr>
        <w:t>”) from and against all Liabilities, losses, damages, claims, costs and expenses (including reasonable attorneys’ fees and expenses incurred in connection with the investigation or defense of any of the same or in responding to or cooperating with any governmental investigation), interest, awards, judgments, fines and penalties suffered or incurred by the Purchaser Indemnitees (hereinafter “</w:t>
      </w:r>
      <w:r>
        <w:rPr>
          <w:rFonts w:ascii="Arial" w:cs="Arial" w:eastAsia="Arial" w:hAnsi="Arial"/>
          <w:sz w:val="18"/>
          <w:szCs w:val="18"/>
          <w:u w:val="single" w:color="auto"/>
          <w:color w:val="auto"/>
        </w:rPr>
        <w:t>Losses</w:t>
      </w:r>
      <w:r>
        <w:rPr>
          <w:rFonts w:ascii="Arial" w:cs="Arial" w:eastAsia="Arial" w:hAnsi="Arial"/>
          <w:sz w:val="18"/>
          <w:szCs w:val="18"/>
          <w:color w:val="auto"/>
        </w:rPr>
        <w:t>”) arising out of:</w:t>
      </w:r>
    </w:p>
    <w:p>
      <w:pPr>
        <w:spacing w:after="0" w:line="188" w:lineRule="exact"/>
        <w:rPr>
          <w:sz w:val="20"/>
          <w:szCs w:val="20"/>
          <w:color w:val="auto"/>
        </w:rPr>
      </w:pPr>
    </w:p>
    <w:p>
      <w:pPr>
        <w:ind w:left="840" w:right="60" w:firstLine="1301"/>
        <w:spacing w:after="0" w:line="259" w:lineRule="auto"/>
        <w:tabs>
          <w:tab w:leader="none" w:pos="281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any inaccuracy in or breach of any representation or warranty with respect to the Group Companies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any representation or warranty with respect to the Warrantors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or any other representations, warranties or statements set forth in the other certificates, schedules or other Transaction Documents delivered by or on behalf of any Warrantor hereunder;</w:t>
      </w:r>
    </w:p>
    <w:p>
      <w:pPr>
        <w:spacing w:after="0" w:line="186" w:lineRule="exact"/>
        <w:rPr>
          <w:rFonts w:ascii="Arial" w:cs="Arial" w:eastAsia="Arial" w:hAnsi="Arial"/>
          <w:sz w:val="18"/>
          <w:szCs w:val="18"/>
          <w:color w:val="auto"/>
        </w:rPr>
      </w:pPr>
    </w:p>
    <w:p>
      <w:pPr>
        <w:ind w:left="840" w:right="660" w:firstLine="1301"/>
        <w:spacing w:after="0" w:line="308" w:lineRule="auto"/>
        <w:tabs>
          <w:tab w:leader="none" w:pos="281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any breach or non-fulfillment of any covenant or obligation to be performed by the Company prior to Closing or any Warrantor under this Agreement or any other Transaction Document;</w:t>
      </w:r>
    </w:p>
    <w:p>
      <w:pPr>
        <w:spacing w:after="0" w:line="146" w:lineRule="exact"/>
        <w:rPr>
          <w:rFonts w:ascii="Arial" w:cs="Arial" w:eastAsia="Arial" w:hAnsi="Arial"/>
          <w:sz w:val="17"/>
          <w:szCs w:val="17"/>
          <w:color w:val="auto"/>
        </w:rPr>
      </w:pPr>
    </w:p>
    <w:p>
      <w:pPr>
        <w:ind w:left="840" w:right="120" w:firstLine="1301"/>
        <w:spacing w:after="0" w:line="254" w:lineRule="auto"/>
        <w:tabs>
          <w:tab w:leader="none" w:pos="28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any Tax obligations of the Purchaser, its Affiliates or the Group Companies arising from (any other failure of any Group Company or the Warrantors to properly withhold or pay to any Tax authority amounts required to be withheld or paid by it pursuant to applicable Laws (including, for the avoidance of doubt, any Tax liabilities incurred during the post-Closing winding-up of any Group Company that may be attributed to the Warrantors’ or such Group Company’s actions or inactions prior to the Closing), disregarding, for the purposes of this </w:t>
      </w:r>
      <w:r>
        <w:rPr>
          <w:rFonts w:ascii="Arial" w:cs="Arial" w:eastAsia="Arial" w:hAnsi="Arial"/>
          <w:sz w:val="18"/>
          <w:szCs w:val="18"/>
          <w:u w:val="single" w:color="auto"/>
          <w:color w:val="auto"/>
        </w:rPr>
        <w:t>Section 9.2(a)(iii)</w:t>
      </w:r>
      <w:r>
        <w:rPr>
          <w:rFonts w:ascii="Arial" w:cs="Arial" w:eastAsia="Arial" w:hAnsi="Arial"/>
          <w:sz w:val="18"/>
          <w:szCs w:val="18"/>
          <w:color w:val="auto"/>
        </w:rPr>
        <w:t>, in determining the existence of such failure and the amount of Losses relating thereto, any disclosure contained in the Disclosure Schedule;</w:t>
      </w:r>
    </w:p>
    <w:p>
      <w:pPr>
        <w:spacing w:after="0" w:line="194" w:lineRule="exact"/>
        <w:rPr>
          <w:rFonts w:ascii="Arial" w:cs="Arial" w:eastAsia="Arial" w:hAnsi="Arial"/>
          <w:sz w:val="18"/>
          <w:szCs w:val="18"/>
          <w:color w:val="auto"/>
        </w:rPr>
      </w:pPr>
    </w:p>
    <w:p>
      <w:pPr>
        <w:ind w:left="840" w:firstLine="1301"/>
        <w:spacing w:after="0" w:line="287" w:lineRule="auto"/>
        <w:tabs>
          <w:tab w:leader="none" w:pos="281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any Tax of the Group Companies for all taxable periods ending on or before the Closing Date and the portion of any Straddle Period through the end of the Closing Date, except to the extent that such Taxes are reflected, accrued or reserved for in the Interim Consolidated Financial Statements;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Straddle Period, (A) the amount of any Taxes of the Group Companies based upon or measured by net income or gain which relate to the portion of the Straddle Period through the end of the Closing Date will be determined based on the Closing Statement, and (B) the amount of any other Taxes of the Group Companies which relate to the portion of the Straddle Period through the end of the Closing Date will be determined based on the Closing Statement to the greatest extent possible, and otherwise shall be deemed to be the amount of such Tax for the entire Straddle Period (except to the extent that such Taxes are reflected, accrued or reserved for in the Interim Consolidated Financial Statements) multiplied by a fraction, the numerator of which is the number of days in the portion of the Straddle Period through the end of the Closing Date and the denominator of which is the number of days in such Straddle Period;</w:t>
      </w:r>
    </w:p>
    <w:p>
      <w:pPr>
        <w:spacing w:after="0" w:line="171" w:lineRule="exact"/>
        <w:rPr>
          <w:rFonts w:ascii="Arial" w:cs="Arial" w:eastAsia="Arial" w:hAnsi="Arial"/>
          <w:sz w:val="16"/>
          <w:szCs w:val="16"/>
          <w:color w:val="auto"/>
        </w:rPr>
      </w:pPr>
    </w:p>
    <w:p>
      <w:pPr>
        <w:jc w:val="both"/>
        <w:ind w:left="880" w:right="200" w:firstLine="1261"/>
        <w:spacing w:after="0" w:line="342" w:lineRule="auto"/>
        <w:tabs>
          <w:tab w:leader="none" w:pos="2804" w:val="left"/>
        </w:tabs>
        <w:numPr>
          <w:ilvl w:val="0"/>
          <w:numId w:val="282"/>
        </w:numPr>
        <w:rPr>
          <w:rFonts w:ascii="Arial" w:cs="Arial" w:eastAsia="Arial" w:hAnsi="Arial"/>
          <w:sz w:val="16"/>
          <w:szCs w:val="16"/>
          <w:color w:val="auto"/>
        </w:rPr>
      </w:pPr>
      <w:r>
        <w:rPr>
          <w:rFonts w:ascii="Arial" w:cs="Arial" w:eastAsia="Arial" w:hAnsi="Arial"/>
          <w:sz w:val="16"/>
          <w:szCs w:val="16"/>
          <w:color w:val="auto"/>
        </w:rPr>
        <w:t xml:space="preserve">any inaccuracy in or breach of any representation or warranty set forth in </w:t>
      </w:r>
      <w:r>
        <w:rPr>
          <w:rFonts w:ascii="Arial" w:cs="Arial" w:eastAsia="Arial" w:hAnsi="Arial"/>
          <w:sz w:val="16"/>
          <w:szCs w:val="16"/>
          <w:u w:val="single" w:color="auto"/>
          <w:color w:val="auto"/>
        </w:rPr>
        <w:t>Section 3.11(b)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(including the non-payment or underpayment of social insurance and/or</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66" w:name="page367"/>
    <w:bookmarkEnd w:id="366"/>
    <w:p>
      <w:pPr>
        <w:ind w:left="840"/>
        <w:spacing w:after="0" w:line="263" w:lineRule="auto"/>
        <w:rPr>
          <w:sz w:val="20"/>
          <w:szCs w:val="20"/>
          <w:color w:val="auto"/>
        </w:rPr>
      </w:pPr>
      <w:r>
        <w:rPr>
          <w:rFonts w:ascii="Arial" w:cs="Arial" w:eastAsia="Arial" w:hAnsi="Arial"/>
          <w:sz w:val="18"/>
          <w:szCs w:val="18"/>
          <w:color w:val="auto"/>
        </w:rPr>
        <w:t xml:space="preserve">housing fund contributions prior to the Closing), disregarding, for the purposes of this </w:t>
      </w:r>
      <w:r>
        <w:rPr>
          <w:rFonts w:ascii="Arial" w:cs="Arial" w:eastAsia="Arial" w:hAnsi="Arial"/>
          <w:sz w:val="18"/>
          <w:szCs w:val="18"/>
          <w:u w:val="single" w:color="auto"/>
          <w:color w:val="auto"/>
        </w:rPr>
        <w:t>Section 9.2(a)(v)</w:t>
      </w:r>
      <w:r>
        <w:rPr>
          <w:rFonts w:ascii="Arial" w:cs="Arial" w:eastAsia="Arial" w:hAnsi="Arial"/>
          <w:sz w:val="18"/>
          <w:szCs w:val="18"/>
          <w:color w:val="auto"/>
        </w:rPr>
        <w:t>, in determining the existence of such breach and the amount of Losses relating thereto, any disclosure contained in the Disclosure Schedule;</w:t>
      </w:r>
    </w:p>
    <w:p>
      <w:pPr>
        <w:spacing w:after="0" w:line="184" w:lineRule="exact"/>
        <w:rPr>
          <w:sz w:val="20"/>
          <w:szCs w:val="20"/>
          <w:color w:val="auto"/>
        </w:rPr>
      </w:pPr>
    </w:p>
    <w:p>
      <w:pPr>
        <w:ind w:left="840" w:right="140" w:firstLine="1301"/>
        <w:spacing w:after="0" w:line="257" w:lineRule="auto"/>
        <w:tabs>
          <w:tab w:leader="none" w:pos="281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any and all claims and Legal Proceedings against any Group Company arising out of or in connection with such Group Company’s infringement of any third party’s rights (including without limitation Intellectual Property rights) that occurred or existed within three (3) years prior to the Closing, disregarding, for the purposes of this </w:t>
      </w:r>
      <w:r>
        <w:rPr>
          <w:rFonts w:ascii="Arial" w:cs="Arial" w:eastAsia="Arial" w:hAnsi="Arial"/>
          <w:sz w:val="18"/>
          <w:szCs w:val="18"/>
          <w:u w:val="single" w:color="auto"/>
          <w:color w:val="auto"/>
        </w:rPr>
        <w:t>Section 9.2(a)(vi)</w:t>
      </w:r>
      <w:r>
        <w:rPr>
          <w:rFonts w:ascii="Arial" w:cs="Arial" w:eastAsia="Arial" w:hAnsi="Arial"/>
          <w:sz w:val="18"/>
          <w:szCs w:val="18"/>
          <w:color w:val="auto"/>
        </w:rPr>
        <w:t>, in determining the existence and the amount of Losses relating thereto, any disclosure contained in the Disclosure Schedule; and</w:t>
      </w:r>
    </w:p>
    <w:p>
      <w:pPr>
        <w:spacing w:after="0" w:line="187" w:lineRule="exact"/>
        <w:rPr>
          <w:rFonts w:ascii="Arial" w:cs="Arial" w:eastAsia="Arial" w:hAnsi="Arial"/>
          <w:sz w:val="18"/>
          <w:szCs w:val="18"/>
          <w:color w:val="auto"/>
        </w:rPr>
      </w:pPr>
    </w:p>
    <w:p>
      <w:pPr>
        <w:ind w:left="840" w:right="60" w:firstLine="1301"/>
        <w:spacing w:after="0" w:line="277" w:lineRule="auto"/>
        <w:tabs>
          <w:tab w:leader="none" w:pos="2819" w:val="left"/>
        </w:tabs>
        <w:numPr>
          <w:ilvl w:val="1"/>
          <w:numId w:val="283"/>
        </w:numPr>
        <w:rPr>
          <w:rFonts w:ascii="Arial" w:cs="Arial" w:eastAsia="Arial" w:hAnsi="Arial"/>
          <w:sz w:val="18"/>
          <w:szCs w:val="18"/>
          <w:color w:val="auto"/>
        </w:rPr>
      </w:pPr>
      <w:r>
        <w:rPr>
          <w:rFonts w:ascii="Arial" w:cs="Arial" w:eastAsia="Arial" w:hAnsi="Arial"/>
          <w:sz w:val="18"/>
          <w:szCs w:val="18"/>
          <w:color w:val="auto"/>
        </w:rPr>
        <w:t>failure by certain individuals to fully repay the loan extended by Ningbo Youmai when due in the amount of RMB5,000,000.</w:t>
      </w:r>
    </w:p>
    <w:p>
      <w:pPr>
        <w:spacing w:after="0" w:line="170" w:lineRule="exact"/>
        <w:rPr>
          <w:rFonts w:ascii="Arial" w:cs="Arial" w:eastAsia="Arial" w:hAnsi="Arial"/>
          <w:sz w:val="18"/>
          <w:szCs w:val="18"/>
          <w:color w:val="auto"/>
        </w:rPr>
      </w:pPr>
    </w:p>
    <w:p>
      <w:pPr>
        <w:ind w:left="200" w:right="280" w:firstLine="1293"/>
        <w:spacing w:after="0" w:line="259" w:lineRule="auto"/>
        <w:tabs>
          <w:tab w:leader="none" w:pos="2183"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Indemnification by Purchaser</w:t>
      </w:r>
      <w:r>
        <w:rPr>
          <w:rFonts w:ascii="Arial" w:cs="Arial" w:eastAsia="Arial" w:hAnsi="Arial"/>
          <w:sz w:val="18"/>
          <w:szCs w:val="18"/>
          <w:color w:val="auto"/>
        </w:rPr>
        <w:t>. From and after the Closing, Purchaser shall, severally and jointly, indemnify, defend and hold harmless the Seller and its Affiliates and their respective officers, directors, employees, stockholders, agents, attorneys, successors and assigns (collectively, the “</w:t>
      </w:r>
      <w:r>
        <w:rPr>
          <w:rFonts w:ascii="Arial" w:cs="Arial" w:eastAsia="Arial" w:hAnsi="Arial"/>
          <w:sz w:val="18"/>
          <w:szCs w:val="18"/>
          <w:u w:val="single" w:color="auto"/>
          <w:color w:val="auto"/>
        </w:rPr>
        <w:t>Seller Indemnitees</w:t>
      </w:r>
      <w:r>
        <w:rPr>
          <w:rFonts w:ascii="Arial" w:cs="Arial" w:eastAsia="Arial" w:hAnsi="Arial"/>
          <w:sz w:val="18"/>
          <w:szCs w:val="18"/>
          <w:color w:val="auto"/>
        </w:rPr>
        <w:t>”) from and against all Losses actually suffered or incurred by the Seller Indemnitees arising out of:</w:t>
      </w:r>
    </w:p>
    <w:p>
      <w:pPr>
        <w:spacing w:after="0" w:line="186" w:lineRule="exact"/>
        <w:rPr>
          <w:rFonts w:ascii="Arial" w:cs="Arial" w:eastAsia="Arial" w:hAnsi="Arial"/>
          <w:sz w:val="18"/>
          <w:szCs w:val="18"/>
          <w:color w:val="auto"/>
        </w:rPr>
      </w:pPr>
    </w:p>
    <w:p>
      <w:pPr>
        <w:ind w:left="840" w:right="160" w:firstLine="1301"/>
        <w:spacing w:after="0" w:line="263" w:lineRule="auto"/>
        <w:tabs>
          <w:tab w:leader="none" w:pos="271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 xml:space="preserve">any inaccuracy in or breach of any representation or warranty with respect to the Purchaser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or any other representations, warranties or statements set forth in the other certificates or schedules delivered by or on behalf of the Purchaser hereunder; and</w:t>
      </w:r>
    </w:p>
    <w:p>
      <w:pPr>
        <w:spacing w:after="0" w:line="183" w:lineRule="exact"/>
        <w:rPr>
          <w:rFonts w:ascii="Arial" w:cs="Arial" w:eastAsia="Arial" w:hAnsi="Arial"/>
          <w:sz w:val="18"/>
          <w:szCs w:val="18"/>
          <w:color w:val="auto"/>
        </w:rPr>
      </w:pPr>
    </w:p>
    <w:p>
      <w:pPr>
        <w:ind w:left="2720" w:hanging="579"/>
        <w:spacing w:after="0"/>
        <w:tabs>
          <w:tab w:leader="none" w:pos="272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any breach or non-fulfillment of any covenant or obligation to be performed by the Purchaser</w:t>
      </w:r>
    </w:p>
    <w:p>
      <w:pPr>
        <w:spacing w:after="0" w:line="46" w:lineRule="exact"/>
        <w:rPr>
          <w:rFonts w:ascii="Arial" w:cs="Arial" w:eastAsia="Arial" w:hAnsi="Arial"/>
          <w:sz w:val="16"/>
          <w:szCs w:val="16"/>
          <w:color w:val="auto"/>
        </w:rPr>
      </w:pPr>
    </w:p>
    <w:p>
      <w:pPr>
        <w:ind w:left="840"/>
        <w:spacing w:after="0"/>
        <w:rPr>
          <w:rFonts w:ascii="Arial" w:cs="Arial" w:eastAsia="Arial" w:hAnsi="Arial"/>
          <w:sz w:val="16"/>
          <w:szCs w:val="16"/>
          <w:color w:val="auto"/>
        </w:rPr>
      </w:pPr>
      <w:r>
        <w:rPr>
          <w:rFonts w:ascii="Arial" w:cs="Arial" w:eastAsia="Arial" w:hAnsi="Arial"/>
          <w:sz w:val="18"/>
          <w:szCs w:val="18"/>
          <w:color w:val="auto"/>
        </w:rPr>
        <w:t>under this Agreement.</w:t>
      </w:r>
    </w:p>
    <w:p>
      <w:pPr>
        <w:spacing w:after="0" w:line="210" w:lineRule="exact"/>
        <w:rPr>
          <w:rFonts w:ascii="Arial" w:cs="Arial" w:eastAsia="Arial" w:hAnsi="Arial"/>
          <w:sz w:val="16"/>
          <w:szCs w:val="16"/>
          <w:color w:val="auto"/>
        </w:rPr>
      </w:pPr>
    </w:p>
    <w:p>
      <w:pPr>
        <w:ind w:left="2160" w:hanging="667"/>
        <w:spacing w:after="0"/>
        <w:tabs>
          <w:tab w:leader="none" w:pos="216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Procedures Relating to Indemnification</w:t>
      </w:r>
      <w:r>
        <w:rPr>
          <w:rFonts w:ascii="Arial" w:cs="Arial" w:eastAsia="Arial" w:hAnsi="Arial"/>
          <w:sz w:val="18"/>
          <w:szCs w:val="18"/>
          <w:color w:val="auto"/>
        </w:rPr>
        <w:t>.</w:t>
      </w:r>
    </w:p>
    <w:p>
      <w:pPr>
        <w:spacing w:after="0" w:line="225" w:lineRule="exact"/>
        <w:rPr>
          <w:sz w:val="20"/>
          <w:szCs w:val="20"/>
          <w:color w:val="auto"/>
        </w:rPr>
      </w:pPr>
    </w:p>
    <w:p>
      <w:pPr>
        <w:ind w:left="840" w:firstLine="653"/>
        <w:spacing w:after="0" w:line="287" w:lineRule="auto"/>
        <w:tabs>
          <w:tab w:leader="none" w:pos="209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Any Party seeking indemnification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give the Party from whom indemnification is being sought (an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notice of any matter which such Indemnified Party has determined has given or could reasonably be expected to give rise to a right of indemnification under this Agreement stating in reasonable detail the nature of the claim, the amount of the Losses if known or reasonably ascertainable at the time such claim is made, or if not then reasonably ascertainable, the maximum amount of such claim reasonably estimated by the Indemnified Party and containing a reference to the provisions of this Agreement in respect of which such right of indemnification is claimed or arises;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provide such notice shall not release the Indemnifying Party from any of its obligations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except to the extent the Indemnifying Party is prejudiced by such failure. With respect to any recovery or indemnification sought by an Indemnified Party from the Indemnifying Party that does not involve a Third Party Claim, if the Indemnifying Party does not notify the Indemnified Party within thirty (30) days from its receipt of the notice from the Indemnified Party that the Indemnifying Party disputes such claim, the</w:t>
      </w:r>
    </w:p>
    <w:p>
      <w:pPr>
        <w:spacing w:after="0" w:line="38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40"/>
          </w:cols>
          <w:pgMar w:left="1440" w:top="125" w:right="1019" w:bottom="1440" w:gutter="0" w:footer="0" w:header="0"/>
        </w:sectPr>
      </w:pPr>
    </w:p>
    <w:bookmarkStart w:id="367" w:name="page368"/>
    <w:bookmarkEnd w:id="367"/>
    <w:p>
      <w:pPr>
        <w:ind w:left="840" w:right="140"/>
        <w:spacing w:after="0" w:line="293" w:lineRule="auto"/>
        <w:rPr>
          <w:sz w:val="20"/>
          <w:szCs w:val="20"/>
          <w:color w:val="auto"/>
        </w:rPr>
      </w:pPr>
      <w:r>
        <w:rPr>
          <w:rFonts w:ascii="Arial" w:cs="Arial" w:eastAsia="Arial" w:hAnsi="Arial"/>
          <w:sz w:val="16"/>
          <w:szCs w:val="16"/>
          <w:color w:val="auto"/>
        </w:rPr>
        <w:t xml:space="preserve">Indemnifying Party shall be deemed to have disputed such claim. If the Indemnifying Party has disputed (or been deemed to have disputed) a claim for indemnification (including any Third Party Claim), the Indemnifying Party and the Indemnified Party shall proceed in good faith to negotiate a resolution to such dispute. If the Indemnifying Party and the Indemnified Party cannot resolve such dispute in thirty (30) days after delivery of the dispute notice by the Indemnifying Party, or upon expiry of the thirty (30) days’ period from the Indemnifying Party’s receipt of the notice from the Indemnified Party, such dispute shall be resolved by arbitration pursuant to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64" w:lineRule="exact"/>
        <w:rPr>
          <w:sz w:val="20"/>
          <w:szCs w:val="20"/>
          <w:color w:val="auto"/>
        </w:rPr>
      </w:pPr>
    </w:p>
    <w:p>
      <w:pPr>
        <w:ind w:left="840" w:firstLine="653"/>
        <w:spacing w:after="0" w:line="284" w:lineRule="auto"/>
        <w:tabs>
          <w:tab w:leader="none" w:pos="2158"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If an Indemnified Party shall receive notice of any Legal Proceeding, audit, demand or assessment (each, a “</w:t>
      </w:r>
      <w:r>
        <w:rPr>
          <w:rFonts w:ascii="Arial" w:cs="Arial" w:eastAsia="Arial" w:hAnsi="Arial"/>
          <w:sz w:val="16"/>
          <w:szCs w:val="16"/>
          <w:u w:val="single" w:color="auto"/>
          <w:color w:val="auto"/>
        </w:rPr>
        <w:t>Third Party Claim</w:t>
      </w:r>
      <w:r>
        <w:rPr>
          <w:rFonts w:ascii="Arial" w:cs="Arial" w:eastAsia="Arial" w:hAnsi="Arial"/>
          <w:sz w:val="16"/>
          <w:szCs w:val="16"/>
          <w:color w:val="auto"/>
        </w:rPr>
        <w:t xml:space="preserve">”) against it or which may give rise to a claim for Loss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within twenty (20) days of the receipt of such notice, the Indemnified Party shall give the Indemnifying Party notice of such Third Party Claim;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failure to provide such notice shall not release the Indemnifying Party from any of its obligations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except to the extent that the Indemnifying Party is prejudiced by such failure. If the Indemnifying Party acknowledges in writing its obligation to indemnify the Indemnified Party hereunder against any Losses that may result from such Third Party Claim, then the Indemnifying Party shall be entitled to assume and control the defense of such Third Party Claim at its expense and through counsel of its choice if it gives notice of its intention to do so to the Indemnified Party within thirty (30) days of the receipt of such notice from the Indemnified Party (or within thirty (30) days following the Closing with respect to any Third Party Claim that exits at the Closing which have been disclosed in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of the Disclosure Schedule);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there exists or is reasonably likely to exist a conflict of interest that would make it inappropriate for the same counsel to represent both the Indemnified Party and the Indemnifying Party, then the Indemnified Party shall be entitled to retain its own counsel, at the expense of the Indemnifying Party. In the event that the Indemnifying Party exercises the right to undertake any such defense against any such Third Party Claim as provided above, the Indemnified Party shall cooperate with the Indemnifying Party in such defense and make available to the Indemnifying Party, at the Indemnifying Party’s expense, all witnesses, pertinent records, materials and information in the Indemnified Party’s possession or under the Indemnified Party’s control relating thereto as is reasonably required by the Indemnifying Party. Similarly, in the event the Indemnified Party is, directly or indirectly, conducting the defense against any such Third Party Claim, the Indemnifying Party shall cooperate with the Indemnified Party in such defense and make available to the Indemnified Party, at the Indemnifying Party’s expense, all such witnesses, records, materials and information in the Indemnifying Party’s possession or under the Indemnifying Party’s control relating thereto as is reasonably required by the Indemnified Party. No such Third Party Claim may be settled by the Indemnifying Party without the prior written consent of the Indemnified Party (not to be unreasonably withheld, delayed or conditioned) unless the terms of such settlement or compromise (i) call only for a payment to the Indemnified Party (or of the Third Party Claim directly), the full amount of which is indemnified hereunder, (ii) does not impose an injunction or other</w:t>
      </w:r>
    </w:p>
    <w:p>
      <w:pPr>
        <w:spacing w:after="0" w:line="38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20"/>
          </w:cols>
          <w:pgMar w:left="1440" w:top="125" w:right="1039" w:bottom="1440" w:gutter="0" w:footer="0" w:header="0"/>
        </w:sectPr>
      </w:pPr>
    </w:p>
    <w:bookmarkStart w:id="368" w:name="page369"/>
    <w:bookmarkEnd w:id="368"/>
    <w:p>
      <w:pPr>
        <w:ind w:left="1291" w:right="240"/>
        <w:spacing w:after="0" w:line="257" w:lineRule="auto"/>
        <w:rPr>
          <w:sz w:val="20"/>
          <w:szCs w:val="20"/>
          <w:color w:val="auto"/>
        </w:rPr>
      </w:pPr>
      <w:r>
        <w:rPr>
          <w:rFonts w:ascii="Arial" w:cs="Arial" w:eastAsia="Arial" w:hAnsi="Arial"/>
          <w:sz w:val="18"/>
          <w:szCs w:val="18"/>
          <w:color w:val="auto"/>
        </w:rPr>
        <w:t>equitable relief upon the Indemnified Party, and (iii) contains an unconditional release of the Indemnified Party in respect of such claim. Whether or not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(not to be unreasonably withheld, delayed or conditioned).</w:t>
      </w:r>
    </w:p>
    <w:p>
      <w:pPr>
        <w:spacing w:after="0" w:line="188" w:lineRule="exact"/>
        <w:rPr>
          <w:sz w:val="20"/>
          <w:szCs w:val="20"/>
          <w:color w:val="auto"/>
        </w:rPr>
      </w:pPr>
    </w:p>
    <w:p>
      <w:pPr>
        <w:ind w:left="651"/>
        <w:spacing w:after="0"/>
        <w:tabs>
          <w:tab w:leader="none" w:pos="1911"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6"/>
          <w:szCs w:val="16"/>
          <w:u w:val="single" w:color="auto"/>
          <w:color w:val="auto"/>
        </w:rPr>
        <w:t>Limits on Indemnification</w:t>
      </w:r>
      <w:r>
        <w:rPr>
          <w:rFonts w:ascii="Arial" w:cs="Arial" w:eastAsia="Arial" w:hAnsi="Arial"/>
          <w:sz w:val="16"/>
          <w:szCs w:val="16"/>
          <w:color w:val="auto"/>
        </w:rPr>
        <w:t>. Notwithstanding anything to the contrary contained in this Agreement:</w:t>
      </w:r>
    </w:p>
    <w:p>
      <w:pPr>
        <w:spacing w:after="0" w:line="225" w:lineRule="exact"/>
        <w:rPr>
          <w:sz w:val="20"/>
          <w:szCs w:val="20"/>
          <w:color w:val="auto"/>
        </w:rPr>
      </w:pPr>
    </w:p>
    <w:p>
      <w:pPr>
        <w:ind w:left="-9" w:right="220" w:firstLine="1305"/>
        <w:spacing w:after="0" w:line="286" w:lineRule="auto"/>
        <w:tabs>
          <w:tab w:leader="none" w:pos="1937" w:val="left"/>
        </w:tabs>
        <w:numPr>
          <w:ilvl w:val="1"/>
          <w:numId w:val="287"/>
        </w:numPr>
        <w:rPr>
          <w:rFonts w:ascii="Arial" w:cs="Arial" w:eastAsia="Arial" w:hAnsi="Arial"/>
          <w:sz w:val="17"/>
          <w:szCs w:val="17"/>
          <w:color w:val="auto"/>
        </w:rPr>
      </w:pPr>
      <w:r>
        <w:rPr>
          <w:rFonts w:ascii="Arial" w:cs="Arial" w:eastAsia="Arial" w:hAnsi="Arial"/>
          <w:sz w:val="17"/>
          <w:szCs w:val="17"/>
          <w:color w:val="auto"/>
        </w:rPr>
        <w:t xml:space="preserve">the maximum aggregate amount of indemnifiable Losses that may be recovered from the Warrantors collectively by all Purchaser Indemnitees pursuant to </w:t>
      </w:r>
      <w:r>
        <w:rPr>
          <w:rFonts w:ascii="Arial" w:cs="Arial" w:eastAsia="Arial" w:hAnsi="Arial"/>
          <w:sz w:val="17"/>
          <w:szCs w:val="17"/>
          <w:u w:val="single" w:color="auto"/>
          <w:color w:val="auto"/>
        </w:rPr>
        <w:t>Section 9.2(a)(i)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9.2(a)(vi)</w:t>
      </w:r>
      <w:r>
        <w:rPr>
          <w:rFonts w:ascii="Arial" w:cs="Arial" w:eastAsia="Arial" w:hAnsi="Arial"/>
          <w:sz w:val="17"/>
          <w:szCs w:val="17"/>
          <w:color w:val="auto"/>
        </w:rPr>
        <w:t xml:space="preserve"> (other than with respect to the Company Fundamental Warranties and the Warrantor Fundamental Warranties) shall be US$700,000,000;</w:t>
      </w:r>
    </w:p>
    <w:p>
      <w:pPr>
        <w:spacing w:after="0" w:line="165" w:lineRule="exact"/>
        <w:rPr>
          <w:rFonts w:ascii="Arial" w:cs="Arial" w:eastAsia="Arial" w:hAnsi="Arial"/>
          <w:sz w:val="17"/>
          <w:szCs w:val="17"/>
          <w:color w:val="auto"/>
        </w:rPr>
      </w:pPr>
    </w:p>
    <w:p>
      <w:pPr>
        <w:ind w:left="-9" w:right="100" w:firstLine="1305"/>
        <w:spacing w:after="0" w:line="293" w:lineRule="auto"/>
        <w:tabs>
          <w:tab w:leader="none" w:pos="194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no Warrantor shall be liable to any Purchaser Indemnitee for any claim for indemnification unless and until the aggregate amount of indemnifiable Losses that may be recovered from the Warrantors equals or exceeds $5,000,000, in which case the Warrantors shall indemnify such Purchaser Indemnitee for the Losses from the first dollar (subject to other limitations provided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that in each such case, in determining the existence of, or amount of Losses resulting from, arising out of, or related to, any breach of or inaccuracy in any such representation or warranty, the terms “material”, “materiality”, “Material Adverse Effect” or other similar terms shall be disregarded and deleted from such representations and warranties for all purposes);</w:t>
      </w:r>
    </w:p>
    <w:p>
      <w:pPr>
        <w:spacing w:after="0" w:line="164" w:lineRule="exact"/>
        <w:rPr>
          <w:rFonts w:ascii="Arial" w:cs="Arial" w:eastAsia="Arial" w:hAnsi="Arial"/>
          <w:sz w:val="16"/>
          <w:szCs w:val="16"/>
          <w:color w:val="auto"/>
        </w:rPr>
      </w:pPr>
    </w:p>
    <w:p>
      <w:pPr>
        <w:ind w:left="-9" w:right="120" w:firstLine="1305"/>
        <w:spacing w:after="0" w:line="301" w:lineRule="auto"/>
        <w:tabs>
          <w:tab w:leader="none" w:pos="193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the Warrantors shall not be obligated to indemnify any Purchaser Indemnitee with respect to any Loss to the extent (i) that a specific accrual or reserve for the amount of such Loss was reflected on the Financial Statements or the notes thereto which accrual or reserve does not constitute a breach of </w:t>
      </w:r>
      <w:r>
        <w:rPr>
          <w:rFonts w:ascii="Arial" w:cs="Arial" w:eastAsia="Arial" w:hAnsi="Arial"/>
          <w:sz w:val="16"/>
          <w:szCs w:val="16"/>
          <w:u w:val="single" w:color="auto"/>
          <w:color w:val="auto"/>
        </w:rPr>
        <w:t>Section 3.7</w:t>
      </w:r>
      <w:r>
        <w:rPr>
          <w:rFonts w:ascii="Arial" w:cs="Arial" w:eastAsia="Arial" w:hAnsi="Arial"/>
          <w:sz w:val="16"/>
          <w:szCs w:val="16"/>
          <w:color w:val="auto"/>
        </w:rPr>
        <w:t xml:space="preserve">, (ii) reflected in the Closing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Loss reflected in the Closing Statement has been taken into account in the calculation of the Final Purchase Price;</w:t>
      </w:r>
    </w:p>
    <w:p>
      <w:pPr>
        <w:spacing w:after="0" w:line="157" w:lineRule="exact"/>
        <w:rPr>
          <w:rFonts w:ascii="Arial" w:cs="Arial" w:eastAsia="Arial" w:hAnsi="Arial"/>
          <w:sz w:val="16"/>
          <w:szCs w:val="16"/>
          <w:color w:val="auto"/>
        </w:rPr>
      </w:pPr>
    </w:p>
    <w:p>
      <w:pPr>
        <w:ind w:left="-9" w:right="220" w:firstLine="1305"/>
        <w:spacing w:after="0" w:line="277" w:lineRule="auto"/>
        <w:tabs>
          <w:tab w:leader="none" w:pos="194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no Person shall have a right to make a claim for any Loss for contingent or inchoate claims and may claim only for a Loss that has, in fact, been paid or incurred;</w:t>
      </w:r>
    </w:p>
    <w:p>
      <w:pPr>
        <w:spacing w:after="0" w:line="170" w:lineRule="exact"/>
        <w:rPr>
          <w:rFonts w:ascii="Arial" w:cs="Arial" w:eastAsia="Arial" w:hAnsi="Arial"/>
          <w:sz w:val="18"/>
          <w:szCs w:val="18"/>
          <w:color w:val="auto"/>
        </w:rPr>
      </w:pPr>
    </w:p>
    <w:p>
      <w:pPr>
        <w:ind w:left="-9" w:firstLine="1305"/>
        <w:spacing w:after="0" w:line="263" w:lineRule="auto"/>
        <w:tabs>
          <w:tab w:leader="none" w:pos="1937" w:val="left"/>
        </w:tabs>
        <w:numPr>
          <w:ilvl w:val="1"/>
          <w:numId w:val="287"/>
        </w:numPr>
        <w:rPr>
          <w:rFonts w:ascii="Arial" w:cs="Arial" w:eastAsia="Arial" w:hAnsi="Arial"/>
          <w:sz w:val="18"/>
          <w:szCs w:val="18"/>
          <w:color w:val="auto"/>
        </w:rPr>
      </w:pPr>
      <w:r>
        <w:rPr>
          <w:rFonts w:ascii="Arial" w:cs="Arial" w:eastAsia="Arial" w:hAnsi="Arial"/>
          <w:sz w:val="18"/>
          <w:szCs w:val="18"/>
          <w:color w:val="auto"/>
        </w:rPr>
        <w:t>the Warrantors shall not have any liability under any provision of this Agreement for any punitive, incidental, consequential or special damages, except in each case awarded by a court of competent jurisdiction in connection with a Third Party Claim or are otherwise reasonably foreseeable results of the applicable breach;</w:t>
      </w:r>
    </w:p>
    <w:p>
      <w:pPr>
        <w:spacing w:after="0" w:line="183" w:lineRule="exact"/>
        <w:rPr>
          <w:rFonts w:ascii="Arial" w:cs="Arial" w:eastAsia="Arial" w:hAnsi="Arial"/>
          <w:sz w:val="18"/>
          <w:szCs w:val="18"/>
          <w:color w:val="auto"/>
        </w:rPr>
      </w:pPr>
    </w:p>
    <w:p>
      <w:pPr>
        <w:ind w:left="-9" w:right="40" w:firstLine="1305"/>
        <w:spacing w:after="0" w:line="287" w:lineRule="auto"/>
        <w:tabs>
          <w:tab w:leader="none" w:pos="191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the Purchaser Indemnitees’ right to indemnification pursuant to this Agreement shall be reduced by (i) all insurance or other proceeds actually recovered (but net of all costs and expenses incurred in order to obtain such recovery) by Purchaser Indemnitees from third parties, including, pursuant to indemnification obligations of third parties in favor of the Group Companies, and</w:t>
      </w:r>
    </w:p>
    <w:p>
      <w:pPr>
        <w:spacing w:after="0" w:line="2" w:lineRule="exact"/>
        <w:rPr>
          <w:rFonts w:ascii="Arial" w:cs="Arial" w:eastAsia="Arial" w:hAnsi="Arial"/>
          <w:sz w:val="16"/>
          <w:szCs w:val="16"/>
          <w:color w:val="auto"/>
        </w:rPr>
      </w:pPr>
    </w:p>
    <w:p>
      <w:pPr>
        <w:ind w:left="-9" w:right="120" w:firstLine="9"/>
        <w:spacing w:after="0" w:line="260" w:lineRule="auto"/>
        <w:tabs>
          <w:tab w:leader="none" w:pos="256"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amount of any Tax benefit actually realized by any Purchaser Indemnitee or its Affiliates as a result of such Losses (determined on a with and without basis) in the year such Losses are incurred or the indemnity payment is made;</w:t>
      </w:r>
    </w:p>
    <w:p>
      <w:pPr>
        <w:spacing w:after="0" w:line="200" w:lineRule="exact"/>
        <w:rPr>
          <w:sz w:val="20"/>
          <w:szCs w:val="20"/>
          <w:color w:val="auto"/>
        </w:rPr>
      </w:pPr>
    </w:p>
    <w:p>
      <w:pPr>
        <w:spacing w:after="0" w:line="201" w:lineRule="exact"/>
        <w:rPr>
          <w:sz w:val="20"/>
          <w:szCs w:val="20"/>
          <w:color w:val="auto"/>
        </w:rPr>
      </w:pPr>
    </w:p>
    <w:p>
      <w:pPr>
        <w:jc w:val="center"/>
        <w:ind w:right="-9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29221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31"/>
          </w:cols>
          <w:pgMar w:left="989" w:top="125" w:right="1079" w:bottom="1440" w:gutter="0" w:footer="0" w:header="0"/>
        </w:sectPr>
      </w:pPr>
    </w:p>
    <w:bookmarkStart w:id="369" w:name="page370"/>
    <w:bookmarkEnd w:id="369"/>
    <w:p>
      <w:pPr>
        <w:ind w:right="160" w:firstLine="1305"/>
        <w:spacing w:after="0" w:line="277" w:lineRule="auto"/>
        <w:tabs>
          <w:tab w:leader="none" w:pos="1956"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 no circumstances shall the Indemnified Parties be entitled to recover an amount of Losses more than once under this Agreement in respect of the same Loss;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the limitations set forth in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not apply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fraud.</w:t>
      </w:r>
    </w:p>
    <w:p>
      <w:pPr>
        <w:spacing w:after="0" w:line="211" w:lineRule="exact"/>
        <w:rPr>
          <w:sz w:val="20"/>
          <w:szCs w:val="20"/>
          <w:color w:val="auto"/>
        </w:rPr>
      </w:pPr>
    </w:p>
    <w:p>
      <w:pPr>
        <w:ind w:right="360" w:firstLine="658"/>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Duty to Mitigate</w:t>
      </w:r>
      <w:r>
        <w:rPr>
          <w:rFonts w:ascii="Arial" w:cs="Arial" w:eastAsia="Arial" w:hAnsi="Arial"/>
          <w:sz w:val="18"/>
          <w:szCs w:val="18"/>
          <w:color w:val="auto"/>
        </w:rPr>
        <w:t>. Each Indemnified Party shall take, and cause its Affiliates to take, all commercially reasonable steps to mitigate any Losses upon becoming aware of any event or circumstance that would be reasonably expected to, or does, give rise thereto.</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Exclusivity</w:t>
      </w:r>
      <w:r>
        <w:rPr>
          <w:rFonts w:ascii="Arial" w:cs="Arial" w:eastAsia="Arial" w:hAnsi="Arial"/>
          <w:sz w:val="16"/>
          <w:szCs w:val="16"/>
          <w:color w:val="auto"/>
        </w:rPr>
        <w:t>. After the Closing, except in respect of fraud and the matters covered by</w:t>
      </w:r>
      <w:r>
        <w:rPr>
          <w:rFonts w:ascii="Arial" w:cs="Arial" w:eastAsia="Arial" w:hAnsi="Arial"/>
          <w:sz w:val="16"/>
          <w:szCs w:val="16"/>
          <w:u w:val="single" w:color="auto"/>
          <w:color w:val="auto"/>
        </w:rPr>
        <w:t xml:space="preserve"> Section 2.7</w:t>
      </w:r>
      <w:r>
        <w:rPr>
          <w:rFonts w:ascii="Arial" w:cs="Arial" w:eastAsia="Arial" w:hAnsi="Arial"/>
          <w:sz w:val="16"/>
          <w:szCs w:val="16"/>
          <w:color w:val="auto"/>
        </w:rPr>
        <w:t>, this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will provide the sole and exclusive remedy against any Warrantor for any breach of any representation, warranty, covenant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claim arising out of or relating to this Agreement and/or the transactions contemplated hereby. Notwithstanding the foregoing,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provisions of this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shall not, however, prevent or limit a cause of action under </w:t>
      </w:r>
      <w:r>
        <w:rPr>
          <w:rFonts w:ascii="Arial" w:cs="Arial" w:eastAsia="Arial" w:hAnsi="Arial"/>
          <w:sz w:val="17"/>
          <w:szCs w:val="17"/>
          <w:u w:val="single" w:color="auto"/>
          <w:color w:val="auto"/>
        </w:rPr>
        <w:t>Section 10.6</w:t>
      </w:r>
      <w:r>
        <w:rPr>
          <w:rFonts w:ascii="Arial" w:cs="Arial" w:eastAsia="Arial" w:hAnsi="Arial"/>
          <w:sz w:val="17"/>
          <w:szCs w:val="17"/>
          <w:color w:val="auto"/>
        </w:rPr>
        <w:t xml:space="preserve"> to obtain an injunction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injunctions to prevent breaches of this Agreement and other Transaction Documents and to enforce specifically the terms and provisions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 and thereof.</w:t>
      </w:r>
    </w:p>
    <w:p>
      <w:pPr>
        <w:spacing w:after="0" w:line="211" w:lineRule="exact"/>
        <w:rPr>
          <w:sz w:val="20"/>
          <w:szCs w:val="20"/>
          <w:color w:val="auto"/>
        </w:rPr>
      </w:pPr>
    </w:p>
    <w:p>
      <w:pPr>
        <w:ind w:firstLine="658"/>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xml:space="preserve">. All indemnification payments made under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be treated as adjustments to the Final Purchase Price for Tax purposes, unless otherwise required by applicable Law.</w:t>
      </w:r>
    </w:p>
    <w:p>
      <w:pPr>
        <w:spacing w:after="0" w:line="170" w:lineRule="exact"/>
        <w:rPr>
          <w:sz w:val="20"/>
          <w:szCs w:val="20"/>
          <w:color w:val="auto"/>
        </w:rPr>
      </w:pPr>
    </w:p>
    <w:p>
      <w:pPr>
        <w:ind w:right="100" w:firstLine="661"/>
        <w:spacing w:after="0" w:line="308"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Deduction from Indemnity Withheld Amount</w:t>
      </w:r>
      <w:r>
        <w:rPr>
          <w:rFonts w:ascii="Arial" w:cs="Arial" w:eastAsia="Arial" w:hAnsi="Arial"/>
          <w:sz w:val="17"/>
          <w:szCs w:val="17"/>
          <w:color w:val="auto"/>
        </w:rPr>
        <w:t>. Any amount of indemnifiable Losses any Purchaser Indemnitee is entitled to under Section 9.2 shall be paid first out of the Indemnity Withheld Amount, to the extent any such amount remains.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20" w:firstLine="658"/>
        <w:spacing w:after="0" w:line="257"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provided in this Agreement, each Party shall bear its own costs and expenses incurred in connection with the negotiation and execution of this Agreement and each other Transaction Document and the consummation of the transactions contemplated hereby and thereby (the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incur or bear (or pay on behalf of any other Party), and no Party shall cause the Company to incur or bear (or pay on behalf of such Party), any Transaction Expenses.</w:t>
      </w:r>
    </w:p>
    <w:p>
      <w:pPr>
        <w:spacing w:after="0" w:line="188" w:lineRule="exact"/>
        <w:rPr>
          <w:sz w:val="20"/>
          <w:szCs w:val="20"/>
          <w:color w:val="auto"/>
        </w:rPr>
      </w:pPr>
    </w:p>
    <w:p>
      <w:pPr>
        <w:ind w:right="60" w:firstLine="658"/>
        <w:spacing w:after="0" w:line="26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exclusively in accordance with the laws of Hong Kong (without giving effect to any choice of law principles thereof that would cause the application of the laws of another jurisdiction).</w:t>
      </w:r>
    </w:p>
    <w:p>
      <w:pPr>
        <w:spacing w:after="0" w:line="18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7"/>
          <w:szCs w:val="17"/>
          <w:u w:val="single" w:color="auto"/>
          <w:color w:val="auto"/>
        </w:rPr>
        <w:t>Arbitration</w:t>
      </w:r>
      <w:r>
        <w:rPr>
          <w:rFonts w:ascii="Arial" w:cs="Arial" w:eastAsia="Arial" w:hAnsi="Arial"/>
          <w:sz w:val="17"/>
          <w:szCs w:val="17"/>
          <w:color w:val="auto"/>
        </w:rPr>
        <w:t>.</w:t>
      </w:r>
    </w:p>
    <w:p>
      <w:pPr>
        <w:spacing w:after="0" w:line="225" w:lineRule="exact"/>
        <w:rPr>
          <w:sz w:val="20"/>
          <w:szCs w:val="20"/>
          <w:color w:val="auto"/>
        </w:rPr>
      </w:pPr>
    </w:p>
    <w:p>
      <w:pPr>
        <w:ind w:left="660" w:right="40" w:firstLine="1293"/>
        <w:spacing w:after="0" w:line="259" w:lineRule="auto"/>
        <w:tabs>
          <w:tab w:leader="none" w:pos="259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dispute arising out of or in connection with this Agreement, including any question regarding its existence, validity or termination, shall be referred to and finally resolved by arbitration in Hong Kong in accordance with the Hong Kong International Arbitration Center Administered Arbitration Rules (the “</w:t>
      </w:r>
      <w:r>
        <w:rPr>
          <w:rFonts w:ascii="Arial" w:cs="Arial" w:eastAsia="Arial" w:hAnsi="Arial"/>
          <w:sz w:val="18"/>
          <w:szCs w:val="18"/>
          <w:u w:val="single" w:color="auto"/>
          <w:color w:val="auto"/>
        </w:rPr>
        <w:t>HKIAC Rules</w:t>
      </w:r>
      <w:r>
        <w:rPr>
          <w:rFonts w:ascii="Arial" w:cs="Arial" w:eastAsia="Arial" w:hAnsi="Arial"/>
          <w:sz w:val="18"/>
          <w:szCs w:val="18"/>
          <w:color w:val="auto"/>
        </w:rPr>
        <w:t>”) in force when the notice of arbitration is submitted 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70" w:name="page371"/>
    <w:bookmarkEnd w:id="370"/>
    <w:p>
      <w:pPr>
        <w:ind w:left="200"/>
        <w:spacing w:after="0" w:line="272" w:lineRule="auto"/>
        <w:rPr>
          <w:sz w:val="20"/>
          <w:szCs w:val="20"/>
          <w:color w:val="auto"/>
        </w:rPr>
      </w:pPr>
      <w:r>
        <w:rPr>
          <w:rFonts w:ascii="Arial" w:cs="Arial" w:eastAsia="Arial" w:hAnsi="Arial"/>
          <w:sz w:val="17"/>
          <w:szCs w:val="17"/>
          <w:color w:val="auto"/>
        </w:rPr>
        <w:t xml:space="preserve">accordance with the HKIAC Rules. The HKIAC Rules are deemed to be incorporated by reference to this section. The tribunal shall be comprised of three (3) arbitrators. The Purchaser, on the one hand, and the Warrantors, on the other hand, shall each nominate one arbitrator and the third, who shall serve as president of the tribunal, shall be nominated by the party-nominated arbitrators. The arbitration shall be conducted in English. Each Party irrevocably and unconditionally consents to such arbitration as the sole and exclusive method of resolving any dispute arising out of or in connection with this Agreement, including any question regarding its existence, validity or termination, other than any proceedings to seek the remedies of specific performance as contemplated by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39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357505</wp:posOffset>
            </wp:positionV>
            <wp:extent cx="629221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20"/>
          </w:cols>
          <w:pgMar w:left="1440" w:top="125" w:right="1139" w:bottom="1440" w:gutter="0" w:footer="0" w:header="0"/>
        </w:sectPr>
      </w:pPr>
    </w:p>
    <w:bookmarkStart w:id="371" w:name="page372"/>
    <w:bookmarkEnd w:id="371"/>
    <w:p>
      <w:pPr>
        <w:ind w:left="660" w:right="20" w:firstLine="1293"/>
        <w:spacing w:after="0" w:line="296" w:lineRule="auto"/>
        <w:tabs>
          <w:tab w:leader="none" w:pos="2612"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award of the arbitral tribunal shall be final and binding on the Parties. The Parties agree that they will not have recourse to any judicial proceedings, in any jurisdiction whatsoever, for the purposes of seeking appeal, annulment, setting aside, modification or any diminution or impairment of its terms or effect insofar as such exclusion can validly be made. Judgment upon any award rendered may be entered in any court having jurisdiction thereof, or application may be made to such court for a judicial acceptance of the award and an order of enforcement, as the case may be.</w:t>
      </w:r>
    </w:p>
    <w:p>
      <w:pPr>
        <w:spacing w:after="0" w:line="161" w:lineRule="exact"/>
        <w:rPr>
          <w:sz w:val="20"/>
          <w:szCs w:val="20"/>
          <w:color w:val="auto"/>
        </w:rPr>
      </w:pPr>
    </w:p>
    <w:p>
      <w:pPr>
        <w:ind w:right="100" w:firstLine="658"/>
        <w:spacing w:after="0" w:line="25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Entire Agreement; Amendments and Waivers</w:t>
      </w:r>
      <w:r>
        <w:rPr>
          <w:rFonts w:ascii="Arial" w:cs="Arial" w:eastAsia="Arial" w:hAnsi="Arial"/>
          <w:sz w:val="18"/>
          <w:szCs w:val="18"/>
          <w:color w:val="auto"/>
        </w:rPr>
        <w:t>. This Agreement (including the schedules and exhibits hereto) and the other Transaction Documents represent the entire understanding and agreement among the Parties with respect to the subject matter hereof and thereof, and supersedes and extinguishes all previous discussions, correspondence, negotiations, drafts, agreements, promises, assurances, warranties, representations and understandings between them, whether written or oral, relating to their subject matter.</w:t>
      </w:r>
    </w:p>
    <w:p>
      <w:pPr>
        <w:spacing w:after="0" w:line="188" w:lineRule="exact"/>
        <w:rPr>
          <w:sz w:val="20"/>
          <w:szCs w:val="20"/>
          <w:color w:val="auto"/>
        </w:rPr>
      </w:pPr>
    </w:p>
    <w:p>
      <w:pPr>
        <w:ind w:firstLine="658"/>
        <w:spacing w:after="0" w:line="26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Amendments and Waivers</w:t>
      </w:r>
      <w:r>
        <w:rPr>
          <w:rFonts w:ascii="Arial" w:cs="Arial" w:eastAsia="Arial" w:hAnsi="Arial"/>
          <w:sz w:val="17"/>
          <w:szCs w:val="17"/>
          <w:color w:val="auto"/>
        </w:rPr>
        <w:t xml:space="preserve"> This Agreement can be amended, supplemented or changed only by written instrument making specific reference to this Agreement signed by the Purchaser, the Warrantors and the Company, and any provision hereof can be waived only by written instrument making specific reference to this Agreement signed by the party against whom enforcement of any such waiver is sought.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185" w:lineRule="exact"/>
        <w:rPr>
          <w:sz w:val="20"/>
          <w:szCs w:val="20"/>
          <w:color w:val="auto"/>
        </w:rPr>
      </w:pPr>
    </w:p>
    <w:p>
      <w:pPr>
        <w:ind w:right="120" w:firstLine="658"/>
        <w:spacing w:after="0" w:line="293"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Parties acknowledge and agree that irreparable damage would occur if any provision of this Agreement were not performed in accordance with the terms hereof and that each Party shall be entitled to specific performance of the terms hereof. It is accordingly agreed that prior to termination of this Agreement in accordance with its terms, each Party shall be entitled to an injunction or injunctions to prevent breaches of this Agreement and to enforce specifically (without proof of actual damages or harm, and not subject to any requirement for the securing or posting of any bond in connection therewith) the terms and provisions of this Agreement, this being in addition to any other remedy to which each Party is entitled at law or in equity.</w:t>
      </w:r>
    </w:p>
    <w:p>
      <w:pPr>
        <w:spacing w:after="0" w:line="164" w:lineRule="exact"/>
        <w:rPr>
          <w:sz w:val="20"/>
          <w:szCs w:val="20"/>
          <w:color w:val="auto"/>
        </w:rPr>
      </w:pPr>
    </w:p>
    <w:p>
      <w:pPr>
        <w:ind w:right="60" w:firstLine="658"/>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under this Agreement shall be in writing and shall be deemed effectively given (i) when delivered personally by hand (with written confirmation of receipt), (ii) when sent by fax (with written confirmation of transmission) or email (provided that the sender of email shall not have received any message that such email was not timely delivered) or (iii) two Business Days following the day sent by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to the Purchaser or, after the Closing, to the Company, to: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72" w:name="page373"/>
    <w:bookmarkEnd w:id="372"/>
    <w:p>
      <w:pPr>
        <w:ind w:left="1300"/>
        <w:spacing w:after="0"/>
        <w:rPr>
          <w:sz w:val="20"/>
          <w:szCs w:val="20"/>
          <w:color w:val="auto"/>
        </w:rPr>
      </w:pPr>
      <w:r>
        <w:rPr>
          <w:rFonts w:ascii="Arial" w:cs="Arial" w:eastAsia="Arial" w:hAnsi="Arial"/>
          <w:sz w:val="18"/>
          <w:szCs w:val="18"/>
          <w:color w:val="auto"/>
        </w:rPr>
        <w:t>26th Floor, Tower One, Times Square, 1 Matheson Street Causeway Bay,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Hong Kong S.A.R.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legalnotice@hk.alibaba-inc.com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Fangda Partners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26/F, One Exchange Square, 8 Connaught Place, Central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Jonathan Zhou</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jzhou@fangdalaw.com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Seller or the Seller Parent or, before the Closing,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309, Ugland House, Grand Cayman, KY1-1104, Cayman Islands.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malegal@service.netease.com</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Gibson, Dunn &amp; Crutcher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32/F Gloucester Tower, The Landmark, 15 Queen’s Road Central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 Boltz Jr.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PBoltz@gibsondunn.com</w:t>
      </w:r>
    </w:p>
    <w:p>
      <w:pPr>
        <w:spacing w:after="0" w:line="211" w:lineRule="exact"/>
        <w:rPr>
          <w:sz w:val="20"/>
          <w:szCs w:val="20"/>
          <w:color w:val="auto"/>
        </w:rPr>
      </w:pPr>
    </w:p>
    <w:p>
      <w:pPr>
        <w:ind w:right="100" w:firstLine="658"/>
        <w:spacing w:after="0" w:line="293"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4" w:lineRule="exact"/>
        <w:rPr>
          <w:sz w:val="20"/>
          <w:szCs w:val="20"/>
          <w:color w:val="auto"/>
        </w:rPr>
      </w:pPr>
    </w:p>
    <w:p>
      <w:pPr>
        <w:ind w:firstLine="658"/>
        <w:spacing w:after="0" w:line="289"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xml:space="preserve">. This Agreement shall be binding upon and inure to the benefit of the Parties and their respective successors and permitted assigns. Nothing in this Agreement shall create or be deemed to create any third party beneficiary rights in any person or entity not a party to this Agreement except as provided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hereof. No assignment of this Agreement or of any rights or obligations hereunder may be made by (i) the Seller, the Seller Parent or the Company, directly or indirectly (by operation of law or otherwise), without the prior written consent of the Purchaser, or (ii) the Purchaser directly or indirectly (by operation of law or otherwise), without the prior written consent of the Seller, and any attempted assignment in violation of this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be void; </w:t>
      </w:r>
      <w:r>
        <w:rPr>
          <w:rFonts w:ascii="Arial" w:cs="Arial" w:eastAsia="Arial" w:hAnsi="Arial"/>
          <w:sz w:val="16"/>
          <w:szCs w:val="16"/>
          <w:u w:val="single" w:color="auto"/>
          <w:color w:val="auto"/>
        </w:rPr>
        <w:t>provided</w:t>
      </w:r>
      <w:r>
        <w:rPr>
          <w:rFonts w:ascii="Arial" w:cs="Arial" w:eastAsia="Arial" w:hAnsi="Arial"/>
          <w:sz w:val="16"/>
          <w:szCs w:val="16"/>
          <w:color w:val="auto"/>
        </w:rPr>
        <w:t>, that the Purchaser may assign its rights under this Agreement (including the Purchaser’s rights to purchase the Purchased Shares and Purchaser’s rights to seek indemnification hereunder) to any of its Affiliates. Each obligation of the Seller shall be deemed to be also the obligation of the Seller Parent on a joint and several basis, and vice versa.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73" w:name="page374"/>
    <w:bookmarkEnd w:id="373"/>
    <w:p>
      <w:pPr>
        <w:ind w:firstLine="658"/>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Non-Recourse</w:t>
      </w:r>
      <w:r>
        <w:rPr>
          <w:rFonts w:ascii="Arial" w:cs="Arial" w:eastAsia="Arial" w:hAnsi="Arial"/>
          <w:sz w:val="18"/>
          <w:szCs w:val="18"/>
          <w:color w:val="auto"/>
        </w:rPr>
        <w:t>. No past, present or future director, officer, employee, incorporator, member, partner, stockholder, Affiliate, agent, attorney or representative of the Purchaser or any Warrantor shall have any liability for any obligations or liabilities of the Purchaser or any Warrantor, as applicable, under this Agreement or for any claim based on, in respect of, or by reason of, the transactions contemplated hereby.</w:t>
      </w:r>
    </w:p>
    <w:p>
      <w:pPr>
        <w:spacing w:after="0" w:line="187" w:lineRule="exact"/>
        <w:rPr>
          <w:sz w:val="20"/>
          <w:szCs w:val="20"/>
          <w:color w:val="auto"/>
        </w:rPr>
      </w:pPr>
    </w:p>
    <w:p>
      <w:pPr>
        <w:ind w:right="220" w:firstLine="658"/>
        <w:spacing w:after="0" w:line="263"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to be an original copy of this Agreement and all of which, when taken together, will be deemed to constitute one and the same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REMAINDER OF PAGE INTENTIONALLY LEFT BLANK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374" w:name="page375"/>
    <w:bookmarkEnd w:id="374"/>
    <w:p>
      <w:pPr>
        <w:jc w:val="right"/>
        <w:ind w:right="19"/>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Taobao Holding Limited</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Timothy A. Steinert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29489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Timothy A. Steinert</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[Project Venus E - 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75" w:name="page376"/>
    <w:bookmarkEnd w:id="375"/>
    <w:p>
      <w:pPr>
        <w:jc w:val="right"/>
        <w:ind w:right="19"/>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HQG,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871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8">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William Lei Ding</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[Project Venus E - 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76" w:name="page377"/>
    <w:bookmarkEnd w:id="376"/>
    <w:p>
      <w:pPr>
        <w:jc w:val="right"/>
        <w:ind w:right="19"/>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2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NetEase E-Commerce,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William Lei Ding</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[Project Venus E - 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77" w:name="page378"/>
    <w:bookmarkEnd w:id="377"/>
    <w:p>
      <w:pPr>
        <w:jc w:val="right"/>
        <w:ind w:right="19"/>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NetEase,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14605</wp:posOffset>
            </wp:positionV>
            <wp:extent cx="2871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2">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 William Lei Ding</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[Project Venus E - Signature Page to Share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125" w:right="1440" w:bottom="1440" w:gutter="0" w:footer="0" w:header="0"/>
        </w:sectPr>
      </w:pPr>
    </w:p>
    <w:bookmarkStart w:id="378" w:name="page379"/>
    <w:bookmarkEnd w:id="378"/>
    <w:p>
      <w:pPr>
        <w:jc w:val="center"/>
        <w:ind w:right="19"/>
        <w:spacing w:after="0"/>
        <w:rPr>
          <w:sz w:val="20"/>
          <w:szCs w:val="20"/>
          <w:color w:val="auto"/>
        </w:rPr>
      </w:pPr>
      <w:r>
        <w:rPr>
          <w:rFonts w:ascii="Arial" w:cs="Arial" w:eastAsia="Arial" w:hAnsi="Arial"/>
          <w:sz w:val="18"/>
          <w:szCs w:val="18"/>
          <w:u w:val="single" w:color="auto"/>
          <w:color w:val="auto"/>
        </w:rPr>
        <w:t>SCHEDULE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OUTGOING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9" w:name="page380"/>
    <w:bookmarkEnd w:id="379"/>
    <w:p>
      <w:pPr>
        <w:jc w:val="center"/>
        <w:spacing w:after="0"/>
        <w:rPr>
          <w:sz w:val="20"/>
          <w:szCs w:val="20"/>
          <w:color w:val="auto"/>
        </w:rPr>
      </w:pPr>
      <w:r>
        <w:rPr>
          <w:rFonts w:ascii="Arial" w:cs="Arial" w:eastAsia="Arial" w:hAnsi="Arial"/>
          <w:sz w:val="18"/>
          <w:szCs w:val="18"/>
          <w:u w:val="single" w:color="auto"/>
          <w:color w:val="auto"/>
        </w:rPr>
        <w:t>SCHEDULE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BALANCE SHEET DATE NET DEBT CALCULATION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u w:val="single" w:color="auto"/>
          <w:color w:val="auto"/>
        </w:rPr>
        <w:t>SCHEDULE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NET WORKING CAPITAL CALCULATION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8"/>
          <w:szCs w:val="18"/>
          <w:u w:val="single" w:color="auto"/>
          <w:color w:val="auto"/>
        </w:rPr>
        <w:t>SCHEDULE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EXEMPTED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2" w:name="page383"/>
    <w:bookmarkEnd w:id="382"/>
    <w:p>
      <w:pPr>
        <w:jc w:val="center"/>
        <w:ind w:right="19"/>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GROUP COMPANY AWARD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3" w:name="page384"/>
    <w:bookmarkEnd w:id="383"/>
    <w:p>
      <w:pPr>
        <w:jc w:val="center"/>
        <w:ind w:right="19"/>
        <w:spacing w:after="0"/>
        <w:rPr>
          <w:sz w:val="20"/>
          <w:szCs w:val="20"/>
          <w:color w:val="auto"/>
        </w:rPr>
      </w:pPr>
      <w:r>
        <w:rPr>
          <w:rFonts w:ascii="Arial" w:cs="Arial" w:eastAsia="Arial" w:hAnsi="Arial"/>
          <w:sz w:val="18"/>
          <w:szCs w:val="18"/>
          <w:u w:val="single" w:color="auto"/>
          <w:color w:val="auto"/>
        </w:rPr>
        <w:t>SCHEDULE D-2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NETEASE GROUP AWARD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4" w:name="page385"/>
    <w:bookmarkEnd w:id="384"/>
    <w:p>
      <w:pPr>
        <w:jc w:val="center"/>
        <w:ind w:right="19"/>
        <w:spacing w:after="0"/>
        <w:rPr>
          <w:sz w:val="20"/>
          <w:szCs w:val="20"/>
          <w:color w:val="auto"/>
        </w:rPr>
      </w:pPr>
      <w:r>
        <w:rPr>
          <w:rFonts w:ascii="Arial" w:cs="Arial" w:eastAsia="Arial" w:hAnsi="Arial"/>
          <w:sz w:val="18"/>
          <w:szCs w:val="18"/>
          <w:u w:val="single" w:color="auto"/>
          <w:color w:val="auto"/>
        </w:rPr>
        <w:t>SCHEDULE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NON-SOLICIT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5" w:name="page386"/>
    <w:bookmarkEnd w:id="385"/>
    <w:p>
      <w:pPr>
        <w:jc w:val="center"/>
        <w:ind w:right="19"/>
        <w:spacing w:after="0"/>
        <w:rPr>
          <w:sz w:val="20"/>
          <w:szCs w:val="20"/>
          <w:color w:val="auto"/>
        </w:rPr>
      </w:pPr>
      <w:r>
        <w:rPr>
          <w:rFonts w:ascii="Arial" w:cs="Arial" w:eastAsia="Arial" w:hAnsi="Arial"/>
          <w:sz w:val="18"/>
          <w:szCs w:val="18"/>
          <w:u w:val="single" w:color="auto"/>
          <w:color w:val="auto"/>
        </w:rPr>
        <w:t>SCHEDULE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INTELLECTUAL PROPERTY TO BE DE-REGISTERED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u w:val="single" w:color="auto"/>
          <w:color w:val="auto"/>
        </w:rPr>
        <w:t>SCHEDULE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LIST OF OFFSHORE GROUP COMPANIES FOR WHICH DIRECTORS WILL BE REPLACED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7" w:name="page388"/>
    <w:bookmarkEnd w:id="387"/>
    <w:p>
      <w:pPr>
        <w:jc w:val="center"/>
        <w:spacing w:after="0"/>
        <w:rPr>
          <w:sz w:val="20"/>
          <w:szCs w:val="20"/>
          <w:color w:val="auto"/>
        </w:rPr>
      </w:pPr>
      <w:r>
        <w:rPr>
          <w:rFonts w:ascii="Arial" w:cs="Arial" w:eastAsia="Arial" w:hAnsi="Arial"/>
          <w:sz w:val="18"/>
          <w:szCs w:val="18"/>
          <w:u w:val="single" w:color="auto"/>
          <w:color w:val="auto"/>
        </w:rPr>
        <w:t>SCHEDULE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8" w:name="page389"/>
    <w:bookmarkEnd w:id="388"/>
    <w:p>
      <w:pPr>
        <w:jc w:val="center"/>
        <w:spacing w:after="0"/>
        <w:rPr>
          <w:sz w:val="20"/>
          <w:szCs w:val="20"/>
          <w:color w:val="auto"/>
        </w:rPr>
      </w:pPr>
      <w:r>
        <w:rPr>
          <w:rFonts w:ascii="Arial" w:cs="Arial" w:eastAsia="Arial" w:hAnsi="Arial"/>
          <w:sz w:val="18"/>
          <w:szCs w:val="18"/>
          <w:u w:val="single" w:color="auto"/>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LIST OF INTELLECTUAL PROPERTY TO BE LICENSED BACK TO NETEASE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9" w:name="page390"/>
    <w:bookmarkEnd w:id="389"/>
    <w:p>
      <w:pPr>
        <w:jc w:val="center"/>
        <w:ind w:right="19"/>
        <w:spacing w:after="0"/>
        <w:rPr>
          <w:sz w:val="20"/>
          <w:szCs w:val="20"/>
          <w:color w:val="auto"/>
        </w:rPr>
      </w:pPr>
      <w:r>
        <w:rPr>
          <w:rFonts w:ascii="Arial" w:cs="Arial" w:eastAsia="Arial" w:hAnsi="Arial"/>
          <w:sz w:val="18"/>
          <w:szCs w:val="18"/>
          <w:u w:val="single" w:color="auto"/>
          <w:color w:val="auto"/>
        </w:rPr>
        <w:t>SCHEDULE J</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CERTAIN OFFER LETTER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0" w:name="page391"/>
    <w:bookmarkEnd w:id="390"/>
    <w:p>
      <w:pPr>
        <w:jc w:val="center"/>
        <w:ind w:right="19"/>
        <w:spacing w:after="0"/>
        <w:rPr>
          <w:sz w:val="20"/>
          <w:szCs w:val="20"/>
          <w:color w:val="auto"/>
        </w:rPr>
      </w:pPr>
      <w:r>
        <w:rPr>
          <w:rFonts w:ascii="Arial" w:cs="Arial" w:eastAsia="Arial" w:hAnsi="Arial"/>
          <w:sz w:val="18"/>
          <w:szCs w:val="18"/>
          <w:u w:val="single" w:color="auto"/>
          <w:color w:val="auto"/>
        </w:rPr>
        <w:t>SCHEDULE 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INTELLECTUAL PROPERTY TO BE TRANSFERRED FROM KAOLA TO NETEASE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1" w:name="page392"/>
    <w:bookmarkEnd w:id="391"/>
    <w:p>
      <w:pPr>
        <w:jc w:val="center"/>
        <w:ind w:right="19"/>
        <w:spacing w:after="0"/>
        <w:rPr>
          <w:sz w:val="20"/>
          <w:szCs w:val="20"/>
          <w:color w:val="auto"/>
        </w:rPr>
      </w:pPr>
      <w:r>
        <w:rPr>
          <w:rFonts w:ascii="Arial" w:cs="Arial" w:eastAsia="Arial" w:hAnsi="Arial"/>
          <w:sz w:val="18"/>
          <w:szCs w:val="18"/>
          <w:u w:val="single" w:color="auto"/>
          <w:color w:val="auto"/>
        </w:rPr>
        <w:t>SCHEDULE 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LIST OF INTELLECTUAL PROPERTY TO BE TRANSFERRED FROM NETEASE TO KAOLA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2" w:name="page393"/>
    <w:bookmarkEnd w:id="392"/>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RESIGNATION AND RELEASE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3" w:name="page394"/>
    <w:bookmarkEnd w:id="393"/>
    <w:p>
      <w:pPr>
        <w:jc w:val="center"/>
        <w:ind w:right="1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INSTRUMENT OF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TRANSITIONAL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5" w:name="page396"/>
    <w:bookmarkEnd w:id="395"/>
    <w:p>
      <w:pPr>
        <w:jc w:val="center"/>
        <w:ind w:right="19"/>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ONSHORE EQUITY TRANSFER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6" w:name="page397"/>
    <w:bookmarkEnd w:id="396"/>
    <w:p>
      <w:pPr>
        <w:jc w:val="center"/>
        <w:ind w:right="19"/>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TERMINATION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7" w:name="page398"/>
    <w:bookmarkEnd w:id="397"/>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REPLACEMENT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8" w:name="page399"/>
    <w:bookmarkEnd w:id="398"/>
    <w:p>
      <w:pPr>
        <w:jc w:val="center"/>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NETEASE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9" w:name="page400"/>
    <w:bookmarkEnd w:id="399"/>
    <w:p>
      <w:pPr>
        <w:jc w:val="center"/>
        <w:ind w:right="19"/>
        <w:spacing w:after="0"/>
        <w:rPr>
          <w:sz w:val="20"/>
          <w:szCs w:val="20"/>
          <w:color w:val="auto"/>
        </w:rPr>
      </w:pPr>
      <w:r>
        <w:rPr>
          <w:rFonts w:ascii="Arial" w:cs="Arial" w:eastAsia="Arial" w:hAnsi="Arial"/>
          <w:sz w:val="18"/>
          <w:szCs w:val="18"/>
          <w:u w:val="single" w:color="auto"/>
          <w:color w:val="auto"/>
        </w:rPr>
        <w:t>EXHIBIT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NON-COMPETE UNDERTAKING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639445</wp:posOffset>
            </wp:positionV>
            <wp:extent cx="629221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0" w:name="page401"/>
    <w:bookmarkEnd w:id="400"/>
    <w:p>
      <w:pPr>
        <w:jc w:val="center"/>
        <w:ind w:right="19"/>
        <w:spacing w:after="0"/>
        <w:rPr>
          <w:sz w:val="20"/>
          <w:szCs w:val="20"/>
          <w:color w:val="auto"/>
        </w:rPr>
      </w:pPr>
      <w:r>
        <w:rPr>
          <w:rFonts w:ascii="Arial" w:cs="Arial" w:eastAsia="Arial" w:hAnsi="Arial"/>
          <w:sz w:val="18"/>
          <w:szCs w:val="18"/>
          <w:u w:val="single" w:color="auto"/>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FORM OF WAIVER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930910</wp:posOffset>
            </wp:positionV>
            <wp:extent cx="629221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8.1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SIGNIFICANT SUBSIDIARIES AND VARIABLE INTEREST ENTITIES OF NETEASE,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Subsidiaries:</w:t>
            </w:r>
          </w:p>
        </w:tc>
        <w:tc>
          <w:tcPr>
            <w:tcW w:w="36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Hong Kong NetEase Interactive Entertainment Limited</w:t>
            </w:r>
          </w:p>
        </w:tc>
        <w:tc>
          <w:tcPr>
            <w:tcW w:w="26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Guangzhou Boguan Telecommunication Technology Co., Ltd.</w:t>
            </w:r>
          </w:p>
        </w:tc>
        <w:tc>
          <w:tcPr>
            <w:tcW w:w="3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NetEase (Hangzhou) Network Co., Ltd.</w:t>
            </w:r>
          </w:p>
        </w:tc>
        <w:tc>
          <w:tcPr>
            <w:tcW w:w="3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Variable Interest Entities:</w:t>
            </w:r>
          </w:p>
        </w:tc>
        <w:tc>
          <w:tcPr>
            <w:tcW w:w="36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Guangzhou NetEase Computer System Co., Ltd.</w:t>
            </w:r>
          </w:p>
        </w:tc>
        <w:tc>
          <w:tcPr>
            <w:tcW w:w="260" w:type="dxa"/>
            <w:vAlign w:val="bottom"/>
            <w:tcBorders>
              <w:top w:val="single" w:sz="8" w:color="CCEEFF"/>
            </w:tcBorders>
            <w:shd w:val="clear" w:color="auto" w:fill="CCEEFF"/>
          </w:tcPr>
          <w:p>
            <w:pPr>
              <w:spacing w:after="0"/>
              <w:rPr>
                <w:sz w:val="18"/>
                <w:szCs w:val="18"/>
                <w:color w:val="auto"/>
              </w:rPr>
            </w:pPr>
          </w:p>
        </w:tc>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Hangzhou NetEase Leihuo Technology Co., Ltd. (previously named</w:t>
            </w:r>
          </w:p>
        </w:tc>
        <w:tc>
          <w:tcPr>
            <w:tcW w:w="26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Hangzhou NetEase Leihuo Network Co., Ltd.)</w:t>
            </w:r>
          </w:p>
        </w:tc>
        <w:tc>
          <w:tcPr>
            <w:tcW w:w="3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People’s Republic of China</w:t>
            </w: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 William Lei Ding, certify that:</w:t>
      </w:r>
    </w:p>
    <w:p>
      <w:pPr>
        <w:spacing w:after="0" w:line="117" w:lineRule="exact"/>
        <w:rPr>
          <w:sz w:val="20"/>
          <w:szCs w:val="20"/>
          <w:color w:val="auto"/>
        </w:rPr>
      </w:pPr>
    </w:p>
    <w:p>
      <w:pPr>
        <w:ind w:left="680" w:hanging="671"/>
        <w:spacing w:after="0"/>
        <w:tabs>
          <w:tab w:leader="none" w:pos="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117" w:lineRule="exact"/>
        <w:rPr>
          <w:rFonts w:ascii="Arial" w:cs="Arial" w:eastAsia="Arial" w:hAnsi="Arial"/>
          <w:sz w:val="18"/>
          <w:szCs w:val="18"/>
          <w:color w:val="auto"/>
        </w:rPr>
      </w:pPr>
    </w:p>
    <w:p>
      <w:pPr>
        <w:ind w:left="660" w:right="200" w:hanging="651"/>
        <w:spacing w:after="0" w:line="263" w:lineRule="auto"/>
        <w:tabs>
          <w:tab w:leader="none" w:pos="68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260" w:hanging="651"/>
        <w:spacing w:after="0" w:line="263" w:lineRule="auto"/>
        <w:tabs>
          <w:tab w:leader="none" w:pos="68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5" w:lineRule="exact"/>
        <w:rPr>
          <w:rFonts w:ascii="Arial" w:cs="Arial" w:eastAsia="Arial" w:hAnsi="Arial"/>
          <w:sz w:val="18"/>
          <w:szCs w:val="18"/>
          <w:color w:val="auto"/>
        </w:rPr>
      </w:pPr>
    </w:p>
    <w:p>
      <w:pPr>
        <w:ind w:left="660" w:hanging="651"/>
        <w:spacing w:after="0" w:line="263" w:lineRule="auto"/>
        <w:tabs>
          <w:tab w:leader="none" w:pos="68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5" w:lineRule="exact"/>
        <w:rPr>
          <w:rFonts w:ascii="Arial" w:cs="Arial" w:eastAsia="Arial" w:hAnsi="Arial"/>
          <w:sz w:val="18"/>
          <w:szCs w:val="18"/>
          <w:color w:val="auto"/>
        </w:rPr>
      </w:pPr>
    </w:p>
    <w:p>
      <w:pPr>
        <w:ind w:left="1300" w:right="180" w:hanging="643"/>
        <w:spacing w:after="0" w:line="259" w:lineRule="auto"/>
        <w:tabs>
          <w:tab w:leader="none" w:pos="130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300" w:right="100" w:hanging="643"/>
        <w:spacing w:after="0" w:line="311" w:lineRule="auto"/>
        <w:tabs>
          <w:tab w:leader="none" w:pos="131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1300" w:right="260" w:hanging="643"/>
        <w:spacing w:after="0" w:line="263" w:lineRule="auto"/>
        <w:tabs>
          <w:tab w:leader="none" w:pos="1347"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140" w:hanging="643"/>
        <w:spacing w:after="0" w:line="263" w:lineRule="auto"/>
        <w:tabs>
          <w:tab w:leader="none" w:pos="131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left="660" w:right="560" w:hanging="651"/>
        <w:spacing w:after="0" w:line="263" w:lineRule="auto"/>
        <w:tabs>
          <w:tab w:leader="none" w:pos="68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75" w:lineRule="exact"/>
        <w:rPr>
          <w:rFonts w:ascii="Arial" w:cs="Arial" w:eastAsia="Arial" w:hAnsi="Arial"/>
          <w:sz w:val="18"/>
          <w:szCs w:val="18"/>
          <w:color w:val="auto"/>
        </w:rPr>
      </w:pPr>
    </w:p>
    <w:p>
      <w:pPr>
        <w:ind w:left="1300" w:right="460" w:hanging="643"/>
        <w:spacing w:after="0" w:line="263" w:lineRule="auto"/>
        <w:tabs>
          <w:tab w:leader="none" w:pos="129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1300" w:right="260" w:hanging="643"/>
        <w:spacing w:after="0" w:line="277" w:lineRule="auto"/>
        <w:tabs>
          <w:tab w:leader="none" w:pos="1302" w:val="left"/>
        </w:tabs>
        <w:numPr>
          <w:ilvl w:val="1"/>
          <w:numId w:val="2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80" w:type="dxa"/>
            <w:vAlign w:val="bottom"/>
          </w:tcPr>
          <w:p>
            <w:pPr>
              <w:spacing w:after="0"/>
              <w:rPr>
                <w:sz w:val="20"/>
                <w:szCs w:val="20"/>
                <w:color w:val="auto"/>
              </w:rPr>
            </w:pPr>
            <w:r>
              <w:rPr>
                <w:rFonts w:ascii="Arial" w:cs="Arial" w:eastAsia="Arial" w:hAnsi="Arial"/>
                <w:sz w:val="18"/>
                <w:szCs w:val="18"/>
                <w:color w:val="auto"/>
              </w:rPr>
              <w:t>April 29, 2020</w:t>
            </w:r>
          </w:p>
        </w:tc>
        <w:tc>
          <w:tcPr>
            <w:tcW w:w="49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49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49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960" w:type="dxa"/>
            <w:vAlign w:val="bottom"/>
          </w:tcPr>
          <w:p>
            <w:pPr>
              <w:spacing w:after="0"/>
              <w:rPr>
                <w:sz w:val="20"/>
                <w:szCs w:val="20"/>
                <w:color w:val="auto"/>
              </w:rPr>
            </w:pPr>
          </w:p>
        </w:tc>
      </w:tr>
      <w:tr>
        <w:trPr>
          <w:trHeight w:val="763"/>
        </w:trPr>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12.2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 Charles Zhaoxuan Yang, certify that:</w:t>
      </w:r>
    </w:p>
    <w:p>
      <w:pPr>
        <w:spacing w:after="0" w:line="117" w:lineRule="exact"/>
        <w:rPr>
          <w:sz w:val="20"/>
          <w:szCs w:val="20"/>
          <w:color w:val="auto"/>
        </w:rPr>
      </w:pPr>
    </w:p>
    <w:p>
      <w:pPr>
        <w:ind w:left="680" w:hanging="671"/>
        <w:spacing w:after="0"/>
        <w:tabs>
          <w:tab w:leader="none" w:pos="6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NetEase, Inc.;</w:t>
      </w:r>
    </w:p>
    <w:p>
      <w:pPr>
        <w:spacing w:after="0" w:line="117" w:lineRule="exact"/>
        <w:rPr>
          <w:rFonts w:ascii="Arial" w:cs="Arial" w:eastAsia="Arial" w:hAnsi="Arial"/>
          <w:sz w:val="18"/>
          <w:szCs w:val="18"/>
          <w:color w:val="auto"/>
        </w:rPr>
      </w:pPr>
    </w:p>
    <w:p>
      <w:pPr>
        <w:ind w:left="660" w:right="200" w:hanging="651"/>
        <w:spacing w:after="0" w:line="263" w:lineRule="auto"/>
        <w:tabs>
          <w:tab w:leader="none" w:pos="68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260" w:hanging="651"/>
        <w:spacing w:after="0" w:line="263" w:lineRule="auto"/>
        <w:tabs>
          <w:tab w:leader="none" w:pos="687"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5" w:lineRule="exact"/>
        <w:rPr>
          <w:rFonts w:ascii="Arial" w:cs="Arial" w:eastAsia="Arial" w:hAnsi="Arial"/>
          <w:sz w:val="18"/>
          <w:szCs w:val="18"/>
          <w:color w:val="auto"/>
        </w:rPr>
      </w:pPr>
    </w:p>
    <w:p>
      <w:pPr>
        <w:ind w:left="660" w:right="60" w:hanging="651"/>
        <w:spacing w:after="0" w:line="263" w:lineRule="auto"/>
        <w:tabs>
          <w:tab w:leader="none" w:pos="63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5" w:lineRule="exact"/>
        <w:rPr>
          <w:rFonts w:ascii="Arial" w:cs="Arial" w:eastAsia="Arial" w:hAnsi="Arial"/>
          <w:sz w:val="18"/>
          <w:szCs w:val="18"/>
          <w:color w:val="auto"/>
        </w:rPr>
      </w:pPr>
    </w:p>
    <w:p>
      <w:pPr>
        <w:ind w:left="1300" w:right="180" w:hanging="643"/>
        <w:spacing w:after="0" w:line="259" w:lineRule="auto"/>
        <w:tabs>
          <w:tab w:leader="none" w:pos="130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1300" w:right="100" w:hanging="643"/>
        <w:spacing w:after="0" w:line="311" w:lineRule="auto"/>
        <w:tabs>
          <w:tab w:leader="none" w:pos="1312" w:val="left"/>
        </w:tabs>
        <w:numPr>
          <w:ilvl w:val="1"/>
          <w:numId w:val="29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1300" w:right="260" w:hanging="643"/>
        <w:spacing w:after="0" w:line="263" w:lineRule="auto"/>
        <w:tabs>
          <w:tab w:leader="none" w:pos="130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140" w:hanging="643"/>
        <w:spacing w:after="0" w:line="263" w:lineRule="auto"/>
        <w:tabs>
          <w:tab w:leader="none" w:pos="13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left="660" w:right="600" w:hanging="651"/>
        <w:spacing w:after="0" w:line="263" w:lineRule="auto"/>
        <w:tabs>
          <w:tab w:leader="none" w:pos="639"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75" w:lineRule="exact"/>
        <w:rPr>
          <w:rFonts w:ascii="Arial" w:cs="Arial" w:eastAsia="Arial" w:hAnsi="Arial"/>
          <w:sz w:val="18"/>
          <w:szCs w:val="18"/>
          <w:color w:val="auto"/>
        </w:rPr>
      </w:pPr>
    </w:p>
    <w:p>
      <w:pPr>
        <w:ind w:left="1300" w:right="460" w:hanging="643"/>
        <w:spacing w:after="0" w:line="263" w:lineRule="auto"/>
        <w:tabs>
          <w:tab w:leader="none" w:pos="12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1300" w:right="260" w:hanging="643"/>
        <w:spacing w:after="0" w:line="277" w:lineRule="auto"/>
        <w:tabs>
          <w:tab w:leader="none" w:pos="130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380" w:type="dxa"/>
            <w:vAlign w:val="bottom"/>
          </w:tcPr>
          <w:p>
            <w:pPr>
              <w:spacing w:after="0"/>
              <w:rPr>
                <w:sz w:val="20"/>
                <w:szCs w:val="20"/>
                <w:color w:val="auto"/>
              </w:rPr>
            </w:pPr>
            <w:r>
              <w:rPr>
                <w:rFonts w:ascii="Arial" w:cs="Arial" w:eastAsia="Arial" w:hAnsi="Arial"/>
                <w:sz w:val="18"/>
                <w:szCs w:val="18"/>
                <w:color w:val="auto"/>
              </w:rPr>
              <w:t>April 29, 2020</w:t>
            </w:r>
          </w:p>
        </w:tc>
        <w:tc>
          <w:tcPr>
            <w:tcW w:w="4960" w:type="dxa"/>
            <w:vAlign w:val="bottom"/>
          </w:tcPr>
          <w:p>
            <w:pPr>
              <w:spacing w:after="0"/>
              <w:rPr>
                <w:sz w:val="20"/>
                <w:szCs w:val="20"/>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c>
          <w:tcPr>
            <w:tcW w:w="496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c>
          <w:tcPr>
            <w:tcW w:w="496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960" w:type="dxa"/>
            <w:vAlign w:val="bottom"/>
          </w:tcPr>
          <w:p>
            <w:pPr>
              <w:spacing w:after="0"/>
              <w:rPr>
                <w:sz w:val="20"/>
                <w:szCs w:val="20"/>
                <w:color w:val="auto"/>
              </w:rPr>
            </w:pPr>
          </w:p>
        </w:tc>
      </w:tr>
      <w:tr>
        <w:trPr>
          <w:trHeight w:val="776"/>
        </w:trPr>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13.1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2019 as filed with the Securities and Exchange Commission (the “Report”), I, William Lei Ding, the Chief Executive Officer of the Company, hereby certify as of tahe date hereof, solely for purposes of Title 18, Chapter 63, Section 1350 of the United States Code, that to the best of my knowledge:</w:t>
      </w:r>
    </w:p>
    <w:p>
      <w:pPr>
        <w:spacing w:after="0" w:line="79" w:lineRule="exact"/>
        <w:rPr>
          <w:sz w:val="20"/>
          <w:szCs w:val="20"/>
          <w:color w:val="auto"/>
        </w:rPr>
      </w:pPr>
    </w:p>
    <w:p>
      <w:pPr>
        <w:ind w:left="660" w:right="360" w:hanging="651"/>
        <w:spacing w:after="0" w:line="277" w:lineRule="auto"/>
        <w:tabs>
          <w:tab w:leader="none" w:pos="6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right="40" w:hanging="651"/>
        <w:spacing w:after="0" w:line="277" w:lineRule="auto"/>
        <w:tabs>
          <w:tab w:leader="none" w:pos="68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200" w:type="dxa"/>
            <w:vAlign w:val="bottom"/>
          </w:tcPr>
          <w:p>
            <w:pPr>
              <w:spacing w:after="0"/>
              <w:rPr>
                <w:sz w:val="20"/>
                <w:szCs w:val="20"/>
                <w:color w:val="auto"/>
              </w:rPr>
            </w:pPr>
            <w:r>
              <w:rPr>
                <w:rFonts w:ascii="Arial" w:cs="Arial" w:eastAsia="Arial" w:hAnsi="Arial"/>
                <w:sz w:val="18"/>
                <w:szCs w:val="18"/>
                <w:color w:val="auto"/>
              </w:rPr>
              <w:t>April 29, 2020</w:t>
            </w:r>
          </w:p>
        </w:tc>
        <w:tc>
          <w:tcPr>
            <w:tcW w:w="496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Lei Ding</w:t>
            </w:r>
          </w:p>
        </w:tc>
        <w:tc>
          <w:tcPr>
            <w:tcW w:w="4960" w:type="dxa"/>
            <w:vAlign w:val="bottom"/>
          </w:tcPr>
          <w:p>
            <w:pPr>
              <w:spacing w:after="0"/>
              <w:rPr>
                <w:sz w:val="24"/>
                <w:szCs w:val="24"/>
                <w:color w:val="auto"/>
              </w:rPr>
            </w:pP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00" w:type="dxa"/>
            <w:vAlign w:val="bottom"/>
          </w:tcPr>
          <w:p>
            <w:pPr>
              <w:spacing w:after="0" w:line="195" w:lineRule="exact"/>
              <w:rPr>
                <w:sz w:val="20"/>
                <w:szCs w:val="20"/>
                <w:color w:val="auto"/>
              </w:rPr>
            </w:pPr>
            <w:r>
              <w:rPr>
                <w:rFonts w:ascii="Arial" w:cs="Arial" w:eastAsia="Arial" w:hAnsi="Arial"/>
                <w:sz w:val="18"/>
                <w:szCs w:val="18"/>
                <w:color w:val="auto"/>
              </w:rPr>
              <w:t>William Lei Ding</w:t>
            </w:r>
          </w:p>
        </w:tc>
        <w:tc>
          <w:tcPr>
            <w:tcW w:w="4960" w:type="dxa"/>
            <w:vAlign w:val="bottom"/>
          </w:tcPr>
          <w:p>
            <w:pPr>
              <w:spacing w:after="0"/>
              <w:rPr>
                <w:sz w:val="16"/>
                <w:szCs w:val="16"/>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2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960" w:type="dxa"/>
            <w:vAlign w:val="bottom"/>
          </w:tcPr>
          <w:p>
            <w:pPr>
              <w:spacing w:after="0"/>
              <w:rPr>
                <w:sz w:val="20"/>
                <w:szCs w:val="20"/>
                <w:color w:val="auto"/>
              </w:rPr>
            </w:pPr>
          </w:p>
        </w:tc>
      </w:tr>
      <w:tr>
        <w:trPr>
          <w:trHeight w:val="776"/>
        </w:trPr>
        <w:tc>
          <w:tcPr>
            <w:tcW w:w="7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13.2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906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periodic report of NetEase, Inc. (the “Company”) on Form 20-F for the year ended December 31, 2019 as filed with the Securities and Exchange Commission (the “Report”), I, Charles Zhaoxuan Yang, the Chief Financial Officer of the Company, hereby certify as of the date hereof, solely for purposes of Title 18, Chapter 63, Section 1350 of the United States Code, that to the best of my knowledge:</w:t>
      </w:r>
    </w:p>
    <w:p>
      <w:pPr>
        <w:spacing w:after="0" w:line="79" w:lineRule="exact"/>
        <w:rPr>
          <w:sz w:val="20"/>
          <w:szCs w:val="20"/>
          <w:color w:val="auto"/>
        </w:rPr>
      </w:pPr>
    </w:p>
    <w:p>
      <w:pPr>
        <w:ind w:left="660" w:right="360" w:hanging="651"/>
        <w:spacing w:after="0" w:line="277" w:lineRule="auto"/>
        <w:tabs>
          <w:tab w:leader="none" w:pos="6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right="40" w:hanging="651"/>
        <w:spacing w:after="0" w:line="277" w:lineRule="auto"/>
        <w:tabs>
          <w:tab w:leader="none" w:pos="68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has not been, and shall not be deemed, “filed” with the Securities and Exchange Commission.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spacing w:after="0"/>
              <w:rPr>
                <w:sz w:val="20"/>
                <w:szCs w:val="20"/>
                <w:color w:val="auto"/>
              </w:rPr>
            </w:pPr>
            <w:r>
              <w:rPr>
                <w:rFonts w:ascii="Arial" w:cs="Arial" w:eastAsia="Arial" w:hAnsi="Arial"/>
                <w:sz w:val="18"/>
                <w:szCs w:val="18"/>
                <w:color w:val="auto"/>
              </w:rPr>
              <w:t>April 29, 2020</w:t>
            </w:r>
          </w:p>
        </w:tc>
        <w:tc>
          <w:tcPr>
            <w:tcW w:w="496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Zhaoxuan Yang</w:t>
            </w:r>
          </w:p>
        </w:tc>
        <w:tc>
          <w:tcPr>
            <w:tcW w:w="4960" w:type="dxa"/>
            <w:vAlign w:val="bottom"/>
          </w:tcPr>
          <w:p>
            <w:pPr>
              <w:spacing w:after="0"/>
              <w:rPr>
                <w:sz w:val="24"/>
                <w:szCs w:val="24"/>
                <w:color w:val="auto"/>
              </w:rPr>
            </w:pP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00" w:type="dxa"/>
            <w:vAlign w:val="bottom"/>
          </w:tcPr>
          <w:p>
            <w:pPr>
              <w:spacing w:after="0" w:line="195" w:lineRule="exact"/>
              <w:rPr>
                <w:sz w:val="20"/>
                <w:szCs w:val="20"/>
                <w:color w:val="auto"/>
              </w:rPr>
            </w:pPr>
            <w:r>
              <w:rPr>
                <w:rFonts w:ascii="Arial" w:cs="Arial" w:eastAsia="Arial" w:hAnsi="Arial"/>
                <w:sz w:val="18"/>
                <w:szCs w:val="18"/>
                <w:color w:val="auto"/>
              </w:rPr>
              <w:t>Charles Zhaoxuan Yang</w:t>
            </w:r>
          </w:p>
        </w:tc>
        <w:tc>
          <w:tcPr>
            <w:tcW w:w="496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960" w:type="dxa"/>
            <w:vAlign w:val="bottom"/>
          </w:tcPr>
          <w:p>
            <w:pPr>
              <w:spacing w:after="0"/>
              <w:rPr>
                <w:sz w:val="20"/>
                <w:szCs w:val="20"/>
                <w:color w:val="auto"/>
              </w:rPr>
            </w:pPr>
          </w:p>
        </w:tc>
      </w:tr>
      <w:tr>
        <w:trPr>
          <w:trHeight w:val="776"/>
        </w:trPr>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15.2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333-100069, No. 333-164249 and No. 333-234189) of NetEase, Inc. of our report dated April 29, 2020 relating to the financial statements and the effectiveness of internal control over financial reporting, which appears in this Form 20-F.</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554355</wp:posOffset>
            </wp:positionV>
            <wp:extent cx="629221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7" w:name="page408"/>
    <w:bookmarkEnd w:id="407"/>
    <w:p>
      <w:pPr>
        <w:jc w:val="right"/>
        <w:spacing w:after="0"/>
        <w:rPr>
          <w:sz w:val="20"/>
          <w:szCs w:val="20"/>
          <w:color w:val="auto"/>
        </w:rPr>
      </w:pPr>
      <w:r>
        <w:rPr>
          <w:rFonts w:ascii="Arial" w:cs="Arial" w:eastAsia="Arial" w:hAnsi="Arial"/>
          <w:sz w:val="19"/>
          <w:szCs w:val="19"/>
          <w:b w:val="1"/>
          <w:bCs w:val="1"/>
          <w:color w:val="auto"/>
        </w:rPr>
        <w:t>Exhibit 15.3</w:t>
      </w:r>
    </w:p>
    <w:p>
      <w:pPr>
        <w:spacing w:after="0" w:line="19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Our ref</w:t>
      </w:r>
      <w:r>
        <w:rPr>
          <w:sz w:val="20"/>
          <w:szCs w:val="20"/>
          <w:color w:val="auto"/>
        </w:rPr>
        <w:tab/>
      </w:r>
      <w:r>
        <w:rPr>
          <w:rFonts w:ascii="Arial" w:cs="Arial" w:eastAsia="Arial" w:hAnsi="Arial"/>
          <w:sz w:val="17"/>
          <w:szCs w:val="17"/>
          <w:color w:val="auto"/>
        </w:rPr>
        <w:t>MHY/302157-000001/16399260v1</w:t>
      </w:r>
    </w:p>
    <w:p>
      <w:pPr>
        <w:spacing w:after="0" w:line="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Direct tel</w:t>
      </w:r>
      <w:r>
        <w:rPr>
          <w:sz w:val="20"/>
          <w:szCs w:val="20"/>
          <w:color w:val="auto"/>
        </w:rPr>
        <w:tab/>
      </w:r>
      <w:r>
        <w:rPr>
          <w:rFonts w:ascii="Arial" w:cs="Arial" w:eastAsia="Arial" w:hAnsi="Arial"/>
          <w:sz w:val="18"/>
          <w:szCs w:val="18"/>
          <w:color w:val="auto"/>
        </w:rPr>
        <w:t>+852 3690 7473</w:t>
      </w:r>
    </w:p>
    <w:p>
      <w:pPr>
        <w:spacing w:after="0"/>
        <w:tabs>
          <w:tab w:leader="none" w:pos="102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7"/>
          <w:szCs w:val="17"/>
          <w:color w:val="auto"/>
        </w:rPr>
        <w:t>mindy.ho@maples.com</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BY COURIER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4" w:lineRule="auto"/>
        <w:rPr>
          <w:sz w:val="20"/>
          <w:szCs w:val="20"/>
          <w:color w:val="auto"/>
        </w:rPr>
      </w:pPr>
      <w:r>
        <w:rPr>
          <w:rFonts w:ascii="Arial" w:cs="Arial" w:eastAsia="Arial" w:hAnsi="Arial"/>
          <w:sz w:val="18"/>
          <w:szCs w:val="18"/>
          <w:color w:val="auto"/>
        </w:rPr>
        <w:t>NetEase Building, No. 599 Wangshang Road</w:t>
      </w:r>
    </w:p>
    <w:p>
      <w:pPr>
        <w:spacing w:after="0" w:line="235" w:lineRule="auto"/>
        <w:rPr>
          <w:sz w:val="20"/>
          <w:szCs w:val="20"/>
          <w:color w:val="auto"/>
        </w:rPr>
      </w:pPr>
      <w:r>
        <w:rPr>
          <w:rFonts w:ascii="Arial" w:cs="Arial" w:eastAsia="Arial" w:hAnsi="Arial"/>
          <w:sz w:val="18"/>
          <w:szCs w:val="18"/>
          <w:color w:val="auto"/>
        </w:rPr>
        <w:t>Binjiang District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Hangzhou, 310052, People’s Republic of China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29 April 2020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NetEase, Inc.</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acted as legal advisors as to the laws of the Cayman Islands to NetEase, Inc., an exempted limited liability company incorporated in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filing by the Company with the United States Securities and Exchange Commission of an annual report on Form 20-F for the year ended December 31, 2019.</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hereby consent to the reference of our name under the headings “Taxation” and “Enforcement of Civil Liabilities” in the Form 20-F.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 (Hong Kong)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469265</wp:posOffset>
            </wp:positionV>
            <wp:extent cx="629221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15.4</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20/F, China Resources Building</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Jianguomenbei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Beijing 100005, PRC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 (86-10) 8519-1300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 (86-10) 8519-1350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junhebj@junhe.com</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29, 2020</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NetEase,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NetEase Building, No.599 Wangshang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Binjiang District, Hangzhou 310052, PRC</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Re: Consent of People’s Republic of China Counsel</w:t>
      </w:r>
    </w:p>
    <w:p>
      <w:pPr>
        <w:spacing w:after="0" w:line="360"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We consent to the reference to our firm under the heading “Enforcement of Civil Liabilities” in the annual report on Form 20-F for the year ended December 31, 2019 of NetEase, Inc. to be filed with the Securities and Exchange Commission in the month of April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JunHe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JunHe LLP</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Beijing Head Office</w:t>
            </w:r>
          </w:p>
        </w:tc>
        <w:tc>
          <w:tcPr>
            <w:tcW w:w="2020" w:type="dxa"/>
            <w:vAlign w:val="bottom"/>
            <w:gridSpan w:val="2"/>
          </w:tcPr>
          <w:p>
            <w:pPr>
              <w:ind w:left="140"/>
              <w:spacing w:after="0"/>
              <w:rPr>
                <w:sz w:val="20"/>
                <w:szCs w:val="20"/>
                <w:color w:val="auto"/>
              </w:rPr>
            </w:pPr>
            <w:r>
              <w:rPr>
                <w:rFonts w:ascii="Arial" w:cs="Arial" w:eastAsia="Arial" w:hAnsi="Arial"/>
                <w:sz w:val="18"/>
                <w:szCs w:val="18"/>
                <w:b w:val="1"/>
                <w:bCs w:val="1"/>
                <w:color w:val="auto"/>
              </w:rPr>
              <w:t xml:space="preserve">Shenzhen Office </w:t>
            </w:r>
            <w:r>
              <w:rPr>
                <w:rFonts w:ascii="Arial" w:cs="Arial" w:eastAsia="Arial" w:hAnsi="Arial"/>
                <w:sz w:val="18"/>
                <w:szCs w:val="18"/>
                <w:color w:val="auto"/>
              </w:rPr>
              <w:t>Tel:</w:t>
            </w:r>
          </w:p>
        </w:tc>
        <w:tc>
          <w:tcPr>
            <w:tcW w:w="2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Dalian Office </w:t>
            </w:r>
            <w:r>
              <w:rPr>
                <w:rFonts w:ascii="Arial" w:cs="Arial" w:eastAsia="Arial" w:hAnsi="Arial"/>
                <w:sz w:val="18"/>
                <w:szCs w:val="18"/>
                <w:color w:val="auto"/>
              </w:rPr>
              <w:t>Tel: (86-</w:t>
            </w:r>
          </w:p>
        </w:tc>
        <w:tc>
          <w:tcPr>
            <w:tcW w:w="2020" w:type="dxa"/>
            <w:vAlign w:val="bottom"/>
            <w:vMerge w:val="restart"/>
          </w:tcPr>
          <w:p>
            <w:pPr>
              <w:ind w:left="140"/>
              <w:spacing w:after="0"/>
              <w:rPr>
                <w:sz w:val="20"/>
                <w:szCs w:val="20"/>
                <w:color w:val="auto"/>
              </w:rPr>
            </w:pPr>
            <w:r>
              <w:rPr>
                <w:rFonts w:ascii="Arial" w:cs="Arial" w:eastAsia="Arial" w:hAnsi="Arial"/>
                <w:sz w:val="18"/>
                <w:szCs w:val="18"/>
                <w:b w:val="1"/>
                <w:bCs w:val="1"/>
                <w:color w:val="auto"/>
                <w:w w:val="98"/>
              </w:rPr>
              <w:t xml:space="preserve">Hong Kong Office </w:t>
            </w:r>
            <w:r>
              <w:rPr>
                <w:rFonts w:ascii="Arial" w:cs="Arial" w:eastAsia="Arial" w:hAnsi="Arial"/>
                <w:sz w:val="18"/>
                <w:szCs w:val="18"/>
                <w:color w:val="auto"/>
                <w:w w:val="98"/>
              </w:rPr>
              <w:t>Tel:</w:t>
            </w:r>
          </w:p>
        </w:tc>
        <w:tc>
          <w:tcPr>
            <w:tcW w:w="19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Silicon Valley Office</w:t>
            </w:r>
          </w:p>
        </w:tc>
        <w:tc>
          <w:tcPr>
            <w:tcW w:w="0" w:type="dxa"/>
            <w:vAlign w:val="bottom"/>
          </w:tcPr>
          <w:p>
            <w:pPr>
              <w:spacing w:after="0"/>
              <w:rPr>
                <w:sz w:val="1"/>
                <w:szCs w:val="1"/>
                <w:color w:val="auto"/>
              </w:rPr>
            </w:pPr>
          </w:p>
        </w:tc>
      </w:tr>
      <w:tr>
        <w:trPr>
          <w:trHeight w:val="216"/>
        </w:trPr>
        <w:tc>
          <w:tcPr>
            <w:tcW w:w="1880" w:type="dxa"/>
            <w:vAlign w:val="bottom"/>
            <w:vMerge w:val="continue"/>
          </w:tcPr>
          <w:p>
            <w:pPr>
              <w:spacing w:after="0"/>
              <w:rPr>
                <w:sz w:val="18"/>
                <w:szCs w:val="18"/>
                <w:color w:val="auto"/>
              </w:rPr>
            </w:pP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(86-755) 2587-0765</w:t>
            </w:r>
          </w:p>
        </w:tc>
        <w:tc>
          <w:tcPr>
            <w:tcW w:w="2020" w:type="dxa"/>
            <w:vAlign w:val="bottom"/>
            <w:vMerge w:val="continue"/>
          </w:tcPr>
          <w:p>
            <w:pPr>
              <w:spacing w:after="0"/>
              <w:rPr>
                <w:sz w:val="18"/>
                <w:szCs w:val="18"/>
                <w:color w:val="auto"/>
              </w:rPr>
            </w:pPr>
          </w:p>
        </w:tc>
        <w:tc>
          <w:tcPr>
            <w:tcW w:w="2020" w:type="dxa"/>
            <w:vAlign w:val="bottom"/>
            <w:vMerge w:val="continue"/>
          </w:tcPr>
          <w:p>
            <w:pPr>
              <w:spacing w:after="0"/>
              <w:rPr>
                <w:sz w:val="18"/>
                <w:szCs w:val="18"/>
                <w:color w:val="auto"/>
              </w:rPr>
            </w:pPr>
          </w:p>
        </w:tc>
        <w:tc>
          <w:tcPr>
            <w:tcW w:w="1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Tel: (86-10) 8519-1300</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rPr>
              <w:t>Fax: (86-755) 2587-</w:t>
            </w:r>
          </w:p>
        </w:tc>
        <w:tc>
          <w:tcPr>
            <w:tcW w:w="2020" w:type="dxa"/>
            <w:vAlign w:val="bottom"/>
          </w:tcPr>
          <w:p>
            <w:pPr>
              <w:ind w:left="140"/>
              <w:spacing w:after="0"/>
              <w:rPr>
                <w:sz w:val="20"/>
                <w:szCs w:val="20"/>
                <w:color w:val="auto"/>
              </w:rPr>
            </w:pPr>
            <w:r>
              <w:rPr>
                <w:rFonts w:ascii="Arial" w:cs="Arial" w:eastAsia="Arial" w:hAnsi="Arial"/>
                <w:sz w:val="18"/>
                <w:szCs w:val="18"/>
                <w:color w:val="auto"/>
              </w:rPr>
              <w:t>411) 8250-7578 Fax:</w:t>
            </w:r>
          </w:p>
        </w:tc>
        <w:tc>
          <w:tcPr>
            <w:tcW w:w="2020" w:type="dxa"/>
            <w:vAlign w:val="bottom"/>
          </w:tcPr>
          <w:p>
            <w:pPr>
              <w:ind w:left="140"/>
              <w:spacing w:after="0"/>
              <w:rPr>
                <w:sz w:val="20"/>
                <w:szCs w:val="20"/>
                <w:color w:val="auto"/>
              </w:rPr>
            </w:pPr>
            <w:r>
              <w:rPr>
                <w:rFonts w:ascii="Arial" w:cs="Arial" w:eastAsia="Arial" w:hAnsi="Arial"/>
                <w:sz w:val="18"/>
                <w:szCs w:val="18"/>
                <w:color w:val="auto"/>
              </w:rPr>
              <w:t>(852) 2167-0000 Fax:</w:t>
            </w:r>
          </w:p>
        </w:tc>
        <w:tc>
          <w:tcPr>
            <w:tcW w:w="1980" w:type="dxa"/>
            <w:vAlign w:val="bottom"/>
          </w:tcPr>
          <w:p>
            <w:pPr>
              <w:ind w:left="140"/>
              <w:spacing w:after="0"/>
              <w:rPr>
                <w:sz w:val="20"/>
                <w:szCs w:val="20"/>
                <w:color w:val="auto"/>
              </w:rPr>
            </w:pPr>
            <w:r>
              <w:rPr>
                <w:rFonts w:ascii="Arial" w:cs="Arial" w:eastAsia="Arial" w:hAnsi="Arial"/>
                <w:sz w:val="18"/>
                <w:szCs w:val="18"/>
                <w:color w:val="auto"/>
              </w:rPr>
              <w:t>Tel: (1-888) 886-8168</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w w:val="98"/>
              </w:rPr>
              <w:t>Fax: (86-10) 8519-1350</w:t>
            </w:r>
          </w:p>
        </w:tc>
        <w:tc>
          <w:tcPr>
            <w:tcW w:w="700" w:type="dxa"/>
            <w:vAlign w:val="bottom"/>
          </w:tcPr>
          <w:p>
            <w:pPr>
              <w:ind w:left="140"/>
              <w:spacing w:after="0"/>
              <w:rPr>
                <w:sz w:val="20"/>
                <w:szCs w:val="20"/>
                <w:color w:val="auto"/>
              </w:rPr>
            </w:pPr>
            <w:r>
              <w:rPr>
                <w:rFonts w:ascii="Arial" w:cs="Arial" w:eastAsia="Arial" w:hAnsi="Arial"/>
                <w:sz w:val="18"/>
                <w:szCs w:val="18"/>
                <w:color w:val="auto"/>
              </w:rPr>
              <w:t>0780</w:t>
            </w:r>
          </w:p>
        </w:tc>
        <w:tc>
          <w:tcPr>
            <w:tcW w:w="1320" w:type="dxa"/>
            <w:vAlign w:val="bottom"/>
          </w:tcPr>
          <w:p>
            <w:pPr>
              <w:spacing w:after="0"/>
              <w:rPr>
                <w:sz w:val="20"/>
                <w:szCs w:val="20"/>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(86-411) 8250-7579</w:t>
            </w:r>
          </w:p>
        </w:tc>
        <w:tc>
          <w:tcPr>
            <w:tcW w:w="2020" w:type="dxa"/>
            <w:vAlign w:val="bottom"/>
          </w:tcPr>
          <w:p>
            <w:pPr>
              <w:ind w:left="140"/>
              <w:spacing w:after="0"/>
              <w:rPr>
                <w:sz w:val="20"/>
                <w:szCs w:val="20"/>
                <w:color w:val="auto"/>
              </w:rPr>
            </w:pPr>
            <w:r>
              <w:rPr>
                <w:rFonts w:ascii="Arial" w:cs="Arial" w:eastAsia="Arial" w:hAnsi="Arial"/>
                <w:sz w:val="18"/>
                <w:szCs w:val="18"/>
                <w:color w:val="auto"/>
              </w:rPr>
              <w:t>(852) 2167-0050</w:t>
            </w:r>
          </w:p>
        </w:tc>
        <w:tc>
          <w:tcPr>
            <w:tcW w:w="1980" w:type="dxa"/>
            <w:vAlign w:val="bottom"/>
          </w:tcPr>
          <w:p>
            <w:pPr>
              <w:ind w:left="140"/>
              <w:spacing w:after="0"/>
              <w:rPr>
                <w:sz w:val="20"/>
                <w:szCs w:val="20"/>
                <w:color w:val="auto"/>
              </w:rPr>
            </w:pPr>
            <w:r>
              <w:rPr>
                <w:rFonts w:ascii="Arial" w:cs="Arial" w:eastAsia="Arial" w:hAnsi="Arial"/>
                <w:sz w:val="18"/>
                <w:szCs w:val="18"/>
                <w:color w:val="auto"/>
              </w:rPr>
              <w:t>Fax: (1-888) 808-2168</w:t>
            </w:r>
          </w:p>
        </w:tc>
        <w:tc>
          <w:tcPr>
            <w:tcW w:w="0" w:type="dxa"/>
            <w:vAlign w:val="bottom"/>
          </w:tcPr>
          <w:p>
            <w:pPr>
              <w:spacing w:after="0"/>
              <w:rPr>
                <w:sz w:val="1"/>
                <w:szCs w:val="1"/>
                <w:color w:val="auto"/>
              </w:rPr>
            </w:pPr>
          </w:p>
        </w:tc>
      </w:tr>
      <w:tr>
        <w:trPr>
          <w:trHeight w:val="418"/>
        </w:trPr>
        <w:tc>
          <w:tcPr>
            <w:tcW w:w="1880" w:type="dxa"/>
            <w:vAlign w:val="bottom"/>
          </w:tcPr>
          <w:p>
            <w:pPr>
              <w:spacing w:after="0"/>
              <w:rPr>
                <w:sz w:val="20"/>
                <w:szCs w:val="20"/>
                <w:color w:val="auto"/>
              </w:rPr>
            </w:pPr>
            <w:r>
              <w:rPr>
                <w:rFonts w:ascii="Arial" w:cs="Arial" w:eastAsia="Arial" w:hAnsi="Arial"/>
                <w:sz w:val="18"/>
                <w:szCs w:val="18"/>
                <w:b w:val="1"/>
                <w:bCs w:val="1"/>
                <w:color w:val="auto"/>
              </w:rPr>
              <w:t xml:space="preserve">Shanghai Office </w:t>
            </w:r>
            <w:r>
              <w:rPr>
                <w:rFonts w:ascii="Arial" w:cs="Arial" w:eastAsia="Arial" w:hAnsi="Arial"/>
                <w:sz w:val="18"/>
                <w:szCs w:val="18"/>
                <w:color w:val="auto"/>
              </w:rPr>
              <w:t>Tel:</w:t>
            </w:r>
          </w:p>
        </w:tc>
        <w:tc>
          <w:tcPr>
            <w:tcW w:w="2020" w:type="dxa"/>
            <w:vAlign w:val="bottom"/>
            <w:gridSpan w:val="2"/>
          </w:tcPr>
          <w:p>
            <w:pPr>
              <w:ind w:left="140"/>
              <w:spacing w:after="0"/>
              <w:rPr>
                <w:sz w:val="20"/>
                <w:szCs w:val="20"/>
                <w:color w:val="auto"/>
              </w:rPr>
            </w:pPr>
            <w:r>
              <w:rPr>
                <w:rFonts w:ascii="Arial" w:cs="Arial" w:eastAsia="Arial" w:hAnsi="Arial"/>
                <w:sz w:val="18"/>
                <w:szCs w:val="18"/>
                <w:b w:val="1"/>
                <w:bCs w:val="1"/>
                <w:color w:val="auto"/>
                <w:w w:val="97"/>
              </w:rPr>
              <w:t xml:space="preserve">Guangzhou Office </w:t>
            </w:r>
            <w:r>
              <w:rPr>
                <w:rFonts w:ascii="Arial" w:cs="Arial" w:eastAsia="Arial" w:hAnsi="Arial"/>
                <w:sz w:val="18"/>
                <w:szCs w:val="18"/>
                <w:color w:val="auto"/>
                <w:w w:val="97"/>
              </w:rPr>
              <w:t>Tel:</w:t>
            </w:r>
          </w:p>
        </w:tc>
        <w:tc>
          <w:tcPr>
            <w:tcW w:w="2020" w:type="dxa"/>
            <w:vAlign w:val="bottom"/>
          </w:tcPr>
          <w:p>
            <w:pPr>
              <w:ind w:left="140"/>
              <w:spacing w:after="0"/>
              <w:rPr>
                <w:sz w:val="20"/>
                <w:szCs w:val="20"/>
                <w:color w:val="auto"/>
              </w:rPr>
            </w:pPr>
            <w:r>
              <w:rPr>
                <w:rFonts w:ascii="Arial" w:cs="Arial" w:eastAsia="Arial" w:hAnsi="Arial"/>
                <w:sz w:val="18"/>
                <w:szCs w:val="18"/>
                <w:b w:val="1"/>
                <w:bCs w:val="1"/>
                <w:color w:val="auto"/>
                <w:w w:val="98"/>
              </w:rPr>
              <w:t xml:space="preserve">Haikou Office </w:t>
            </w:r>
            <w:r>
              <w:rPr>
                <w:rFonts w:ascii="Arial" w:cs="Arial" w:eastAsia="Arial" w:hAnsi="Arial"/>
                <w:sz w:val="18"/>
                <w:szCs w:val="18"/>
                <w:color w:val="auto"/>
                <w:w w:val="98"/>
              </w:rPr>
              <w:t>Tel: (86-</w:t>
            </w:r>
          </w:p>
        </w:tc>
        <w:tc>
          <w:tcPr>
            <w:tcW w:w="2020" w:type="dxa"/>
            <w:vAlign w:val="bottom"/>
          </w:tcPr>
          <w:p>
            <w:pPr>
              <w:ind w:left="140"/>
              <w:spacing w:after="0"/>
              <w:rPr>
                <w:sz w:val="20"/>
                <w:szCs w:val="20"/>
                <w:color w:val="auto"/>
              </w:rPr>
            </w:pPr>
            <w:r>
              <w:rPr>
                <w:rFonts w:ascii="Arial" w:cs="Arial" w:eastAsia="Arial" w:hAnsi="Arial"/>
                <w:sz w:val="18"/>
                <w:szCs w:val="18"/>
                <w:b w:val="1"/>
                <w:bCs w:val="1"/>
                <w:color w:val="auto"/>
              </w:rPr>
              <w:t xml:space="preserve">New York Office </w:t>
            </w:r>
            <w:r>
              <w:rPr>
                <w:rFonts w:ascii="Arial" w:cs="Arial" w:eastAsia="Arial" w:hAnsi="Arial"/>
                <w:sz w:val="18"/>
                <w:szCs w:val="18"/>
                <w:color w:val="auto"/>
              </w:rPr>
              <w:t>Tel:</w:t>
            </w:r>
          </w:p>
        </w:tc>
        <w:tc>
          <w:tcPr>
            <w:tcW w:w="1980" w:type="dxa"/>
            <w:vAlign w:val="bottom"/>
          </w:tcPr>
          <w:p>
            <w:pPr>
              <w:ind w:left="140"/>
              <w:spacing w:after="0"/>
              <w:rPr>
                <w:sz w:val="20"/>
                <w:szCs w:val="20"/>
                <w:color w:val="auto"/>
              </w:rPr>
            </w:pPr>
            <w:r>
              <w:rPr>
                <w:rFonts w:ascii="Arial" w:cs="Arial" w:eastAsia="Arial" w:hAnsi="Arial"/>
                <w:sz w:val="18"/>
                <w:szCs w:val="18"/>
                <w:b w:val="1"/>
                <w:bCs w:val="1"/>
                <w:color w:val="auto"/>
                <w:w w:val="97"/>
              </w:rPr>
              <w:t xml:space="preserve">Tianjin Office </w:t>
            </w:r>
            <w:r>
              <w:rPr>
                <w:rFonts w:ascii="Arial" w:cs="Arial" w:eastAsia="Arial" w:hAnsi="Arial"/>
                <w:sz w:val="18"/>
                <w:szCs w:val="18"/>
                <w:color w:val="auto"/>
                <w:w w:val="97"/>
              </w:rPr>
              <w:t>Tel: (86-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w w:val="98"/>
              </w:rPr>
              <w:t>(86-21) 5298-5488 Fax:</w:t>
            </w:r>
          </w:p>
        </w:tc>
        <w:tc>
          <w:tcPr>
            <w:tcW w:w="2020" w:type="dxa"/>
            <w:vAlign w:val="bottom"/>
            <w:gridSpan w:val="2"/>
          </w:tcPr>
          <w:p>
            <w:pPr>
              <w:ind w:left="140"/>
              <w:spacing w:after="0"/>
              <w:rPr>
                <w:sz w:val="20"/>
                <w:szCs w:val="20"/>
                <w:color w:val="auto"/>
              </w:rPr>
            </w:pPr>
            <w:r>
              <w:rPr>
                <w:rFonts w:ascii="Arial" w:cs="Arial" w:eastAsia="Arial" w:hAnsi="Arial"/>
                <w:sz w:val="18"/>
                <w:szCs w:val="18"/>
                <w:color w:val="auto"/>
                <w:w w:val="98"/>
              </w:rPr>
              <w:t>(86-20) 2805-9088 Fax:</w:t>
            </w:r>
          </w:p>
        </w:tc>
        <w:tc>
          <w:tcPr>
            <w:tcW w:w="2020" w:type="dxa"/>
            <w:vAlign w:val="bottom"/>
          </w:tcPr>
          <w:p>
            <w:pPr>
              <w:ind w:left="140"/>
              <w:spacing w:after="0"/>
              <w:rPr>
                <w:sz w:val="20"/>
                <w:szCs w:val="20"/>
                <w:color w:val="auto"/>
              </w:rPr>
            </w:pPr>
            <w:r>
              <w:rPr>
                <w:rFonts w:ascii="Arial" w:cs="Arial" w:eastAsia="Arial" w:hAnsi="Arial"/>
                <w:sz w:val="18"/>
                <w:szCs w:val="18"/>
                <w:color w:val="auto"/>
              </w:rPr>
              <w:t>898) 6851-2544 Fax:</w:t>
            </w:r>
          </w:p>
        </w:tc>
        <w:tc>
          <w:tcPr>
            <w:tcW w:w="2020" w:type="dxa"/>
            <w:vAlign w:val="bottom"/>
          </w:tcPr>
          <w:p>
            <w:pPr>
              <w:ind w:left="140"/>
              <w:spacing w:after="0"/>
              <w:rPr>
                <w:sz w:val="20"/>
                <w:szCs w:val="20"/>
                <w:color w:val="auto"/>
              </w:rPr>
            </w:pPr>
            <w:r>
              <w:rPr>
                <w:rFonts w:ascii="Arial" w:cs="Arial" w:eastAsia="Arial" w:hAnsi="Arial"/>
                <w:sz w:val="18"/>
                <w:szCs w:val="18"/>
                <w:color w:val="auto"/>
              </w:rPr>
              <w:t>(1-212) 703-8702 Fax:</w:t>
            </w:r>
          </w:p>
        </w:tc>
        <w:tc>
          <w:tcPr>
            <w:tcW w:w="1980" w:type="dxa"/>
            <w:vAlign w:val="bottom"/>
          </w:tcPr>
          <w:p>
            <w:pPr>
              <w:ind w:left="140"/>
              <w:spacing w:after="0"/>
              <w:rPr>
                <w:sz w:val="20"/>
                <w:szCs w:val="20"/>
                <w:color w:val="auto"/>
              </w:rPr>
            </w:pPr>
            <w:r>
              <w:rPr>
                <w:rFonts w:ascii="Arial" w:cs="Arial" w:eastAsia="Arial" w:hAnsi="Arial"/>
                <w:sz w:val="18"/>
                <w:szCs w:val="18"/>
                <w:color w:val="auto"/>
                <w:w w:val="93"/>
              </w:rPr>
              <w:t>22) 5990-1301 Fax: (86-</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(86-21) 5298-5492</w:t>
            </w:r>
          </w:p>
        </w:tc>
        <w:tc>
          <w:tcPr>
            <w:tcW w:w="700" w:type="dxa"/>
            <w:vAlign w:val="bottom"/>
          </w:tcPr>
          <w:p>
            <w:pPr>
              <w:ind w:left="140"/>
              <w:spacing w:after="0"/>
              <w:rPr>
                <w:sz w:val="20"/>
                <w:szCs w:val="20"/>
                <w:color w:val="auto"/>
              </w:rPr>
            </w:pPr>
            <w:r>
              <w:rPr>
                <w:rFonts w:ascii="Arial" w:cs="Arial" w:eastAsia="Arial" w:hAnsi="Arial"/>
                <w:sz w:val="18"/>
                <w:szCs w:val="18"/>
                <w:color w:val="auto"/>
                <w:w w:val="92"/>
              </w:rPr>
              <w:t>(86-20)</w:t>
            </w:r>
          </w:p>
        </w:tc>
        <w:tc>
          <w:tcPr>
            <w:tcW w:w="1320" w:type="dxa"/>
            <w:vAlign w:val="bottom"/>
          </w:tcPr>
          <w:p>
            <w:pPr>
              <w:ind w:left="20"/>
              <w:spacing w:after="0"/>
              <w:rPr>
                <w:sz w:val="20"/>
                <w:szCs w:val="20"/>
                <w:color w:val="auto"/>
              </w:rPr>
            </w:pPr>
            <w:r>
              <w:rPr>
                <w:rFonts w:ascii="Arial" w:cs="Arial" w:eastAsia="Arial" w:hAnsi="Arial"/>
                <w:sz w:val="18"/>
                <w:szCs w:val="18"/>
                <w:color w:val="auto"/>
              </w:rPr>
              <w:t>2805-9099</w:t>
            </w:r>
          </w:p>
        </w:tc>
        <w:tc>
          <w:tcPr>
            <w:tcW w:w="2020" w:type="dxa"/>
            <w:vAlign w:val="bottom"/>
          </w:tcPr>
          <w:p>
            <w:pPr>
              <w:ind w:left="140"/>
              <w:spacing w:after="0"/>
              <w:rPr>
                <w:sz w:val="20"/>
                <w:szCs w:val="20"/>
                <w:color w:val="auto"/>
              </w:rPr>
            </w:pPr>
            <w:r>
              <w:rPr>
                <w:rFonts w:ascii="Arial" w:cs="Arial" w:eastAsia="Arial" w:hAnsi="Arial"/>
                <w:sz w:val="18"/>
                <w:szCs w:val="18"/>
                <w:color w:val="auto"/>
              </w:rPr>
              <w:t>(86-898) 6851-3514</w:t>
            </w:r>
          </w:p>
        </w:tc>
        <w:tc>
          <w:tcPr>
            <w:tcW w:w="2020" w:type="dxa"/>
            <w:vAlign w:val="bottom"/>
          </w:tcPr>
          <w:p>
            <w:pPr>
              <w:ind w:left="140"/>
              <w:spacing w:after="0"/>
              <w:rPr>
                <w:sz w:val="20"/>
                <w:szCs w:val="20"/>
                <w:color w:val="auto"/>
              </w:rPr>
            </w:pPr>
            <w:r>
              <w:rPr>
                <w:rFonts w:ascii="Arial" w:cs="Arial" w:eastAsia="Arial" w:hAnsi="Arial"/>
                <w:sz w:val="18"/>
                <w:szCs w:val="18"/>
                <w:color w:val="auto"/>
              </w:rPr>
              <w:t>(1-212) 703-8720</w:t>
            </w:r>
          </w:p>
        </w:tc>
        <w:tc>
          <w:tcPr>
            <w:tcW w:w="1980" w:type="dxa"/>
            <w:vAlign w:val="bottom"/>
          </w:tcPr>
          <w:p>
            <w:pPr>
              <w:ind w:left="140"/>
              <w:spacing w:after="0"/>
              <w:rPr>
                <w:sz w:val="20"/>
                <w:szCs w:val="20"/>
                <w:color w:val="auto"/>
              </w:rPr>
            </w:pPr>
            <w:r>
              <w:rPr>
                <w:rFonts w:ascii="Arial" w:cs="Arial" w:eastAsia="Arial" w:hAnsi="Arial"/>
                <w:sz w:val="18"/>
                <w:szCs w:val="18"/>
                <w:color w:val="auto"/>
              </w:rPr>
              <w:t>22) 5990-1302</w:t>
            </w:r>
          </w:p>
        </w:tc>
        <w:tc>
          <w:tcPr>
            <w:tcW w:w="0" w:type="dxa"/>
            <w:vAlign w:val="bottom"/>
          </w:tcPr>
          <w:p>
            <w:pPr>
              <w:spacing w:after="0"/>
              <w:rPr>
                <w:sz w:val="1"/>
                <w:szCs w:val="1"/>
                <w:color w:val="auto"/>
              </w:rPr>
            </w:pPr>
          </w:p>
        </w:tc>
      </w:tr>
      <w:tr>
        <w:trPr>
          <w:trHeight w:val="432"/>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Qingdao Office </w:t>
            </w:r>
            <w:r>
              <w:rPr>
                <w:rFonts w:ascii="Arial" w:cs="Arial" w:eastAsia="Arial" w:hAnsi="Arial"/>
                <w:sz w:val="18"/>
                <w:szCs w:val="18"/>
                <w:color w:val="auto"/>
              </w:rPr>
              <w:t>Tel:</w:t>
            </w: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xml:space="preserve">Hangzhou Office </w:t>
            </w:r>
            <w:r>
              <w:rPr>
                <w:rFonts w:ascii="Arial" w:cs="Arial" w:eastAsia="Arial" w:hAnsi="Arial"/>
                <w:sz w:val="18"/>
                <w:szCs w:val="18"/>
                <w:color w:val="auto"/>
              </w:rPr>
              <w:t>Tel:</w:t>
            </w:r>
          </w:p>
        </w:tc>
        <w:tc>
          <w:tcPr>
            <w:tcW w:w="2020" w:type="dxa"/>
            <w:vAlign w:val="bottom"/>
          </w:tcPr>
          <w:p>
            <w:pPr>
              <w:ind w:left="140"/>
              <w:spacing w:after="0"/>
              <w:rPr>
                <w:sz w:val="20"/>
                <w:szCs w:val="20"/>
                <w:color w:val="auto"/>
              </w:rPr>
            </w:pPr>
            <w:r>
              <w:rPr>
                <w:rFonts w:ascii="Arial" w:cs="Arial" w:eastAsia="Arial" w:hAnsi="Arial"/>
                <w:sz w:val="18"/>
                <w:szCs w:val="18"/>
                <w:color w:val="auto"/>
              </w:rPr>
              <w:t>www.junhe.com</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880" w:type="dxa"/>
            <w:vAlign w:val="bottom"/>
            <w:vMerge w:val="continue"/>
          </w:tcPr>
          <w:p>
            <w:pPr>
              <w:spacing w:after="0"/>
              <w:rPr>
                <w:sz w:val="17"/>
                <w:szCs w:val="17"/>
                <w:color w:val="auto"/>
              </w:rPr>
            </w:pPr>
          </w:p>
        </w:tc>
        <w:tc>
          <w:tcPr>
            <w:tcW w:w="2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 xml:space="preserve">Chengdu Office </w:t>
            </w:r>
            <w:r>
              <w:rPr>
                <w:rFonts w:ascii="Arial" w:cs="Arial" w:eastAsia="Arial" w:hAnsi="Arial"/>
                <w:sz w:val="18"/>
                <w:szCs w:val="18"/>
                <w:color w:val="auto"/>
              </w:rPr>
              <w:t>Tel:</w:t>
            </w:r>
          </w:p>
        </w:tc>
        <w:tc>
          <w:tcPr>
            <w:tcW w:w="2020" w:type="dxa"/>
            <w:vAlign w:val="bottom"/>
            <w:vMerge w:val="continue"/>
          </w:tcPr>
          <w:p>
            <w:pPr>
              <w:spacing w:after="0"/>
              <w:rPr>
                <w:sz w:val="17"/>
                <w:szCs w:val="17"/>
                <w:color w:val="auto"/>
              </w:rPr>
            </w:pPr>
          </w:p>
        </w:tc>
        <w:tc>
          <w:tcPr>
            <w:tcW w:w="2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(86-532) 6869-5000</w:t>
            </w:r>
          </w:p>
        </w:tc>
        <w:tc>
          <w:tcPr>
            <w:tcW w:w="2020" w:type="dxa"/>
            <w:vAlign w:val="bottom"/>
            <w:gridSpan w:val="2"/>
            <w:vMerge w:val="continue"/>
          </w:tcPr>
          <w:p>
            <w:pPr>
              <w:spacing w:after="0"/>
              <w:rPr>
                <w:sz w:val="18"/>
                <w:szCs w:val="18"/>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(86-571) 2689-8188</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Fax: (86-532) 6869-</w:t>
            </w:r>
          </w:p>
        </w:tc>
        <w:tc>
          <w:tcPr>
            <w:tcW w:w="700" w:type="dxa"/>
            <w:vAlign w:val="bottom"/>
          </w:tcPr>
          <w:p>
            <w:pPr>
              <w:ind w:left="140"/>
              <w:spacing w:after="0"/>
              <w:rPr>
                <w:sz w:val="20"/>
                <w:szCs w:val="20"/>
                <w:color w:val="auto"/>
              </w:rPr>
            </w:pPr>
            <w:r>
              <w:rPr>
                <w:rFonts w:ascii="Arial" w:cs="Arial" w:eastAsia="Arial" w:hAnsi="Arial"/>
                <w:sz w:val="18"/>
                <w:szCs w:val="18"/>
                <w:color w:val="auto"/>
                <w:w w:val="92"/>
              </w:rPr>
              <w:t>(86-28)</w:t>
            </w:r>
          </w:p>
        </w:tc>
        <w:tc>
          <w:tcPr>
            <w:tcW w:w="1320" w:type="dxa"/>
            <w:vAlign w:val="bottom"/>
          </w:tcPr>
          <w:p>
            <w:pPr>
              <w:ind w:left="20"/>
              <w:spacing w:after="0"/>
              <w:rPr>
                <w:sz w:val="20"/>
                <w:szCs w:val="20"/>
                <w:color w:val="auto"/>
              </w:rPr>
            </w:pPr>
            <w:r>
              <w:rPr>
                <w:rFonts w:ascii="Arial" w:cs="Arial" w:eastAsia="Arial" w:hAnsi="Arial"/>
                <w:sz w:val="18"/>
                <w:szCs w:val="18"/>
                <w:color w:val="auto"/>
              </w:rPr>
              <w:t>6739-8000 Fax:</w:t>
            </w:r>
          </w:p>
        </w:tc>
        <w:tc>
          <w:tcPr>
            <w:tcW w:w="2020" w:type="dxa"/>
            <w:vAlign w:val="bottom"/>
          </w:tcPr>
          <w:p>
            <w:pPr>
              <w:ind w:left="140"/>
              <w:spacing w:after="0"/>
              <w:rPr>
                <w:sz w:val="20"/>
                <w:szCs w:val="20"/>
                <w:color w:val="auto"/>
              </w:rPr>
            </w:pPr>
            <w:r>
              <w:rPr>
                <w:rFonts w:ascii="Arial" w:cs="Arial" w:eastAsia="Arial" w:hAnsi="Arial"/>
                <w:sz w:val="18"/>
                <w:szCs w:val="18"/>
                <w:color w:val="auto"/>
              </w:rPr>
              <w:t>Fax: (86-571) 2689-</w:t>
            </w:r>
          </w:p>
        </w:tc>
        <w:tc>
          <w:tcPr>
            <w:tcW w:w="2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5010</w:t>
            </w:r>
          </w:p>
        </w:tc>
        <w:tc>
          <w:tcPr>
            <w:tcW w:w="700" w:type="dxa"/>
            <w:vAlign w:val="bottom"/>
          </w:tcPr>
          <w:p>
            <w:pPr>
              <w:ind w:left="140"/>
              <w:spacing w:after="0"/>
              <w:rPr>
                <w:sz w:val="20"/>
                <w:szCs w:val="20"/>
                <w:color w:val="auto"/>
              </w:rPr>
            </w:pPr>
            <w:r>
              <w:rPr>
                <w:rFonts w:ascii="Arial" w:cs="Arial" w:eastAsia="Arial" w:hAnsi="Arial"/>
                <w:sz w:val="18"/>
                <w:szCs w:val="18"/>
                <w:color w:val="auto"/>
                <w:w w:val="92"/>
              </w:rPr>
              <w:t>(86-28)</w:t>
            </w:r>
          </w:p>
        </w:tc>
        <w:tc>
          <w:tcPr>
            <w:tcW w:w="1320" w:type="dxa"/>
            <w:vAlign w:val="bottom"/>
          </w:tcPr>
          <w:p>
            <w:pPr>
              <w:ind w:left="20"/>
              <w:spacing w:after="0"/>
              <w:rPr>
                <w:sz w:val="20"/>
                <w:szCs w:val="20"/>
                <w:color w:val="auto"/>
              </w:rPr>
            </w:pPr>
            <w:r>
              <w:rPr>
                <w:rFonts w:ascii="Arial" w:cs="Arial" w:eastAsia="Arial" w:hAnsi="Arial"/>
                <w:sz w:val="18"/>
                <w:szCs w:val="18"/>
                <w:color w:val="auto"/>
              </w:rPr>
              <w:t>6739-8001</w:t>
            </w:r>
          </w:p>
        </w:tc>
        <w:tc>
          <w:tcPr>
            <w:tcW w:w="2020" w:type="dxa"/>
            <w:vAlign w:val="bottom"/>
          </w:tcPr>
          <w:p>
            <w:pPr>
              <w:ind w:left="140"/>
              <w:spacing w:after="0"/>
              <w:rPr>
                <w:sz w:val="20"/>
                <w:szCs w:val="20"/>
                <w:color w:val="auto"/>
              </w:rPr>
            </w:pPr>
            <w:r>
              <w:rPr>
                <w:rFonts w:ascii="Arial" w:cs="Arial" w:eastAsia="Arial" w:hAnsi="Arial"/>
                <w:sz w:val="18"/>
                <w:szCs w:val="18"/>
                <w:color w:val="auto"/>
              </w:rPr>
              <w:t>8199</w:t>
            </w:r>
          </w:p>
        </w:tc>
        <w:tc>
          <w:tcPr>
            <w:tcW w:w="20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79"/>
        </w:trPr>
        <w:tc>
          <w:tcPr>
            <w:tcW w:w="18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486E47"/>
    <w:multiLevelType w:val="hybridMultilevel"/>
    <w:lvl w:ilvl="0">
      <w:lvlJc w:val="left"/>
      <w:lvlText w:val="☐"/>
      <w:numFmt w:val="bullet"/>
      <w:start w:val="1"/>
    </w:lvl>
  </w:abstractNum>
  <w:abstractNum w:abstractNumId="1">
    <w:nsid w:val="6E534CDE"/>
    <w:multiLevelType w:val="hybridMultilevel"/>
    <w:lvl w:ilvl="0">
      <w:lvlJc w:val="left"/>
      <w:lvlText w:val="☒"/>
      <w:numFmt w:val="bullet"/>
      <w:start w:val="1"/>
    </w:lvl>
  </w:abstractNum>
  <w:abstractNum w:abstractNumId="2">
    <w:nsid w:val="1A0DDE32"/>
    <w:multiLevelType w:val="hybridMultilevel"/>
    <w:lvl w:ilvl="0">
      <w:lvlJc w:val="left"/>
      <w:lvlText w:val="☐"/>
      <w:numFmt w:val="bullet"/>
      <w:start w:val="1"/>
    </w:lvl>
  </w:abstractNum>
  <w:abstractNum w:abstractNumId="3">
    <w:nsid w:val="65968C1C"/>
    <w:multiLevelType w:val="hybridMultilevel"/>
    <w:lvl w:ilvl="0">
      <w:lvlJc w:val="left"/>
      <w:lvlText w:val="†"/>
      <w:numFmt w:val="bullet"/>
      <w:start w:val="1"/>
    </w:lvl>
  </w:abstractNum>
  <w:abstractNum w:abstractNumId="4">
    <w:nsid w:val="46263DEC"/>
    <w:multiLevelType w:val="hybridMultilevel"/>
    <w:lvl w:ilvl="0">
      <w:lvlJc w:val="left"/>
      <w:lvlText w:val="●"/>
      <w:numFmt w:val="bullet"/>
      <w:start w:val="1"/>
    </w:lvl>
  </w:abstractNum>
  <w:abstractNum w:abstractNumId="5">
    <w:nsid w:val="260D8C4A"/>
    <w:multiLevelType w:val="hybridMultilevel"/>
    <w:lvl w:ilvl="0">
      <w:lvlJc w:val="left"/>
      <w:lvlText w:val="%1."/>
      <w:numFmt w:val="upperLetter"/>
      <w:start w:val="1"/>
    </w:lvl>
  </w:abstractNum>
  <w:abstractNum w:abstractNumId="6">
    <w:nsid w:val="73D4D3C4"/>
    <w:multiLevelType w:val="hybridMultilevel"/>
    <w:lvl w:ilvl="0">
      <w:lvlJc w:val="left"/>
      <w:lvlText w:val="%1."/>
      <w:numFmt w:val="upperLetter"/>
      <w:start w:val="2"/>
    </w:lvl>
  </w:abstractNum>
  <w:abstractNum w:abstractNumId="7">
    <w:nsid w:val="746F2E30"/>
    <w:multiLevelType w:val="hybridMultilevel"/>
    <w:lvl w:ilvl="0">
      <w:lvlJc w:val="left"/>
      <w:lvlText w:val="%1."/>
      <w:numFmt w:val="upperLetter"/>
      <w:start w:val="3"/>
    </w:lvl>
  </w:abstractNum>
  <w:abstractNum w:abstractNumId="8">
    <w:nsid w:val="6FDE8AF6"/>
    <w:multiLevelType w:val="hybridMultilevel"/>
    <w:lvl w:ilvl="0">
      <w:lvlJc w:val="left"/>
      <w:lvlText w:val="%1."/>
      <w:numFmt w:val="upperLetter"/>
      <w:start w:val="4"/>
    </w:lvl>
  </w:abstractNum>
  <w:abstractNum w:abstractNumId="9">
    <w:nsid w:val="3FC32E20"/>
    <w:multiLevelType w:val="hybridMultilevel"/>
    <w:lvl w:ilvl="0">
      <w:lvlJc w:val="left"/>
      <w:lvlText w:val="●"/>
      <w:numFmt w:val="bullet"/>
      <w:start w:val="1"/>
    </w:lvl>
  </w:abstractNum>
  <w:abstractNum w:abstractNumId="10">
    <w:nsid w:val="49C0E823"/>
    <w:multiLevelType w:val="hybridMultilevel"/>
    <w:lvl w:ilvl="0">
      <w:lvlJc w:val="left"/>
      <w:lvlText w:val="●"/>
      <w:numFmt w:val="bullet"/>
      <w:start w:val="1"/>
    </w:lvl>
    <w:lvl w:ilvl="1">
      <w:lvlJc w:val="left"/>
      <w:lvlText w:val="●"/>
      <w:numFmt w:val="bullet"/>
      <w:start w:val="1"/>
    </w:lvl>
  </w:abstractNum>
  <w:abstractNum w:abstractNumId="11">
    <w:nsid w:val="14D53685"/>
    <w:multiLevelType w:val="hybridMultilevel"/>
    <w:lvl w:ilvl="0">
      <w:lvlJc w:val="left"/>
      <w:lvlText w:val="●"/>
      <w:numFmt w:val="bullet"/>
      <w:start w:val="1"/>
    </w:lvl>
  </w:abstractNum>
  <w:abstractNum w:abstractNumId="12">
    <w:nsid w:val="230F856C"/>
    <w:multiLevelType w:val="hybridMultilevel"/>
    <w:lvl w:ilvl="0">
      <w:lvlJc w:val="left"/>
      <w:lvlText w:val="●"/>
      <w:numFmt w:val="bullet"/>
      <w:start w:val="1"/>
    </w:lvl>
  </w:abstractNum>
  <w:abstractNum w:abstractNumId="13">
    <w:nsid w:val="6EAA85FB"/>
    <w:multiLevelType w:val="hybridMultilevel"/>
    <w:lvl w:ilvl="0">
      <w:lvlJc w:val="left"/>
      <w:lvlText w:val="●"/>
      <w:numFmt w:val="bullet"/>
      <w:start w:val="1"/>
    </w:lvl>
  </w:abstractNum>
  <w:abstractNum w:abstractNumId="14">
    <w:nsid w:val="3F06ECB2"/>
    <w:multiLevelType w:val="hybridMultilevel"/>
    <w:lvl w:ilvl="0">
      <w:lvlJc w:val="left"/>
      <w:lvlText w:val="●"/>
      <w:numFmt w:val="bullet"/>
      <w:start w:val="1"/>
    </w:lvl>
  </w:abstractNum>
  <w:abstractNum w:abstractNumId="15">
    <w:nsid w:val="3B594807"/>
    <w:multiLevelType w:val="hybridMultilevel"/>
    <w:lvl w:ilvl="0">
      <w:lvlJc w:val="left"/>
      <w:lvlText w:val="●"/>
      <w:numFmt w:val="bullet"/>
      <w:start w:val="1"/>
    </w:lvl>
  </w:abstractNum>
  <w:abstractNum w:abstractNumId="16">
    <w:nsid w:val="6CAA2304"/>
    <w:multiLevelType w:val="hybridMultilevel"/>
    <w:lvl w:ilvl="0">
      <w:lvlJc w:val="left"/>
      <w:lvlText w:val="●"/>
      <w:numFmt w:val="bullet"/>
      <w:start w:val="1"/>
    </w:lvl>
  </w:abstractNum>
  <w:abstractNum w:abstractNumId="17">
    <w:nsid w:val="3F7C2FF4"/>
    <w:multiLevelType w:val="hybridMultilevel"/>
    <w:lvl w:ilvl="0">
      <w:lvlJc w:val="left"/>
      <w:lvlText w:val="●"/>
      <w:numFmt w:val="bullet"/>
      <w:start w:val="1"/>
    </w:lvl>
  </w:abstractNum>
  <w:abstractNum w:abstractNumId="18">
    <w:nsid w:val="25413BEC"/>
    <w:multiLevelType w:val="hybridMultilevel"/>
    <w:lvl w:ilvl="0">
      <w:lvlJc w:val="left"/>
      <w:lvlText w:val="%1."/>
      <w:numFmt w:val="decimal"/>
      <w:start w:val="13"/>
    </w:lvl>
  </w:abstractNum>
  <w:abstractNum w:abstractNumId="19">
    <w:nsid w:val="17180B0B"/>
    <w:multiLevelType w:val="hybridMultilevel"/>
    <w:lvl w:ilvl="0">
      <w:lvlJc w:val="left"/>
      <w:lvlText w:val="●"/>
      <w:numFmt w:val="bullet"/>
      <w:start w:val="1"/>
    </w:lvl>
  </w:abstractNum>
  <w:abstractNum w:abstractNumId="20">
    <w:nsid w:val="579328B9"/>
    <w:multiLevelType w:val="hybridMultilevel"/>
    <w:lvl w:ilvl="0">
      <w:lvlJc w:val="left"/>
      <w:lvlText w:val="●"/>
      <w:numFmt w:val="bullet"/>
      <w:start w:val="1"/>
    </w:lvl>
  </w:abstractNum>
  <w:abstractNum w:abstractNumId="21">
    <w:nsid w:val="5D205E20"/>
    <w:multiLevelType w:val="hybridMultilevel"/>
    <w:lvl w:ilvl="0">
      <w:lvlJc w:val="left"/>
      <w:lvlText w:val="●"/>
      <w:numFmt w:val="bullet"/>
      <w:start w:val="1"/>
    </w:lvl>
  </w:abstractNum>
  <w:abstractNum w:abstractNumId="22">
    <w:nsid w:val="11CCA8BA"/>
    <w:multiLevelType w:val="hybridMultilevel"/>
    <w:lvl w:ilvl="0">
      <w:lvlJc w:val="left"/>
      <w:lvlText w:val="%1."/>
      <w:numFmt w:val="upperLetter"/>
      <w:start w:val="1"/>
    </w:lvl>
  </w:abstractNum>
  <w:abstractNum w:abstractNumId="23">
    <w:nsid w:val="4D32AB86"/>
    <w:multiLevelType w:val="hybridMultilevel"/>
    <w:lvl w:ilvl="0">
      <w:lvlJc w:val="left"/>
      <w:lvlText w:val="%1."/>
      <w:numFmt w:val="upperLetter"/>
      <w:start w:val="2"/>
    </w:lvl>
  </w:abstractNum>
  <w:abstractNum w:abstractNumId="24">
    <w:nsid w:val="3F07ACC3"/>
    <w:multiLevelType w:val="hybridMultilevel"/>
    <w:lvl w:ilvl="0">
      <w:lvlJc w:val="left"/>
      <w:lvlText w:val="(%1)"/>
      <w:numFmt w:val="decimal"/>
      <w:start w:val="1"/>
    </w:lvl>
  </w:abstractNum>
  <w:abstractNum w:abstractNumId="25">
    <w:nsid w:val="6B47F63E"/>
    <w:multiLevelType w:val="hybridMultilevel"/>
    <w:lvl w:ilvl="0">
      <w:lvlJc w:val="left"/>
      <w:lvlText w:val="●"/>
      <w:numFmt w:val="bullet"/>
      <w:start w:val="1"/>
    </w:lvl>
  </w:abstractNum>
  <w:abstractNum w:abstractNumId="26">
    <w:nsid w:val="5CB44A05"/>
    <w:multiLevelType w:val="hybridMultilevel"/>
    <w:lvl w:ilvl="0">
      <w:lvlJc w:val="left"/>
      <w:lvlText w:val="●"/>
      <w:numFmt w:val="bullet"/>
      <w:start w:val="1"/>
    </w:lvl>
  </w:abstractNum>
  <w:abstractNum w:abstractNumId="27">
    <w:nsid w:val="16CF80F1"/>
    <w:multiLevelType w:val="hybridMultilevel"/>
    <w:lvl w:ilvl="0">
      <w:lvlJc w:val="left"/>
      <w:lvlText w:val="(%1)"/>
      <w:numFmt w:val="lowerRoman"/>
      <w:start w:val="1"/>
    </w:lvl>
  </w:abstractNum>
  <w:abstractNum w:abstractNumId="28">
    <w:nsid w:val="1C695DEC"/>
    <w:multiLevelType w:val="hybridMultilevel"/>
    <w:lvl w:ilvl="0">
      <w:lvlJc w:val="left"/>
      <w:lvlText w:val="(%1)"/>
      <w:numFmt w:val="lowerRoman"/>
      <w:start w:val="1"/>
    </w:lvl>
  </w:abstractNum>
  <w:abstractNum w:abstractNumId="29">
    <w:nsid w:val="3FCFAED9"/>
    <w:multiLevelType w:val="hybridMultilevel"/>
    <w:lvl w:ilvl="0">
      <w:lvlJc w:val="left"/>
      <w:lvlText w:val="(%1)"/>
      <w:numFmt w:val="lowerRoman"/>
      <w:start w:val="1"/>
    </w:lvl>
  </w:abstractNum>
  <w:abstractNum w:abstractNumId="30">
    <w:nsid w:val="F856867"/>
    <w:multiLevelType w:val="hybridMultilevel"/>
    <w:lvl w:ilvl="0">
      <w:lvlJc w:val="left"/>
      <w:lvlText w:val="(%1)"/>
      <w:numFmt w:val="lowerRoman"/>
      <w:start w:val="2"/>
    </w:lvl>
  </w:abstractNum>
  <w:abstractNum w:abstractNumId="31">
    <w:nsid w:val="11B1CC33"/>
    <w:multiLevelType w:val="hybridMultilevel"/>
    <w:lvl w:ilvl="0">
      <w:lvlJc w:val="left"/>
      <w:lvlText w:val="(%1)"/>
      <w:numFmt w:val="lowerRoman"/>
      <w:start w:val="5"/>
    </w:lvl>
  </w:abstractNum>
  <w:abstractNum w:abstractNumId="32">
    <w:nsid w:val="2E22FBB7"/>
    <w:multiLevelType w:val="hybridMultilevel"/>
    <w:lvl w:ilvl="0">
      <w:lvlJc w:val="left"/>
      <w:lvlText w:val="●"/>
      <w:numFmt w:val="bullet"/>
      <w:start w:val="1"/>
    </w:lvl>
    <w:lvl w:ilvl="1">
      <w:lvlJc w:val="left"/>
      <w:lvlText w:val="●"/>
      <w:numFmt w:val="bullet"/>
      <w:start w:val="1"/>
    </w:lvl>
  </w:abstractNum>
  <w:abstractNum w:abstractNumId="33">
    <w:nsid w:val="29934699"/>
    <w:multiLevelType w:val="hybridMultilevel"/>
    <w:lvl w:ilvl="0">
      <w:lvlJc w:val="left"/>
      <w:lvlText w:val="●"/>
      <w:numFmt w:val="bullet"/>
      <w:start w:val="1"/>
    </w:lvl>
    <w:lvl w:ilvl="1">
      <w:lvlJc w:val="left"/>
      <w:lvlText w:val="●"/>
      <w:numFmt w:val="bullet"/>
      <w:start w:val="1"/>
    </w:lvl>
  </w:abstractNum>
  <w:abstractNum w:abstractNumId="34">
    <w:nsid w:val="77485850"/>
    <w:multiLevelType w:val="hybridMultilevel"/>
    <w:lvl w:ilvl="0">
      <w:lvlJc w:val="left"/>
      <w:lvlText w:val="●"/>
      <w:numFmt w:val="bullet"/>
      <w:start w:val="1"/>
    </w:lvl>
  </w:abstractNum>
  <w:abstractNum w:abstractNumId="35">
    <w:nsid w:val="744939A3"/>
    <w:multiLevelType w:val="hybridMultilevel"/>
    <w:lvl w:ilvl="0">
      <w:lvlJc w:val="left"/>
      <w:lvlText w:val="(%1)"/>
      <w:numFmt w:val="lowerRoman"/>
      <w:start w:val="2"/>
    </w:lvl>
  </w:abstractNum>
  <w:abstractNum w:abstractNumId="36">
    <w:nsid w:val="4FA0D2E3"/>
    <w:multiLevelType w:val="hybridMultilevel"/>
    <w:lvl w:ilvl="0">
      <w:lvlJc w:val="left"/>
      <w:lvlText w:val="(%1)"/>
      <w:numFmt w:val="lowerRoman"/>
      <w:start w:val="1"/>
    </w:lvl>
  </w:abstractNum>
  <w:abstractNum w:abstractNumId="37">
    <w:nsid w:val="6B1D2C14"/>
    <w:multiLevelType w:val="hybridMultilevel"/>
    <w:lvl w:ilvl="0">
      <w:lvlJc w:val="left"/>
      <w:lvlText w:val="(%1)"/>
      <w:numFmt w:val="lowerRoman"/>
      <w:start w:val="3"/>
    </w:lvl>
  </w:abstractNum>
  <w:abstractNum w:abstractNumId="38">
    <w:nsid w:val="68B867D3"/>
    <w:multiLevelType w:val="hybridMultilevel"/>
    <w:lvl w:ilvl="0">
      <w:lvlJc w:val="left"/>
      <w:lvlText w:val="%1."/>
      <w:numFmt w:val="upperLetter"/>
      <w:start w:val="3"/>
    </w:lvl>
  </w:abstractNum>
  <w:abstractNum w:abstractNumId="39">
    <w:nsid w:val="3F7F5DD9"/>
    <w:multiLevelType w:val="hybridMultilevel"/>
    <w:lvl w:ilvl="0">
      <w:lvlJc w:val="left"/>
      <w:lvlText w:val="%1."/>
      <w:numFmt w:val="upperLetter"/>
      <w:start w:val="4"/>
    </w:lvl>
  </w:abstractNum>
  <w:abstractNum w:abstractNumId="40">
    <w:nsid w:val="2AE05A34"/>
    <w:multiLevelType w:val="hybridMultilevel"/>
    <w:lvl w:ilvl="0">
      <w:lvlJc w:val="left"/>
      <w:lvlText w:val="%1."/>
      <w:numFmt w:val="upperLetter"/>
      <w:start w:val="1"/>
    </w:lvl>
  </w:abstractNum>
  <w:abstractNum w:abstractNumId="41">
    <w:nsid w:val="32794FF7"/>
    <w:multiLevelType w:val="hybridMultilevel"/>
    <w:lvl w:ilvl="0">
      <w:lvlJc w:val="left"/>
      <w:lvlText w:val="(%1)"/>
      <w:numFmt w:val="lowerRoman"/>
      <w:start w:val="1"/>
    </w:lvl>
  </w:abstractNum>
  <w:abstractNum w:abstractNumId="42">
    <w:nsid w:val="5454945E"/>
    <w:multiLevelType w:val="hybridMultilevel"/>
    <w:lvl w:ilvl="0">
      <w:lvlJc w:val="left"/>
      <w:lvlText w:val="%1."/>
      <w:numFmt w:val="upperLetter"/>
      <w:start w:val="2"/>
    </w:lvl>
  </w:abstractNum>
  <w:abstractNum w:abstractNumId="43">
    <w:nsid w:val="4DEFDFA0"/>
    <w:multiLevelType w:val="hybridMultilevel"/>
    <w:lvl w:ilvl="0">
      <w:lvlJc w:val="left"/>
      <w:lvlText w:val="(%1)"/>
      <w:numFmt w:val="upperLetter"/>
      <w:start w:val="1"/>
    </w:lvl>
  </w:abstractNum>
  <w:abstractNum w:abstractNumId="44">
    <w:nsid w:val="2123D5F2"/>
    <w:multiLevelType w:val="hybridMultilevel"/>
    <w:lvl w:ilvl="0">
      <w:lvlJc w:val="left"/>
      <w:lvlText w:val="%1."/>
      <w:numFmt w:val="upperLetter"/>
      <w:start w:val="2"/>
    </w:lvl>
    <w:lvl w:ilvl="1">
      <w:lvlJc w:val="left"/>
      <w:lvlText w:val="●"/>
      <w:numFmt w:val="bullet"/>
      <w:start w:val="1"/>
    </w:lvl>
  </w:abstractNum>
  <w:abstractNum w:abstractNumId="45">
    <w:nsid w:val="135B8110"/>
    <w:multiLevelType w:val="hybridMultilevel"/>
    <w:lvl w:ilvl="0">
      <w:lvlJc w:val="left"/>
      <w:lvlText w:val="%1."/>
      <w:numFmt w:val="upperLetter"/>
      <w:start w:val="4"/>
    </w:lvl>
  </w:abstractNum>
  <w:abstractNum w:abstractNumId="46">
    <w:nsid w:val="94927A8"/>
    <w:multiLevelType w:val="hybridMultilevel"/>
    <w:lvl w:ilvl="0">
      <w:lvlJc w:val="left"/>
      <w:lvlText w:val="%1."/>
      <w:numFmt w:val="upperLetter"/>
      <w:start w:val="5"/>
    </w:lvl>
  </w:abstractNum>
  <w:abstractNum w:abstractNumId="47">
    <w:nsid w:val="DCDF8F6"/>
    <w:multiLevelType w:val="hybridMultilevel"/>
    <w:lvl w:ilvl="0">
      <w:lvlJc w:val="left"/>
      <w:lvlText w:val="%1."/>
      <w:numFmt w:val="upperLetter"/>
      <w:start w:val="6"/>
    </w:lvl>
  </w:abstractNum>
  <w:abstractNum w:abstractNumId="48">
    <w:nsid w:val="52D7B105"/>
    <w:multiLevelType w:val="hybridMultilevel"/>
    <w:lvl w:ilvl="0">
      <w:lvlJc w:val="left"/>
      <w:lvlText w:val="%1."/>
      <w:numFmt w:val="upperLetter"/>
      <w:start w:val="1"/>
    </w:lvl>
  </w:abstractNum>
  <w:abstractNum w:abstractNumId="49">
    <w:nsid w:val="2E8A6394"/>
    <w:multiLevelType w:val="hybridMultilevel"/>
    <w:lvl w:ilvl="0">
      <w:lvlJc w:val="left"/>
      <w:lvlText w:val="%1."/>
      <w:numFmt w:val="upperLetter"/>
      <w:start w:val="2"/>
    </w:lvl>
  </w:abstractNum>
  <w:abstractNum w:abstractNumId="50">
    <w:nsid w:val="24E60401"/>
    <w:multiLevelType w:val="hybridMultilevel"/>
    <w:lvl w:ilvl="0">
      <w:lvlJc w:val="left"/>
      <w:lvlText w:val="%1."/>
      <w:numFmt w:val="upperLetter"/>
      <w:start w:val="3"/>
    </w:lvl>
  </w:abstractNum>
  <w:abstractNum w:abstractNumId="51">
    <w:nsid w:val="2A6AD9BE"/>
    <w:multiLevelType w:val="hybridMultilevel"/>
    <w:lvl w:ilvl="0">
      <w:lvlJc w:val="left"/>
      <w:lvlText w:val="%1."/>
      <w:numFmt w:val="upperLetter"/>
      <w:start w:val="4"/>
    </w:lvl>
  </w:abstractNum>
  <w:abstractNum w:abstractNumId="52">
    <w:nsid w:val="BAAC1B4"/>
    <w:multiLevelType w:val="hybridMultilevel"/>
    <w:lvl w:ilvl="0">
      <w:lvlJc w:val="left"/>
      <w:lvlText w:val="%1."/>
      <w:numFmt w:val="upperLetter"/>
      <w:start w:val="5"/>
    </w:lvl>
  </w:abstractNum>
  <w:abstractNum w:abstractNumId="53">
    <w:nsid w:val="36B2ACBC"/>
    <w:multiLevelType w:val="hybridMultilevel"/>
    <w:lvl w:ilvl="0">
      <w:lvlJc w:val="left"/>
      <w:lvlText w:val="●"/>
      <w:numFmt w:val="bullet"/>
      <w:start w:val="1"/>
    </w:lvl>
  </w:abstractNum>
  <w:abstractNum w:abstractNumId="54">
    <w:nsid w:val="779D8544"/>
    <w:multiLevelType w:val="hybridMultilevel"/>
    <w:lvl w:ilvl="0">
      <w:lvlJc w:val="left"/>
      <w:lvlText w:val="(%1)"/>
      <w:numFmt w:val="decimal"/>
      <w:start w:val="1"/>
    </w:lvl>
  </w:abstractNum>
  <w:abstractNum w:abstractNumId="55">
    <w:nsid w:val="4AB26E78"/>
    <w:multiLevelType w:val="hybridMultilevel"/>
    <w:lvl w:ilvl="0">
      <w:lvlJc w:val="left"/>
      <w:lvlText w:val="(%1)"/>
      <w:numFmt w:val="decimal"/>
      <w:start w:val="2"/>
    </w:lvl>
  </w:abstractNum>
  <w:abstractNum w:abstractNumId="56">
    <w:nsid w:val="21FAA2FA"/>
    <w:multiLevelType w:val="hybridMultilevel"/>
    <w:lvl w:ilvl="0">
      <w:lvlJc w:val="left"/>
      <w:lvlText w:val="%1."/>
      <w:numFmt w:val="upperLetter"/>
      <w:start w:val="1"/>
    </w:lvl>
  </w:abstractNum>
  <w:abstractNum w:abstractNumId="57">
    <w:nsid w:val="5451CF49"/>
    <w:multiLevelType w:val="hybridMultilevel"/>
    <w:lvl w:ilvl="0">
      <w:lvlJc w:val="left"/>
      <w:lvlText w:val="%1."/>
      <w:numFmt w:val="upperLetter"/>
      <w:start w:val="2"/>
    </w:lvl>
  </w:abstractNum>
  <w:abstractNum w:abstractNumId="58">
    <w:nsid w:val="6181EF69"/>
    <w:multiLevelType w:val="hybridMultilevel"/>
    <w:lvl w:ilvl="0">
      <w:lvlJc w:val="left"/>
      <w:lvlText w:val="●"/>
      <w:numFmt w:val="bullet"/>
      <w:start w:val="1"/>
    </w:lvl>
  </w:abstractNum>
  <w:abstractNum w:abstractNumId="59">
    <w:nsid w:val="3E6400E6"/>
    <w:multiLevelType w:val="hybridMultilevel"/>
    <w:lvl w:ilvl="0">
      <w:lvlJc w:val="left"/>
      <w:lvlText w:val="●"/>
      <w:numFmt w:val="bullet"/>
      <w:start w:val="1"/>
    </w:lvl>
    <w:lvl w:ilvl="1">
      <w:lvlJc w:val="left"/>
      <w:lvlText w:val="●"/>
      <w:numFmt w:val="bullet"/>
      <w:start w:val="1"/>
    </w:lvl>
  </w:abstractNum>
  <w:abstractNum w:abstractNumId="60">
    <w:nsid w:val="14217E23"/>
    <w:multiLevelType w:val="hybridMultilevel"/>
    <w:lvl w:ilvl="0">
      <w:lvlJc w:val="left"/>
      <w:lvlText w:val="●"/>
      <w:numFmt w:val="bullet"/>
      <w:start w:val="1"/>
    </w:lvl>
  </w:abstractNum>
  <w:abstractNum w:abstractNumId="61">
    <w:nsid w:val="710757D0"/>
    <w:multiLevelType w:val="hybridMultilevel"/>
    <w:lvl w:ilvl="0">
      <w:lvlJc w:val="left"/>
      <w:lvlText w:val="●"/>
      <w:numFmt w:val="bullet"/>
      <w:start w:val="1"/>
    </w:lvl>
  </w:abstractNum>
  <w:abstractNum w:abstractNumId="62">
    <w:nsid w:val="5015CD1A"/>
    <w:multiLevelType w:val="hybridMultilevel"/>
    <w:lvl w:ilvl="0">
      <w:lvlJc w:val="left"/>
      <w:lvlText w:val="●"/>
      <w:numFmt w:val="bullet"/>
      <w:start w:val="1"/>
    </w:lvl>
  </w:abstractNum>
  <w:abstractNum w:abstractNumId="63">
    <w:nsid w:val="424479DA"/>
    <w:multiLevelType w:val="hybridMultilevel"/>
    <w:lvl w:ilvl="0">
      <w:lvlJc w:val="left"/>
      <w:lvlText w:val="●"/>
      <w:numFmt w:val="bullet"/>
      <w:start w:val="1"/>
    </w:lvl>
  </w:abstractNum>
  <w:abstractNum w:abstractNumId="64">
    <w:nsid w:val="1A9A9E69"/>
    <w:multiLevelType w:val="hybridMultilevel"/>
    <w:lvl w:ilvl="0">
      <w:lvlJc w:val="left"/>
      <w:lvlText w:val="●"/>
      <w:numFmt w:val="bullet"/>
      <w:start w:val="1"/>
    </w:lvl>
    <w:lvl w:ilvl="1">
      <w:lvlJc w:val="left"/>
      <w:lvlText w:val="●"/>
      <w:numFmt w:val="bullet"/>
      <w:start w:val="1"/>
    </w:lvl>
  </w:abstractNum>
  <w:abstractNum w:abstractNumId="65">
    <w:nsid w:val="475E256A"/>
    <w:multiLevelType w:val="hybridMultilevel"/>
    <w:lvl w:ilvl="0">
      <w:lvlJc w:val="left"/>
      <w:lvlText w:val="●"/>
      <w:numFmt w:val="bullet"/>
      <w:start w:val="1"/>
    </w:lvl>
  </w:abstractNum>
  <w:abstractNum w:abstractNumId="66">
    <w:nsid w:val="368DB37E"/>
    <w:multiLevelType w:val="hybridMultilevel"/>
    <w:lvl w:ilvl="0">
      <w:lvlJc w:val="left"/>
      <w:lvlText w:val="●"/>
      <w:numFmt w:val="bullet"/>
      <w:start w:val="1"/>
    </w:lvl>
    <w:lvl w:ilvl="1">
      <w:lvlJc w:val="left"/>
      <w:lvlText w:val="●"/>
      <w:numFmt w:val="bullet"/>
      <w:start w:val="1"/>
    </w:lvl>
  </w:abstractNum>
  <w:abstractNum w:abstractNumId="67">
    <w:nsid w:val="6A3B714C"/>
    <w:multiLevelType w:val="hybridMultilevel"/>
    <w:lvl w:ilvl="0">
      <w:lvlJc w:val="left"/>
      <w:lvlText w:val="●"/>
      <w:numFmt w:val="bullet"/>
      <w:start w:val="1"/>
    </w:lvl>
  </w:abstractNum>
  <w:abstractNum w:abstractNumId="68">
    <w:nsid w:val="327B517E"/>
    <w:multiLevelType w:val="hybridMultilevel"/>
    <w:lvl w:ilvl="0">
      <w:lvlJc w:val="left"/>
      <w:lvlText w:val="%1."/>
      <w:numFmt w:val="upperLetter"/>
      <w:start w:val="3"/>
    </w:lvl>
  </w:abstractNum>
  <w:abstractNum w:abstractNumId="69">
    <w:nsid w:val="1F461B51"/>
    <w:multiLevelType w:val="hybridMultilevel"/>
    <w:lvl w:ilvl="0">
      <w:lvlJc w:val="left"/>
      <w:lvlText w:val="%1."/>
      <w:numFmt w:val="upperLetter"/>
      <w:start w:val="1"/>
    </w:lvl>
  </w:abstractNum>
  <w:abstractNum w:abstractNumId="70">
    <w:nsid w:val="29BACF25"/>
    <w:multiLevelType w:val="hybridMultilevel"/>
    <w:lvl w:ilvl="0">
      <w:lvlJc w:val="left"/>
      <w:lvlText w:val="%1."/>
      <w:numFmt w:val="upperLetter"/>
      <w:start w:val="2"/>
    </w:lvl>
  </w:abstractNum>
  <w:abstractNum w:abstractNumId="71">
    <w:nsid w:val="5D5BABB3"/>
    <w:multiLevelType w:val="hybridMultilevel"/>
    <w:lvl w:ilvl="0">
      <w:lvlJc w:val="left"/>
      <w:lvlText w:val="%1."/>
      <w:numFmt w:val="upperLetter"/>
      <w:start w:val="1"/>
    </w:lvl>
  </w:abstractNum>
  <w:abstractNum w:abstractNumId="72">
    <w:nsid w:val="51BF6B48"/>
    <w:multiLevelType w:val="hybridMultilevel"/>
    <w:lvl w:ilvl="0">
      <w:lvlJc w:val="left"/>
      <w:lvlText w:val="%1."/>
      <w:numFmt w:val="upperLetter"/>
      <w:start w:val="2"/>
    </w:lvl>
  </w:abstractNum>
  <w:abstractNum w:abstractNumId="73">
    <w:nsid w:val="7E0F6384"/>
    <w:multiLevelType w:val="hybridMultilevel"/>
    <w:lvl w:ilvl="0">
      <w:lvlJc w:val="left"/>
      <w:lvlText w:val="(%1)"/>
      <w:numFmt w:val="lowerLetter"/>
      <w:start w:val="1"/>
    </w:lvl>
  </w:abstractNum>
  <w:abstractNum w:abstractNumId="74">
    <w:nsid w:val="2B4B8B53"/>
    <w:multiLevelType w:val="hybridMultilevel"/>
    <w:lvl w:ilvl="0">
      <w:lvlJc w:val="left"/>
      <w:lvlText w:val="●"/>
      <w:numFmt w:val="bullet"/>
      <w:start w:val="1"/>
    </w:lvl>
  </w:abstractNum>
  <w:abstractNum w:abstractNumId="75">
    <w:nsid w:val="72E3413A"/>
    <w:multiLevelType w:val="hybridMultilevel"/>
    <w:lvl w:ilvl="0">
      <w:lvlJc w:val="left"/>
      <w:lvlText w:val="●"/>
      <w:numFmt w:val="bullet"/>
      <w:start w:val="1"/>
    </w:lvl>
  </w:abstractNum>
  <w:abstractNum w:abstractNumId="76">
    <w:nsid w:val="116AE494"/>
    <w:multiLevelType w:val="hybridMultilevel"/>
    <w:lvl w:ilvl="0">
      <w:lvlJc w:val="left"/>
      <w:lvlText w:val="%1."/>
      <w:numFmt w:val="upperLetter"/>
      <w:start w:val="3"/>
    </w:lvl>
  </w:abstractNum>
  <w:abstractNum w:abstractNumId="77">
    <w:nsid w:val="3494B2FB"/>
    <w:multiLevelType w:val="hybridMultilevel"/>
    <w:lvl w:ilvl="0">
      <w:lvlJc w:val="left"/>
      <w:lvlText w:val="%1."/>
      <w:numFmt w:val="upperLetter"/>
      <w:start w:val="4"/>
    </w:lvl>
  </w:abstractNum>
  <w:abstractNum w:abstractNumId="78">
    <w:nsid w:val="B13A31"/>
    <w:multiLevelType w:val="hybridMultilevel"/>
    <w:lvl w:ilvl="0">
      <w:lvlJc w:val="left"/>
      <w:lvlText w:val="%1."/>
      <w:numFmt w:val="upperLetter"/>
      <w:start w:val="5"/>
    </w:lvl>
  </w:abstractNum>
  <w:abstractNum w:abstractNumId="79">
    <w:nsid w:val="64429599"/>
    <w:multiLevelType w:val="hybridMultilevel"/>
    <w:lvl w:ilvl="0">
      <w:lvlJc w:val="left"/>
      <w:lvlText w:val="●"/>
      <w:numFmt w:val="bullet"/>
      <w:start w:val="1"/>
    </w:lvl>
  </w:abstractNum>
  <w:abstractNum w:abstractNumId="80">
    <w:nsid w:val="631F1690"/>
    <w:multiLevelType w:val="hybridMultilevel"/>
    <w:lvl w:ilvl="0">
      <w:lvlJc w:val="left"/>
      <w:lvlText w:val="●"/>
      <w:numFmt w:val="bullet"/>
      <w:start w:val="1"/>
    </w:lvl>
  </w:abstractNum>
  <w:abstractNum w:abstractNumId="81">
    <w:nsid w:val="25973E32"/>
    <w:multiLevelType w:val="hybridMultilevel"/>
    <w:lvl w:ilvl="0">
      <w:lvlJc w:val="left"/>
      <w:lvlText w:val="●"/>
      <w:numFmt w:val="bullet"/>
      <w:start w:val="1"/>
    </w:lvl>
  </w:abstractNum>
  <w:abstractNum w:abstractNumId="82">
    <w:nsid w:val="EAD6F57"/>
    <w:multiLevelType w:val="hybridMultilevel"/>
    <w:lvl w:ilvl="0">
      <w:lvlJc w:val="left"/>
      <w:lvlText w:val="●"/>
      <w:numFmt w:val="bullet"/>
      <w:start w:val="1"/>
    </w:lvl>
  </w:abstractNum>
  <w:abstractNum w:abstractNumId="83">
    <w:nsid w:val="6EC9D844"/>
    <w:multiLevelType w:val="hybridMultilevel"/>
    <w:lvl w:ilvl="0">
      <w:lvlJc w:val="left"/>
      <w:lvlText w:val="●"/>
      <w:numFmt w:val="bullet"/>
      <w:start w:val="1"/>
    </w:lvl>
  </w:abstractNum>
  <w:abstractNum w:abstractNumId="84">
    <w:nsid w:val="5C49EAEE"/>
    <w:multiLevelType w:val="hybridMultilevel"/>
    <w:lvl w:ilvl="0">
      <w:lvlJc w:val="left"/>
      <w:lvlText w:val="●"/>
      <w:numFmt w:val="bullet"/>
      <w:start w:val="1"/>
    </w:lvl>
  </w:abstractNum>
  <w:abstractNum w:abstractNumId="85">
    <w:nsid w:val="64AF49B"/>
    <w:multiLevelType w:val="hybridMultilevel"/>
    <w:lvl w:ilvl="0">
      <w:lvlJc w:val="left"/>
      <w:lvlText w:val="●"/>
      <w:numFmt w:val="bullet"/>
      <w:start w:val="1"/>
    </w:lvl>
  </w:abstractNum>
  <w:abstractNum w:abstractNumId="86">
    <w:nsid w:val="397C46BC"/>
    <w:multiLevelType w:val="hybridMultilevel"/>
    <w:lvl w:ilvl="0">
      <w:lvlJc w:val="left"/>
      <w:lvlText w:val="●"/>
      <w:numFmt w:val="bullet"/>
      <w:start w:val="1"/>
    </w:lvl>
  </w:abstractNum>
  <w:abstractNum w:abstractNumId="87">
    <w:nsid w:val="7E448DE9"/>
    <w:multiLevelType w:val="hybridMultilevel"/>
    <w:lvl w:ilvl="0">
      <w:lvlJc w:val="left"/>
      <w:lvlText w:val="(%1)"/>
      <w:numFmt w:val="decimal"/>
      <w:start w:val="1"/>
    </w:lvl>
  </w:abstractNum>
  <w:abstractNum w:abstractNumId="88">
    <w:nsid w:val="5A9CC3E5"/>
    <w:multiLevelType w:val="hybridMultilevel"/>
    <w:lvl w:ilvl="0">
      <w:lvlJc w:val="left"/>
      <w:lvlText w:val="%1."/>
      <w:numFmt w:val="upperLetter"/>
      <w:start w:val="6"/>
    </w:lvl>
  </w:abstractNum>
  <w:abstractNum w:abstractNumId="89">
    <w:nsid w:val="1AFE3625"/>
    <w:multiLevelType w:val="hybridMultilevel"/>
    <w:lvl w:ilvl="0">
      <w:lvlJc w:val="left"/>
      <w:lvlText w:val="%1."/>
      <w:numFmt w:val="upperLetter"/>
      <w:start w:val="8"/>
    </w:lvl>
  </w:abstractNum>
  <w:abstractNum w:abstractNumId="90">
    <w:nsid w:val="3CA88ECF"/>
    <w:multiLevelType w:val="hybridMultilevel"/>
    <w:lvl w:ilvl="0">
      <w:lvlJc w:val="left"/>
      <w:lvlText w:val="%1."/>
      <w:numFmt w:val="upperLetter"/>
      <w:start w:val="9"/>
    </w:lvl>
  </w:abstractNum>
  <w:abstractNum w:abstractNumId="91">
    <w:nsid w:val="6EBE4208"/>
    <w:multiLevelType w:val="hybridMultilevel"/>
    <w:lvl w:ilvl="0">
      <w:lvlJc w:val="left"/>
      <w:lvlText w:val="%1."/>
      <w:numFmt w:val="upperLetter"/>
      <w:start w:val="1"/>
    </w:lvl>
  </w:abstractNum>
  <w:abstractNum w:abstractNumId="92">
    <w:nsid w:val="C058DF5"/>
    <w:multiLevelType w:val="hybridMultilevel"/>
    <w:lvl w:ilvl="0">
      <w:lvlJc w:val="left"/>
      <w:lvlText w:val="%1."/>
      <w:numFmt w:val="upperLetter"/>
      <w:start w:val="2"/>
    </w:lvl>
  </w:abstractNum>
  <w:abstractNum w:abstractNumId="93">
    <w:nsid w:val="CBE5BE9"/>
    <w:multiLevelType w:val="hybridMultilevel"/>
    <w:lvl w:ilvl="0">
      <w:lvlJc w:val="left"/>
      <w:lvlText w:val="%1."/>
      <w:numFmt w:val="upperLetter"/>
      <w:start w:val="4"/>
    </w:lvl>
  </w:abstractNum>
  <w:abstractNum w:abstractNumId="94">
    <w:nsid w:val="3102BBE2"/>
    <w:multiLevelType w:val="hybridMultilevel"/>
    <w:lvl w:ilvl="0">
      <w:lvlJc w:val="left"/>
      <w:lvlText w:val="(%1)"/>
      <w:numFmt w:val="decimal"/>
      <w:start w:val="1"/>
    </w:lvl>
  </w:abstractNum>
  <w:abstractNum w:abstractNumId="95">
    <w:nsid w:val="26A02C5E"/>
    <w:multiLevelType w:val="hybridMultilevel"/>
    <w:lvl w:ilvl="0">
      <w:lvlJc w:val="left"/>
      <w:lvlText w:val="●"/>
      <w:numFmt w:val="bullet"/>
      <w:start w:val="1"/>
    </w:lvl>
  </w:abstractNum>
  <w:abstractNum w:abstractNumId="96">
    <w:nsid w:val="541C8153"/>
    <w:multiLevelType w:val="hybridMultilevel"/>
    <w:lvl w:ilvl="0">
      <w:lvlJc w:val="left"/>
      <w:lvlText w:val="%1."/>
      <w:numFmt w:val="decimal"/>
      <w:start w:val="1"/>
    </w:lvl>
  </w:abstractNum>
  <w:abstractNum w:abstractNumId="97">
    <w:nsid w:val="67906F60"/>
    <w:multiLevelType w:val="hybridMultilevel"/>
    <w:lvl w:ilvl="0">
      <w:lvlJc w:val="left"/>
      <w:lvlText w:val="●"/>
      <w:numFmt w:val="bullet"/>
      <w:start w:val="1"/>
    </w:lvl>
  </w:abstractNum>
  <w:abstractNum w:abstractNumId="98">
    <w:nsid w:val="10DB9DAA"/>
    <w:multiLevelType w:val="hybridMultilevel"/>
    <w:lvl w:ilvl="0">
      <w:lvlJc w:val="left"/>
      <w:lvlText w:val="●"/>
      <w:numFmt w:val="bullet"/>
      <w:start w:val="1"/>
    </w:lvl>
  </w:abstractNum>
  <w:abstractNum w:abstractNumId="99">
    <w:nsid w:val="697D2D2"/>
    <w:multiLevelType w:val="hybridMultilevel"/>
    <w:lvl w:ilvl="0">
      <w:lvlJc w:val="left"/>
      <w:lvlText w:val="●"/>
      <w:numFmt w:val="bullet"/>
      <w:start w:val="1"/>
    </w:lvl>
  </w:abstractNum>
  <w:abstractNum w:abstractNumId="100">
    <w:nsid w:val="6D68AB2"/>
    <w:multiLevelType w:val="hybridMultilevel"/>
    <w:lvl w:ilvl="0">
      <w:lvlJc w:val="left"/>
      <w:lvlText w:val="●"/>
      <w:numFmt w:val="bullet"/>
      <w:start w:val="1"/>
    </w:lvl>
  </w:abstractNum>
  <w:abstractNum w:abstractNumId="101">
    <w:nsid w:val="3A966CD0"/>
    <w:multiLevelType w:val="hybridMultilevel"/>
    <w:lvl w:ilvl="0">
      <w:lvlJc w:val="left"/>
      <w:lvlText w:val="●"/>
      <w:numFmt w:val="bullet"/>
      <w:start w:val="1"/>
    </w:lvl>
  </w:abstractNum>
  <w:abstractNum w:abstractNumId="102">
    <w:nsid w:val="63F37E85"/>
    <w:multiLevelType w:val="hybridMultilevel"/>
    <w:lvl w:ilvl="0">
      <w:lvlJc w:val="left"/>
      <w:lvlText w:val="%1."/>
      <w:numFmt w:val="decimal"/>
      <w:start w:val="2"/>
    </w:lvl>
  </w:abstractNum>
  <w:abstractNum w:abstractNumId="103">
    <w:nsid w:val="5895F5FA"/>
    <w:multiLevelType w:val="hybridMultilevel"/>
    <w:lvl w:ilvl="0">
      <w:lvlJc w:val="left"/>
      <w:lvlText w:val="(%1)"/>
      <w:numFmt w:val="lowerRoman"/>
      <w:start w:val="1"/>
    </w:lvl>
  </w:abstractNum>
  <w:abstractNum w:abstractNumId="104">
    <w:nsid w:val="38A5D054"/>
    <w:multiLevelType w:val="hybridMultilevel"/>
    <w:lvl w:ilvl="0">
      <w:lvlJc w:val="left"/>
      <w:lvlText w:val="(%1)"/>
      <w:numFmt w:val="lowerRoman"/>
      <w:start w:val="1"/>
    </w:lvl>
  </w:abstractNum>
  <w:abstractNum w:abstractNumId="105">
    <w:nsid w:val="F3F09D8"/>
    <w:multiLevelType w:val="hybridMultilevel"/>
    <w:lvl w:ilvl="0">
      <w:lvlJc w:val="left"/>
      <w:lvlText w:val="(%1)"/>
      <w:numFmt w:val="lowerLetter"/>
      <w:start w:val="10"/>
    </w:lvl>
  </w:abstractNum>
  <w:abstractNum w:abstractNumId="106">
    <w:nsid w:val="4B793735"/>
    <w:multiLevelType w:val="hybridMultilevel"/>
    <w:lvl w:ilvl="0">
      <w:lvlJc w:val="left"/>
      <w:lvlText w:val="%1."/>
      <w:numFmt w:val="decimal"/>
      <w:start w:val="4"/>
    </w:lvl>
  </w:abstractNum>
  <w:abstractNum w:abstractNumId="107">
    <w:nsid w:val="4A10B4E8"/>
    <w:multiLevelType w:val="hybridMultilevel"/>
    <w:lvl w:ilvl="0">
      <w:lvlJc w:val="left"/>
      <w:lvlText w:val="%1"/>
      <w:numFmt w:val="upperLetter"/>
      <w:start w:val="61"/>
    </w:lvl>
  </w:abstractNum>
  <w:abstractNum w:abstractNumId="108">
    <w:nsid w:val="43D3BCD4"/>
    <w:multiLevelType w:val="hybridMultilevel"/>
    <w:lvl w:ilvl="0">
      <w:lvlJc w:val="left"/>
      <w:lvlText w:val="%1."/>
      <w:numFmt w:val="decimal"/>
      <w:start w:val="6"/>
    </w:lvl>
  </w:abstractNum>
  <w:abstractNum w:abstractNumId="109">
    <w:nsid w:val="4C2A7166"/>
    <w:multiLevelType w:val="hybridMultilevel"/>
    <w:lvl w:ilvl="0">
      <w:lvlJc w:val="left"/>
      <w:lvlText w:val="%1."/>
      <w:numFmt w:val="decimal"/>
      <w:start w:val="8"/>
    </w:lvl>
  </w:abstractNum>
  <w:abstractNum w:abstractNumId="110">
    <w:nsid w:val="2E534A82"/>
    <w:multiLevelType w:val="hybridMultilevel"/>
    <w:lvl w:ilvl="0">
      <w:lvlJc w:val="left"/>
      <w:lvlText w:val="(%1)"/>
      <w:numFmt w:val="lowerRoman"/>
      <w:start w:val="1"/>
    </w:lvl>
  </w:abstractNum>
  <w:abstractNum w:abstractNumId="111">
    <w:nsid w:val="26F2D364"/>
    <w:multiLevelType w:val="hybridMultilevel"/>
    <w:lvl w:ilvl="0">
      <w:lvlJc w:val="left"/>
      <w:lvlText w:val="(%1)"/>
      <w:numFmt w:val="decimal"/>
      <w:start w:val="1"/>
    </w:lvl>
  </w:abstractNum>
  <w:abstractNum w:abstractNumId="112">
    <w:nsid w:val="71C1AF98"/>
    <w:multiLevelType w:val="hybridMultilevel"/>
    <w:lvl w:ilvl="0">
      <w:lvlJc w:val="left"/>
      <w:lvlText w:val="(%1)"/>
      <w:numFmt w:val="lowerLetter"/>
      <w:start w:val="3"/>
    </w:lvl>
  </w:abstractNum>
  <w:abstractNum w:abstractNumId="113">
    <w:nsid w:val="3D00B9D9"/>
    <w:multiLevelType w:val="hybridMultilevel"/>
    <w:lvl w:ilvl="0">
      <w:lvlJc w:val="left"/>
      <w:lvlText w:val="%1."/>
      <w:numFmt w:val="decimal"/>
      <w:start w:val="20"/>
    </w:lvl>
  </w:abstractNum>
  <w:abstractNum w:abstractNumId="114">
    <w:nsid w:val="15BCABA8"/>
    <w:multiLevelType w:val="hybridMultilevel"/>
    <w:lvl w:ilvl="0">
      <w:lvlJc w:val="left"/>
      <w:lvlText w:val="%1."/>
      <w:numFmt w:val="decimal"/>
      <w:start w:val="22"/>
    </w:lvl>
  </w:abstractNum>
  <w:abstractNum w:abstractNumId="115">
    <w:nsid w:val="4E0B9A87"/>
    <w:multiLevelType w:val="hybridMultilevel"/>
    <w:lvl w:ilvl="0">
      <w:lvlJc w:val="left"/>
      <w:lvlText w:val="(%1)"/>
      <w:numFmt w:val="lowerLetter"/>
      <w:start w:val="2"/>
    </w:lvl>
  </w:abstractNum>
  <w:abstractNum w:abstractNumId="116">
    <w:nsid w:val="434BAE75"/>
    <w:multiLevelType w:val="hybridMultilevel"/>
    <w:lvl w:ilvl="0">
      <w:lvlJc w:val="left"/>
      <w:lvlText w:val="%1."/>
      <w:numFmt w:val="decimal"/>
      <w:start w:val="26"/>
    </w:lvl>
  </w:abstractNum>
  <w:abstractNum w:abstractNumId="117">
    <w:nsid w:val="4F38F265"/>
    <w:multiLevelType w:val="hybridMultilevel"/>
    <w:lvl w:ilvl="0">
      <w:lvlJc w:val="left"/>
      <w:lvlText w:val="(%1)"/>
      <w:numFmt w:val="lowerLetter"/>
      <w:start w:val="2"/>
    </w:lvl>
  </w:abstractNum>
  <w:abstractNum w:abstractNumId="118">
    <w:nsid w:val="4C502870"/>
    <w:multiLevelType w:val="hybridMultilevel"/>
    <w:lvl w:ilvl="0">
      <w:lvlJc w:val="left"/>
      <w:lvlText w:val="(%1)"/>
      <w:numFmt w:val="decimal"/>
      <w:start w:val="1"/>
    </w:lvl>
  </w:abstractNum>
  <w:abstractNum w:abstractNumId="119">
    <w:nsid w:val="1DE8725A"/>
    <w:multiLevelType w:val="hybridMultilevel"/>
    <w:lvl w:ilvl="0">
      <w:lvlJc w:val="left"/>
      <w:lvlText w:val="(%1)"/>
      <w:numFmt w:val="decimal"/>
      <w:start w:val="1"/>
    </w:lvl>
  </w:abstractNum>
  <w:abstractNum w:abstractNumId="120">
    <w:nsid w:val="6A37288A"/>
    <w:multiLevelType w:val="hybridMultilevel"/>
    <w:lvl w:ilvl="0">
      <w:lvlJc w:val="left"/>
      <w:lvlText w:val="(%1)"/>
      <w:numFmt w:val="lowerRoman"/>
      <w:start w:val="1"/>
    </w:lvl>
  </w:abstractNum>
  <w:abstractNum w:abstractNumId="121">
    <w:nsid w:val="8F8B73F"/>
    <w:multiLevelType w:val="hybridMultilevel"/>
    <w:lvl w:ilvl="0">
      <w:lvlJc w:val="left"/>
      <w:lvlText w:val="(%1)"/>
      <w:numFmt w:val="lowerRoman"/>
      <w:start w:val="1"/>
    </w:lvl>
  </w:abstractNum>
  <w:abstractNum w:abstractNumId="122">
    <w:nsid w:val="CA6B462"/>
    <w:multiLevelType w:val="hybridMultilevel"/>
    <w:lvl w:ilvl="0">
      <w:lvlJc w:val="left"/>
      <w:lvlText w:val="(%1)"/>
      <w:numFmt w:val="lowerLetter"/>
      <w:start w:val="1"/>
    </w:lvl>
  </w:abstractNum>
  <w:abstractNum w:abstractNumId="123">
    <w:nsid w:val="763CB680"/>
    <w:multiLevelType w:val="hybridMultilevel"/>
    <w:lvl w:ilvl="0">
      <w:lvlJc w:val="left"/>
      <w:lvlText w:val="(%1)"/>
      <w:numFmt w:val="lowerLetter"/>
      <w:start w:val="1"/>
    </w:lvl>
  </w:abstractNum>
  <w:abstractNum w:abstractNumId="124">
    <w:nsid w:val="15B71329"/>
    <w:multiLevelType w:val="hybridMultilevel"/>
    <w:lvl w:ilvl="0">
      <w:lvlJc w:val="left"/>
      <w:lvlText w:val="(%1)"/>
      <w:numFmt w:val="lowerLetter"/>
      <w:start w:val="1"/>
    </w:lvl>
  </w:abstractNum>
  <w:abstractNum w:abstractNumId="125">
    <w:nsid w:val="3DA97044"/>
    <w:multiLevelType w:val="hybridMultilevel"/>
    <w:lvl w:ilvl="0">
      <w:lvlJc w:val="left"/>
      <w:lvlText w:val="(%1)"/>
      <w:numFmt w:val="lowerLetter"/>
      <w:start w:val="2"/>
    </w:lvl>
  </w:abstractNum>
  <w:abstractNum w:abstractNumId="126">
    <w:nsid w:val="1CDCE2DE"/>
    <w:multiLevelType w:val="hybridMultilevel"/>
    <w:lvl w:ilvl="0">
      <w:lvlJc w:val="left"/>
      <w:lvlText w:val="(%1)"/>
      <w:numFmt w:val="lowerLetter"/>
      <w:start w:val="7"/>
    </w:lvl>
  </w:abstractNum>
  <w:abstractNum w:abstractNumId="127">
    <w:nsid w:val="69D3947C"/>
    <w:multiLevelType w:val="hybridMultilevel"/>
    <w:lvl w:ilvl="0">
      <w:lvlJc w:val="left"/>
      <w:lvlText w:val="(%1)"/>
      <w:numFmt w:val="lowerLetter"/>
      <w:start w:val="1"/>
    </w:lvl>
    <w:lvl w:ilvl="1">
      <w:lvlJc w:val="left"/>
      <w:lvlText w:val="(%2)"/>
      <w:numFmt w:val="lowerRoman"/>
      <w:start w:val="1"/>
    </w:lvl>
  </w:abstractNum>
  <w:abstractNum w:abstractNumId="128">
    <w:nsid w:val="2539DFA5"/>
    <w:multiLevelType w:val="hybridMultilevel"/>
    <w:lvl w:ilvl="0">
      <w:lvlJc w:val="left"/>
      <w:lvlText w:val="%1"/>
      <w:numFmt w:val="decimal"/>
      <w:start w:val="1"/>
    </w:lvl>
    <w:lvl w:ilvl="1">
      <w:lvlJc w:val="left"/>
      <w:lvlText w:val="(%2)"/>
      <w:numFmt w:val="lowerLetter"/>
      <w:start w:val="3"/>
    </w:lvl>
  </w:abstractNum>
  <w:abstractNum w:abstractNumId="129">
    <w:nsid w:val="2DB88089"/>
    <w:multiLevelType w:val="hybridMultilevel"/>
    <w:lvl w:ilvl="0">
      <w:lvlJc w:val="left"/>
      <w:lvlText w:val="(%1)"/>
      <w:numFmt w:val="decimal"/>
      <w:start w:val="90"/>
    </w:lvl>
    <w:lvl w:ilvl="1">
      <w:lvlJc w:val="left"/>
      <w:lvlText w:val="%2"/>
      <w:numFmt w:val="lowerLetter"/>
      <w:start w:val="1"/>
    </w:lvl>
  </w:abstractNum>
  <w:abstractNum w:abstractNumId="130">
    <w:nsid w:val="706B674E"/>
    <w:multiLevelType w:val="hybridMultilevel"/>
    <w:lvl w:ilvl="0">
      <w:lvlJc w:val="left"/>
      <w:lvlText w:val="(%1)"/>
      <w:numFmt w:val="decimal"/>
      <w:start w:val="30"/>
    </w:lvl>
    <w:lvl w:ilvl="1">
      <w:lvlJc w:val="left"/>
      <w:lvlText w:val="(%2)"/>
      <w:numFmt w:val="lowerLetter"/>
      <w:start w:val="4"/>
    </w:lvl>
    <w:lvl w:ilvl="2">
      <w:lvlJc w:val="left"/>
      <w:lvlText w:val="(%3)"/>
      <w:numFmt w:val="lowerLetter"/>
      <w:start w:val="9"/>
    </w:lvl>
  </w:abstractNum>
  <w:abstractNum w:abstractNumId="131">
    <w:nsid w:val="2C106A57"/>
    <w:multiLevelType w:val="hybridMultilevel"/>
    <w:lvl w:ilvl="0">
      <w:lvlJc w:val="left"/>
      <w:lvlText w:val="%1"/>
      <w:numFmt w:val="lowerLetter"/>
      <w:start w:val="1"/>
    </w:lvl>
    <w:lvl w:ilvl="1">
      <w:lvlJc w:val="left"/>
      <w:lvlText w:val="(%2)"/>
      <w:numFmt w:val="lowerLetter"/>
      <w:start w:val="35"/>
    </w:lvl>
  </w:abstractNum>
  <w:abstractNum w:abstractNumId="132">
    <w:nsid w:val="684EED59"/>
    <w:multiLevelType w:val="hybridMultilevel"/>
    <w:lvl w:ilvl="0">
      <w:lvlJc w:val="left"/>
      <w:lvlText w:val="(%1)"/>
      <w:numFmt w:val="lowerLetter"/>
      <w:start w:val="5"/>
    </w:lvl>
    <w:lvl w:ilvl="1">
      <w:lvlJc w:val="left"/>
      <w:lvlText w:val="%2"/>
      <w:numFmt w:val="lowerLetter"/>
      <w:start w:val="1"/>
    </w:lvl>
  </w:abstractNum>
  <w:abstractNum w:abstractNumId="133">
    <w:nsid w:val="545EE5D3"/>
    <w:multiLevelType w:val="hybridMultilevel"/>
    <w:lvl w:ilvl="0">
      <w:lvlJc w:val="left"/>
      <w:lvlText w:val="(%1)"/>
      <w:numFmt w:val="lowerLetter"/>
      <w:start w:val="8"/>
    </w:lvl>
  </w:abstractNum>
  <w:abstractNum w:abstractNumId="134">
    <w:nsid w:val="4A66051"/>
    <w:multiLevelType w:val="hybridMultilevel"/>
    <w:lvl w:ilvl="0">
      <w:lvlJc w:val="left"/>
      <w:lvlText w:val="%1"/>
      <w:numFmt w:val="lowerLetter"/>
      <w:start w:val="1"/>
    </w:lvl>
    <w:lvl w:ilvl="1">
      <w:lvlJc w:val="left"/>
      <w:lvlText w:val="(%2)"/>
      <w:numFmt w:val="lowerLetter"/>
      <w:start w:val="1"/>
    </w:lvl>
  </w:abstractNum>
  <w:abstractNum w:abstractNumId="135">
    <w:nsid w:val="20F4BDAD"/>
    <w:multiLevelType w:val="hybridMultilevel"/>
    <w:lvl w:ilvl="0">
      <w:lvlJc w:val="left"/>
      <w:lvlText w:val="(%1)"/>
      <w:numFmt w:val="lowerLetter"/>
      <w:start w:val="61"/>
    </w:lvl>
    <w:lvl w:ilvl="1">
      <w:lvlJc w:val="left"/>
      <w:lvlText w:val="%2"/>
      <w:numFmt w:val="lowerLetter"/>
      <w:start w:val="1"/>
    </w:lvl>
  </w:abstractNum>
  <w:abstractNum w:abstractNumId="136">
    <w:nsid w:val="639DEFAC"/>
    <w:multiLevelType w:val="hybridMultilevel"/>
    <w:lvl w:ilvl="0">
      <w:lvlJc w:val="left"/>
      <w:lvlText w:val="(%1)"/>
      <w:numFmt w:val="lowerLetter"/>
      <w:start w:val="2"/>
    </w:lvl>
    <w:lvl w:ilvl="1">
      <w:lvlJc w:val="left"/>
      <w:lvlText w:val="(%2)"/>
      <w:numFmt w:val="lowerRoman"/>
      <w:start w:val="1"/>
    </w:lvl>
  </w:abstractNum>
  <w:abstractNum w:abstractNumId="137">
    <w:nsid w:val="501F978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38">
    <w:nsid w:val="6B05729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39">
    <w:nsid w:val="2771AC80"/>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140">
    <w:nsid w:val="1C4A08EC"/>
    <w:multiLevelType w:val="hybridMultilevel"/>
    <w:lvl w:ilvl="0">
      <w:lvlJc w:val="left"/>
      <w:lvlText w:val="(%1)"/>
      <w:numFmt w:val="lowerLetter"/>
      <w:start w:val="1"/>
    </w:lvl>
  </w:abstractNum>
  <w:abstractNum w:abstractNumId="141">
    <w:nsid w:val="1958BD17"/>
    <w:multiLevelType w:val="hybridMultilevel"/>
    <w:lvl w:ilvl="0">
      <w:lvlJc w:val="left"/>
      <w:lvlText w:val="(%1)"/>
      <w:numFmt w:val="lowerLetter"/>
      <w:start w:val="1"/>
    </w:lvl>
  </w:abstractNum>
  <w:abstractNum w:abstractNumId="142">
    <w:nsid w:val="4E647FE4"/>
    <w:multiLevelType w:val="hybridMultilevel"/>
    <w:lvl w:ilvl="0">
      <w:lvlJc w:val="left"/>
      <w:lvlText w:val="(%1)"/>
      <w:numFmt w:val="lowerLetter"/>
      <w:start w:val="1"/>
    </w:lvl>
  </w:abstractNum>
  <w:abstractNum w:abstractNumId="143">
    <w:nsid w:val="E0BB885"/>
    <w:multiLevelType w:val="hybridMultilevel"/>
    <w:lvl w:ilvl="0">
      <w:lvlJc w:val="left"/>
      <w:lvlText w:val="%1"/>
      <w:numFmt w:val="upperLetter"/>
      <w:start w:val="1"/>
    </w:lvl>
    <w:lvl w:ilvl="1">
      <w:lvlJc w:val="left"/>
      <w:lvlText w:val="(%2)"/>
      <w:numFmt w:val="lowerLetter"/>
      <w:start w:val="3"/>
    </w:lvl>
  </w:abstractNum>
  <w:abstractNum w:abstractNumId="144">
    <w:nsid w:val="565976F1"/>
    <w:multiLevelType w:val="hybridMultilevel"/>
    <w:lvl w:ilvl="0">
      <w:lvlJc w:val="left"/>
      <w:lvlText w:val="(%1)"/>
      <w:numFmt w:val="upperLetter"/>
      <w:start w:val="2"/>
    </w:lvl>
    <w:lvl w:ilvl="1">
      <w:lvlJc w:val="left"/>
      <w:lvlText w:val="%2"/>
      <w:numFmt w:val="lowerLetter"/>
      <w:start w:val="1"/>
    </w:lvl>
  </w:abstractNum>
  <w:abstractNum w:abstractNumId="145">
    <w:nsid w:val="64212B8C"/>
    <w:multiLevelType w:val="hybridMultilevel"/>
    <w:lvl w:ilvl="0">
      <w:lvlJc w:val="left"/>
      <w:lvlText w:val="(%1)"/>
      <w:numFmt w:val="lowerLetter"/>
      <w:start w:val="1"/>
    </w:lvl>
  </w:abstractNum>
  <w:abstractNum w:abstractNumId="146">
    <w:nsid w:val="5C17530C"/>
    <w:multiLevelType w:val="hybridMultilevel"/>
    <w:lvl w:ilvl="0">
      <w:lvlJc w:val="left"/>
      <w:lvlText w:val="%1"/>
      <w:numFmt w:val="upperLetter"/>
      <w:start w:val="1"/>
    </w:lvl>
    <w:lvl w:ilvl="1">
      <w:lvlJc w:val="left"/>
      <w:lvlText w:val="(%2)"/>
      <w:numFmt w:val="lowerLetter"/>
      <w:start w:val="3"/>
    </w:lvl>
  </w:abstractNum>
  <w:abstractNum w:abstractNumId="147">
    <w:nsid w:val="19A52566"/>
    <w:multiLevelType w:val="hybridMultilevel"/>
    <w:lvl w:ilvl="0">
      <w:lvlJc w:val="left"/>
      <w:lvlText w:val="(%1)"/>
      <w:numFmt w:val="upperLetter"/>
      <w:start w:val="2"/>
    </w:lvl>
    <w:lvl w:ilvl="1">
      <w:lvlJc w:val="left"/>
      <w:lvlText w:val="%2"/>
      <w:numFmt w:val="lowerLetter"/>
      <w:start w:val="1"/>
    </w:lvl>
  </w:abstractNum>
  <w:abstractNum w:abstractNumId="148">
    <w:nsid w:val="335A1DF1"/>
    <w:multiLevelType w:val="hybridMultilevel"/>
    <w:lvl w:ilvl="0">
      <w:lvlJc w:val="left"/>
      <w:lvlText w:val="(%1)"/>
      <w:numFmt w:val="lowerLetter"/>
      <w:start w:val="1"/>
    </w:lvl>
  </w:abstractNum>
  <w:abstractNum w:abstractNumId="149">
    <w:nsid w:val="28677B7C"/>
    <w:multiLevelType w:val="hybridMultilevel"/>
    <w:lvl w:ilvl="0">
      <w:lvlJc w:val="left"/>
      <w:lvlText w:val="(%1)"/>
      <w:numFmt w:val="lowerLetter"/>
      <w:start w:val="2"/>
    </w:lvl>
  </w:abstractNum>
  <w:abstractNum w:abstractNumId="150">
    <w:nsid w:val="378D97C0"/>
    <w:multiLevelType w:val="hybridMultilevel"/>
    <w:lvl w:ilvl="0">
      <w:lvlJc w:val="left"/>
      <w:lvlText w:val="(%1)"/>
      <w:numFmt w:val="lowerLetter"/>
      <w:start w:val="1"/>
    </w:lvl>
  </w:abstractNum>
  <w:abstractNum w:abstractNumId="151">
    <w:nsid w:val="1D91467C"/>
    <w:multiLevelType w:val="hybridMultilevel"/>
    <w:lvl w:ilvl="0">
      <w:lvlJc w:val="left"/>
      <w:lvlText w:val="(%1)"/>
      <w:numFmt w:val="lowerLetter"/>
      <w:start w:val="2"/>
    </w:lvl>
  </w:abstractNum>
  <w:abstractNum w:abstractNumId="152">
    <w:nsid w:val="316032BB"/>
    <w:multiLevelType w:val="hybridMultilevel"/>
    <w:lvl w:ilvl="0">
      <w:lvlJc w:val="left"/>
      <w:lvlText w:val="(%1)"/>
      <w:numFmt w:val="lowerLetter"/>
      <w:start w:val="1"/>
    </w:lvl>
  </w:abstractNum>
  <w:abstractNum w:abstractNumId="153">
    <w:nsid w:val="44344C22"/>
    <w:multiLevelType w:val="hybridMultilevel"/>
    <w:lvl w:ilvl="0">
      <w:lvlJc w:val="left"/>
      <w:lvlText w:val="(%1)"/>
      <w:numFmt w:val="lowerLetter"/>
      <w:start w:val="3"/>
    </w:lvl>
  </w:abstractNum>
  <w:abstractNum w:abstractNumId="154">
    <w:nsid w:val="13CDFCFC"/>
    <w:multiLevelType w:val="hybridMultilevel"/>
    <w:lvl w:ilvl="0">
      <w:lvlJc w:val="left"/>
      <w:lvlText w:val="(%1)"/>
      <w:numFmt w:val="decimal"/>
      <w:start w:val="5"/>
    </w:lvl>
  </w:abstractNum>
  <w:abstractNum w:abstractNumId="155">
    <w:nsid w:val="471745E4"/>
    <w:multiLevelType w:val="hybridMultilevel"/>
    <w:lvl w:ilvl="0">
      <w:lvlJc w:val="left"/>
      <w:lvlText w:val="(%1)"/>
      <w:numFmt w:val="decimal"/>
      <w:start w:val="7"/>
    </w:lvl>
  </w:abstractNum>
  <w:abstractNum w:abstractNumId="156">
    <w:nsid w:val="1DDBC66"/>
    <w:multiLevelType w:val="hybridMultilevel"/>
    <w:lvl w:ilvl="0">
      <w:lvlJc w:val="left"/>
      <w:lvlText w:val="(%1)"/>
      <w:numFmt w:val="lowerLetter"/>
      <w:start w:val="1"/>
    </w:lvl>
  </w:abstractNum>
  <w:abstractNum w:abstractNumId="157">
    <w:nsid w:val="30AADFDA"/>
    <w:multiLevelType w:val="hybridMultilevel"/>
    <w:lvl w:ilvl="0">
      <w:lvlJc w:val="left"/>
      <w:lvlText w:val="(%1)"/>
      <w:numFmt w:val="lowerLetter"/>
      <w:start w:val="2"/>
    </w:lvl>
  </w:abstractNum>
  <w:abstractNum w:abstractNumId="158">
    <w:nsid w:val="30EADA61"/>
    <w:multiLevelType w:val="hybridMultilevel"/>
    <w:lvl w:ilvl="0">
      <w:lvlJc w:val="left"/>
      <w:lvlText w:val="%1"/>
      <w:numFmt w:val="upperLetter"/>
      <w:start w:val="1"/>
    </w:lvl>
    <w:lvl w:ilvl="1">
      <w:lvlJc w:val="left"/>
      <w:lvlText w:val="(%2)"/>
      <w:numFmt w:val="lowerLetter"/>
      <w:start w:val="1"/>
    </w:lvl>
  </w:abstractNum>
  <w:abstractNum w:abstractNumId="159">
    <w:nsid w:val="27179C0B"/>
    <w:multiLevelType w:val="hybridMultilevel"/>
    <w:lvl w:ilvl="0">
      <w:lvlJc w:val="left"/>
      <w:lvlText w:val="(%1)"/>
      <w:numFmt w:val="upperLetter"/>
      <w:start w:val="1"/>
    </w:lvl>
    <w:lvl w:ilvl="1">
      <w:lvlJc w:val="left"/>
      <w:lvlText w:val="%2"/>
      <w:numFmt w:val="lowerLetter"/>
      <w:start w:val="1"/>
    </w:lvl>
  </w:abstractNum>
  <w:abstractNum w:abstractNumId="160">
    <w:nsid w:val="5E636063"/>
    <w:multiLevelType w:val="hybridMultilevel"/>
    <w:lvl w:ilvl="0">
      <w:lvlJc w:val="left"/>
      <w:lvlText w:val="(%1)"/>
      <w:numFmt w:val="upperLetter"/>
      <w:start w:val="2"/>
    </w:lvl>
    <w:lvl w:ilvl="1">
      <w:lvlJc w:val="left"/>
      <w:lvlText w:val="%2"/>
      <w:numFmt w:val="lowerLetter"/>
      <w:start w:val="1"/>
    </w:lvl>
  </w:abstractNum>
  <w:abstractNum w:abstractNumId="161">
    <w:nsid w:val="215641AF"/>
    <w:multiLevelType w:val="hybridMultilevel"/>
    <w:lvl w:ilvl="0">
      <w:lvlJc w:val="left"/>
      <w:lvlText w:val="(%1)"/>
      <w:numFmt w:val="lowerLetter"/>
      <w:start w:val="2"/>
    </w:lvl>
  </w:abstractNum>
  <w:abstractNum w:abstractNumId="162">
    <w:nsid w:val="53280662"/>
    <w:multiLevelType w:val="hybridMultilevel"/>
    <w:lvl w:ilvl="0">
      <w:lvlJc w:val="left"/>
      <w:lvlText w:val="(%1)"/>
      <w:numFmt w:val="lowerLetter"/>
      <w:start w:val="5"/>
    </w:lvl>
  </w:abstractNum>
  <w:abstractNum w:abstractNumId="163">
    <w:nsid w:val="46B24DBC"/>
    <w:multiLevelType w:val="hybridMultilevel"/>
    <w:lvl w:ilvl="0">
      <w:lvlJc w:val="left"/>
      <w:lvlText w:val="(%1)"/>
      <w:numFmt w:val="lowerLetter"/>
      <w:start w:val="1"/>
    </w:lvl>
  </w:abstractNum>
  <w:abstractNum w:abstractNumId="164">
    <w:nsid w:val="75B52783"/>
    <w:multiLevelType w:val="hybridMultilevel"/>
    <w:lvl w:ilvl="0">
      <w:lvlJc w:val="left"/>
      <w:lvlText w:val="(%1)"/>
      <w:numFmt w:val="lowerLetter"/>
      <w:start w:val="2"/>
    </w:lvl>
  </w:abstractNum>
  <w:abstractNum w:abstractNumId="165">
    <w:nsid w:val="57CE66B4"/>
    <w:multiLevelType w:val="hybridMultilevel"/>
    <w:lvl w:ilvl="0">
      <w:lvlJc w:val="left"/>
      <w:lvlText w:val="(%1)"/>
      <w:numFmt w:val="lowerRoman"/>
      <w:start w:val="1"/>
    </w:lvl>
  </w:abstractNum>
  <w:abstractNum w:abstractNumId="166">
    <w:nsid w:val="67A70B69"/>
    <w:multiLevelType w:val="hybridMultilevel"/>
    <w:lvl w:ilvl="0">
      <w:lvlJc w:val="left"/>
      <w:lvlText w:val="(%1)"/>
      <w:numFmt w:val="lowerLetter"/>
      <w:start w:val="1"/>
    </w:lvl>
  </w:abstractNum>
  <w:abstractNum w:abstractNumId="167">
    <w:nsid w:val="5953172F"/>
    <w:multiLevelType w:val="hybridMultilevel"/>
    <w:lvl w:ilvl="0">
      <w:lvlJc w:val="left"/>
      <w:lvlText w:val="(%1)"/>
      <w:numFmt w:val="lowerLetter"/>
      <w:start w:val="3"/>
    </w:lvl>
  </w:abstractNum>
  <w:abstractNum w:abstractNumId="168">
    <w:nsid w:val="27EDFE3A"/>
    <w:multiLevelType w:val="hybridMultilevel"/>
    <w:lvl w:ilvl="0">
      <w:lvlJc w:val="left"/>
      <w:lvlText w:val="%1."/>
      <w:numFmt w:val="decimal"/>
      <w:start w:val="1"/>
    </w:lvl>
  </w:abstractNum>
  <w:abstractNum w:abstractNumId="169">
    <w:nsid w:val="52AC7DFF"/>
    <w:multiLevelType w:val="hybridMultilevel"/>
    <w:lvl w:ilvl="0">
      <w:lvlJc w:val="left"/>
      <w:lvlText w:val="(%1)"/>
      <w:numFmt w:val="lowerLetter"/>
      <w:start w:val="2"/>
    </w:lvl>
  </w:abstractNum>
  <w:abstractNum w:abstractNumId="170">
    <w:nsid w:val="C4C3AF"/>
    <w:multiLevelType w:val="hybridMultilevel"/>
    <w:lvl w:ilvl="0">
      <w:lvlJc w:val="left"/>
      <w:lvlText w:val="(%1)"/>
      <w:numFmt w:val="lowerLetter"/>
      <w:start w:val="1"/>
    </w:lvl>
  </w:abstractNum>
  <w:abstractNum w:abstractNumId="171">
    <w:nsid w:val="44380727"/>
    <w:multiLevelType w:val="hybridMultilevel"/>
    <w:lvl w:ilvl="0">
      <w:lvlJc w:val="left"/>
      <w:lvlText w:val="(%1)"/>
      <w:numFmt w:val="lowerLetter"/>
      <w:start w:val="2"/>
    </w:lvl>
  </w:abstractNum>
  <w:abstractNum w:abstractNumId="172">
    <w:nsid w:val="6C053B16"/>
    <w:multiLevelType w:val="hybridMultilevel"/>
    <w:lvl w:ilvl="0">
      <w:lvlJc w:val="left"/>
      <w:lvlText w:val="(%1)"/>
      <w:numFmt w:val="lowerLetter"/>
      <w:start w:val="1"/>
    </w:lvl>
  </w:abstractNum>
  <w:abstractNum w:abstractNumId="173">
    <w:nsid w:val="4F294393"/>
    <w:multiLevelType w:val="hybridMultilevel"/>
    <w:lvl w:ilvl="0">
      <w:lvlJc w:val="left"/>
      <w:lvlText w:val="%1"/>
      <w:numFmt w:val="decimal"/>
      <w:start w:val="1"/>
    </w:lvl>
    <w:lvl w:ilvl="1">
      <w:lvlJc w:val="left"/>
      <w:lvlText w:val="(%2)"/>
      <w:numFmt w:val="lowerLetter"/>
      <w:start w:val="1"/>
    </w:lvl>
  </w:abstractNum>
  <w:abstractNum w:abstractNumId="174">
    <w:nsid w:val="5243BFAC"/>
    <w:multiLevelType w:val="hybridMultilevel"/>
    <w:lvl w:ilvl="0">
      <w:lvlJc w:val="left"/>
      <w:lvlText w:val="(%1)"/>
      <w:numFmt w:val="decimal"/>
      <w:start w:val="30"/>
    </w:lvl>
    <w:lvl w:ilvl="1">
      <w:lvlJc w:val="left"/>
      <w:lvlText w:val="%2"/>
      <w:numFmt w:val="lowerLetter"/>
      <w:start w:val="1"/>
    </w:lvl>
  </w:abstractNum>
  <w:abstractNum w:abstractNumId="175">
    <w:nsid w:val="425EB207"/>
    <w:multiLevelType w:val="hybridMultilevel"/>
    <w:lvl w:ilvl="0">
      <w:lvlJc w:val="left"/>
      <w:lvlText w:val="(%1)"/>
      <w:numFmt w:val="lowerLetter"/>
      <w:start w:val="3"/>
    </w:lvl>
  </w:abstractNum>
  <w:abstractNum w:abstractNumId="176">
    <w:nsid w:val="334A6F1F"/>
    <w:multiLevelType w:val="hybridMultilevel"/>
    <w:lvl w:ilvl="0">
      <w:lvlJc w:val="left"/>
      <w:lvlText w:val="(%1)"/>
      <w:numFmt w:val="lowerLetter"/>
      <w:start w:val="1"/>
    </w:lvl>
  </w:abstractNum>
  <w:abstractNum w:abstractNumId="177">
    <w:nsid w:val="2E5B12B8"/>
    <w:multiLevelType w:val="hybridMultilevel"/>
    <w:lvl w:ilvl="0">
      <w:lvlJc w:val="left"/>
      <w:lvlText w:val="(%1)"/>
      <w:numFmt w:val="lowerLetter"/>
      <w:start w:val="1"/>
    </w:lvl>
  </w:abstractNum>
  <w:abstractNum w:abstractNumId="178">
    <w:nsid w:val="5C03D76D"/>
    <w:multiLevelType w:val="hybridMultilevel"/>
    <w:lvl w:ilvl="0">
      <w:lvlJc w:val="left"/>
      <w:lvlText w:val="(%1)"/>
      <w:numFmt w:val="lowerLetter"/>
      <w:start w:val="3"/>
    </w:lvl>
  </w:abstractNum>
  <w:abstractNum w:abstractNumId="179">
    <w:nsid w:val="66A48D11"/>
    <w:multiLevelType w:val="hybridMultilevel"/>
    <w:lvl w:ilvl="0">
      <w:lvlJc w:val="left"/>
      <w:lvlText w:val="(%1)"/>
      <w:numFmt w:val="lowerLetter"/>
      <w:start w:val="1"/>
    </w:lvl>
  </w:abstractNum>
  <w:abstractNum w:abstractNumId="180">
    <w:nsid w:val="56C28E34"/>
    <w:multiLevelType w:val="hybridMultilevel"/>
    <w:lvl w:ilvl="0">
      <w:lvlJc w:val="left"/>
      <w:lvlText w:val="(%1)"/>
      <w:numFmt w:val="lowerLetter"/>
      <w:start w:val="1"/>
    </w:lvl>
  </w:abstractNum>
  <w:abstractNum w:abstractNumId="181">
    <w:nsid w:val="13916F2D"/>
    <w:multiLevelType w:val="hybridMultilevel"/>
    <w:lvl w:ilvl="0">
      <w:lvlJc w:val="left"/>
      <w:lvlText w:val="(%1)"/>
      <w:numFmt w:val="decimal"/>
      <w:start w:val="30"/>
    </w:lvl>
  </w:abstractNum>
  <w:abstractNum w:abstractNumId="182">
    <w:nsid w:val="435D38D"/>
    <w:multiLevelType w:val="hybridMultilevel"/>
    <w:lvl w:ilvl="0">
      <w:lvlJc w:val="left"/>
      <w:lvlText w:val="(%1)"/>
      <w:numFmt w:val="lowerLetter"/>
      <w:start w:val="1"/>
    </w:lvl>
  </w:abstractNum>
  <w:abstractNum w:abstractNumId="183">
    <w:nsid w:val="822C0EF"/>
    <w:multiLevelType w:val="hybridMultilevel"/>
    <w:lvl w:ilvl="0">
      <w:lvlJc w:val="left"/>
      <w:lvlText w:val="(%1)"/>
      <w:numFmt w:val="lowerLetter"/>
      <w:start w:val="2"/>
    </w:lvl>
  </w:abstractNum>
  <w:abstractNum w:abstractNumId="184">
    <w:nsid w:val="57C5BB4F"/>
    <w:multiLevelType w:val="hybridMultilevel"/>
    <w:lvl w:ilvl="0">
      <w:lvlJc w:val="left"/>
      <w:lvlText w:val="(%1)"/>
      <w:numFmt w:val="lowerLetter"/>
      <w:start w:val="1"/>
    </w:lvl>
  </w:abstractNum>
  <w:abstractNum w:abstractNumId="185">
    <w:nsid w:val="1803D089"/>
    <w:multiLevelType w:val="hybridMultilevel"/>
    <w:lvl w:ilvl="0">
      <w:lvlJc w:val="left"/>
      <w:lvlText w:val="(%1)"/>
      <w:numFmt w:val="lowerLetter"/>
      <w:start w:val="1"/>
    </w:lvl>
  </w:abstractNum>
  <w:abstractNum w:abstractNumId="186">
    <w:nsid w:val="4F3A06D4"/>
    <w:multiLevelType w:val="hybridMultilevel"/>
    <w:lvl w:ilvl="0">
      <w:lvlJc w:val="left"/>
      <w:lvlText w:val="(%1)"/>
      <w:numFmt w:val="lowerLetter"/>
      <w:start w:val="2"/>
    </w:lvl>
  </w:abstractNum>
  <w:abstractNum w:abstractNumId="187">
    <w:nsid w:val="59A377B6"/>
    <w:multiLevelType w:val="hybridMultilevel"/>
    <w:lvl w:ilvl="0">
      <w:lvlJc w:val="left"/>
      <w:lvlText w:val="(%1)"/>
      <w:numFmt w:val="lowerLetter"/>
      <w:start w:val="5"/>
    </w:lvl>
  </w:abstractNum>
  <w:abstractNum w:abstractNumId="188">
    <w:nsid w:val="48AEB063"/>
    <w:multiLevelType w:val="hybridMultilevel"/>
    <w:lvl w:ilvl="0">
      <w:lvlJc w:val="left"/>
      <w:lvlText w:val="(%1)"/>
      <w:numFmt w:val="lowerLetter"/>
      <w:start w:val="1"/>
    </w:lvl>
  </w:abstractNum>
  <w:abstractNum w:abstractNumId="189">
    <w:nsid w:val="24E135"/>
    <w:multiLevelType w:val="hybridMultilevel"/>
    <w:lvl w:ilvl="0">
      <w:lvlJc w:val="left"/>
      <w:lvlText w:val="(%1)"/>
      <w:numFmt w:val="lowerLetter"/>
      <w:start w:val="1"/>
    </w:lvl>
    <w:lvl w:ilvl="1">
      <w:lvlJc w:val="left"/>
      <w:lvlText w:val="(%2)"/>
      <w:numFmt w:val="lowerRoman"/>
      <w:start w:val="1"/>
    </w:lvl>
  </w:abstractNum>
  <w:abstractNum w:abstractNumId="190">
    <w:nsid w:val="BB13C1"/>
    <w:multiLevelType w:val="hybridMultilevel"/>
    <w:lvl w:ilvl="0">
      <w:lvlJc w:val="left"/>
      <w:lvlText w:val="%1"/>
      <w:numFmt w:val="lowerLetter"/>
      <w:start w:val="1"/>
    </w:lvl>
    <w:lvl w:ilvl="1">
      <w:lvlJc w:val="left"/>
      <w:lvlText w:val="(%2)"/>
      <w:numFmt w:val="lowerRoman"/>
      <w:start w:val="3"/>
    </w:lvl>
  </w:abstractNum>
  <w:abstractNum w:abstractNumId="191">
    <w:nsid w:val="271210C7"/>
    <w:multiLevelType w:val="hybridMultilevel"/>
    <w:lvl w:ilvl="0">
      <w:lvlJc w:val="left"/>
      <w:lvlText w:val="(%1)"/>
      <w:numFmt w:val="lowerLetter"/>
      <w:start w:val="2"/>
    </w:lvl>
    <w:lvl w:ilvl="1">
      <w:lvlJc w:val="left"/>
      <w:lvlText w:val="%2"/>
      <w:numFmt w:val="lowerRoman"/>
      <w:start w:val="1"/>
    </w:lvl>
  </w:abstractNum>
  <w:abstractNum w:abstractNumId="192">
    <w:nsid w:val="217B22E4"/>
    <w:multiLevelType w:val="hybridMultilevel"/>
    <w:lvl w:ilvl="0">
      <w:lvlJc w:val="left"/>
      <w:lvlText w:val="(%1)"/>
      <w:numFmt w:val="lowerLetter"/>
      <w:start w:val="1"/>
    </w:lvl>
  </w:abstractNum>
  <w:abstractNum w:abstractNumId="193">
    <w:nsid w:val="53E31A24"/>
    <w:multiLevelType w:val="hybridMultilevel"/>
    <w:lvl w:ilvl="0">
      <w:lvlJc w:val="left"/>
      <w:lvlText w:val="(%1)"/>
      <w:numFmt w:val="lowerRoman"/>
      <w:start w:val="1"/>
    </w:lvl>
  </w:abstractNum>
  <w:abstractNum w:abstractNumId="194">
    <w:nsid w:val="6DC45E83"/>
    <w:multiLevelType w:val="hybridMultilevel"/>
    <w:lvl w:ilvl="0">
      <w:lvlJc w:val="left"/>
      <w:lvlText w:val="(%1)"/>
      <w:numFmt w:val="lowerRoman"/>
      <w:start w:val="4"/>
    </w:lvl>
    <w:lvl w:ilvl="1">
      <w:lvlJc w:val="left"/>
      <w:lvlText w:val="(%2)"/>
      <w:numFmt w:val="upperLetter"/>
      <w:start w:val="1"/>
    </w:lvl>
  </w:abstractNum>
  <w:abstractNum w:abstractNumId="195">
    <w:nsid w:val="17304A67"/>
    <w:multiLevelType w:val="hybridMultilevel"/>
    <w:lvl w:ilvl="0">
      <w:lvlJc w:val="left"/>
      <w:lvlText w:val="(%1)"/>
      <w:numFmt w:val="upperLetter"/>
      <w:start w:val="6"/>
    </w:lvl>
  </w:abstractNum>
  <w:abstractNum w:abstractNumId="196">
    <w:nsid w:val="2BB180D8"/>
    <w:multiLevelType w:val="hybridMultilevel"/>
    <w:lvl w:ilvl="0">
      <w:lvlJc w:val="left"/>
      <w:lvlText w:val="(%1)"/>
      <w:numFmt w:val="lowerLetter"/>
      <w:start w:val="2"/>
    </w:lvl>
  </w:abstractNum>
  <w:abstractNum w:abstractNumId="197">
    <w:nsid w:val="556B69ED"/>
    <w:multiLevelType w:val="hybridMultilevel"/>
    <w:lvl w:ilvl="0">
      <w:lvlJc w:val="left"/>
      <w:lvlText w:val="%1"/>
      <w:numFmt w:val="upperLetter"/>
      <w:start w:val="1"/>
    </w:lvl>
    <w:lvl w:ilvl="1">
      <w:lvlJc w:val="left"/>
      <w:lvlText w:val="(%2)"/>
      <w:numFmt w:val="lowerLetter"/>
      <w:start w:val="1"/>
    </w:lvl>
  </w:abstractNum>
  <w:abstractNum w:abstractNumId="198">
    <w:nsid w:val="70836196"/>
    <w:multiLevelType w:val="hybridMultilevel"/>
    <w:lvl w:ilvl="0">
      <w:lvlJc w:val="left"/>
      <w:lvlText w:val="(%1)"/>
      <w:numFmt w:val="upperLetter"/>
      <w:start w:val="2"/>
    </w:lvl>
    <w:lvl w:ilvl="1">
      <w:lvlJc w:val="left"/>
      <w:lvlText w:val="%2"/>
      <w:numFmt w:val="lowerLetter"/>
      <w:start w:val="1"/>
    </w:lvl>
  </w:abstractNum>
  <w:abstractNum w:abstractNumId="199">
    <w:nsid w:val="539F7F12"/>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200">
    <w:nsid w:val="2817E7EC"/>
    <w:multiLevelType w:val="hybridMultilevel"/>
    <w:lvl w:ilvl="0">
      <w:lvlJc w:val="left"/>
      <w:lvlText w:val="%1"/>
      <w:numFmt w:val="lowerLetter"/>
      <w:start w:val="1"/>
    </w:lvl>
    <w:lvl w:ilvl="1">
      <w:lvlJc w:val="left"/>
      <w:lvlText w:val="(%2)"/>
      <w:numFmt w:val="lowerRoman"/>
      <w:start w:val="1"/>
    </w:lvl>
  </w:abstractNum>
  <w:abstractNum w:abstractNumId="201">
    <w:nsid w:val="71482545"/>
    <w:multiLevelType w:val="hybridMultilevel"/>
    <w:lvl w:ilvl="0">
      <w:lvlJc w:val="left"/>
      <w:lvlText w:val="(%1)"/>
      <w:numFmt w:val="lowerLetter"/>
      <w:start w:val="10"/>
    </w:lvl>
    <w:lvl w:ilvl="1">
      <w:lvlJc w:val="left"/>
      <w:lvlText w:val="%2"/>
      <w:numFmt w:val="lowerRoman"/>
      <w:start w:val="1"/>
    </w:lvl>
  </w:abstractNum>
  <w:abstractNum w:abstractNumId="202">
    <w:nsid w:val="17D78639"/>
    <w:multiLevelType w:val="hybridMultilevel"/>
    <w:lvl w:ilvl="0">
      <w:lvlJc w:val="left"/>
      <w:lvlText w:val="(%1)"/>
      <w:numFmt w:val="lowerLetter"/>
      <w:start w:val="1"/>
    </w:lvl>
  </w:abstractNum>
  <w:abstractNum w:abstractNumId="203">
    <w:nsid w:val="141D2302"/>
    <w:multiLevelType w:val="hybridMultilevel"/>
    <w:lvl w:ilvl="0">
      <w:lvlJc w:val="left"/>
      <w:lvlText w:val="(%1)"/>
      <w:numFmt w:val="lowerLetter"/>
      <w:start w:val="1"/>
    </w:lvl>
    <w:lvl w:ilvl="1">
      <w:lvlJc w:val="left"/>
      <w:lvlText w:val="(%2)"/>
      <w:numFmt w:val="upperLetter"/>
      <w:start w:val="1"/>
    </w:lvl>
  </w:abstractNum>
  <w:abstractNum w:abstractNumId="204">
    <w:nsid w:val="407168D8"/>
    <w:multiLevelType w:val="hybridMultilevel"/>
    <w:lvl w:ilvl="0">
      <w:lvlJc w:val="left"/>
      <w:lvlText w:val="(%1)"/>
      <w:numFmt w:val="upperLetter"/>
      <w:start w:val="6"/>
    </w:lvl>
  </w:abstractNum>
  <w:abstractNum w:abstractNumId="205">
    <w:nsid w:val="6A1B45E5"/>
    <w:multiLevelType w:val="hybridMultilevel"/>
    <w:lvl w:ilvl="0">
      <w:lvlJc w:val="left"/>
      <w:lvlText w:val="(%1)"/>
      <w:numFmt w:val="lowerLetter"/>
      <w:start w:val="2"/>
    </w:lvl>
  </w:abstractNum>
  <w:abstractNum w:abstractNumId="206">
    <w:nsid w:val="567BD50A"/>
    <w:multiLevelType w:val="hybridMultilevel"/>
    <w:lvl w:ilvl="0">
      <w:lvlJc w:val="left"/>
      <w:lvlText w:val="(%1)"/>
      <w:numFmt w:val="lowerLetter"/>
      <w:start w:val="5"/>
    </w:lvl>
  </w:abstractNum>
  <w:abstractNum w:abstractNumId="207">
    <w:nsid w:val="73BBD7F8"/>
    <w:multiLevelType w:val="hybridMultilevel"/>
    <w:lvl w:ilvl="0">
      <w:lvlJc w:val="left"/>
      <w:lvlText w:val="(%1)"/>
      <w:numFmt w:val="lowerLetter"/>
      <w:start w:val="6"/>
    </w:lvl>
  </w:abstractNum>
  <w:abstractNum w:abstractNumId="208">
    <w:nsid w:val="1876589D"/>
    <w:multiLevelType w:val="hybridMultilevel"/>
    <w:lvl w:ilvl="0">
      <w:lvlJc w:val="left"/>
      <w:lvlText w:val="(%1)"/>
      <w:numFmt w:val="lowerLetter"/>
      <w:start w:val="1"/>
    </w:lvl>
  </w:abstractNum>
  <w:abstractNum w:abstractNumId="209">
    <w:nsid w:val="327FAC77"/>
    <w:multiLevelType w:val="hybridMultilevel"/>
    <w:lvl w:ilvl="0">
      <w:lvlJc w:val="left"/>
      <w:lvlText w:val="(%1)"/>
      <w:numFmt w:val="lowerLetter"/>
      <w:start w:val="2"/>
    </w:lvl>
  </w:abstractNum>
  <w:abstractNum w:abstractNumId="210">
    <w:nsid w:val="5A606509"/>
    <w:multiLevelType w:val="hybridMultilevel"/>
    <w:lvl w:ilvl="0">
      <w:lvlJc w:val="left"/>
      <w:lvlText w:val="(%1)"/>
      <w:numFmt w:val="lowerLetter"/>
      <w:start w:val="1"/>
    </w:lvl>
  </w:abstractNum>
  <w:abstractNum w:abstractNumId="211">
    <w:nsid w:val="6F38E6D1"/>
    <w:multiLevelType w:val="hybridMultilevel"/>
    <w:lvl w:ilvl="0">
      <w:lvlJc w:val="left"/>
      <w:lvlText w:val="(%1)"/>
      <w:numFmt w:val="lowerLetter"/>
      <w:start w:val="1"/>
    </w:lvl>
  </w:abstractNum>
  <w:abstractNum w:abstractNumId="212">
    <w:nsid w:val="46111BA5"/>
    <w:multiLevelType w:val="hybridMultilevel"/>
    <w:lvl w:ilvl="0">
      <w:lvlJc w:val="left"/>
      <w:lvlText w:val="(%1)"/>
      <w:numFmt w:val="lowerLetter"/>
      <w:start w:val="2"/>
    </w:lvl>
  </w:abstractNum>
  <w:abstractNum w:abstractNumId="213">
    <w:nsid w:val="5E963896"/>
    <w:multiLevelType w:val="hybridMultilevel"/>
    <w:lvl w:ilvl="0">
      <w:lvlJc w:val="left"/>
      <w:lvlText w:val="(%1)"/>
      <w:numFmt w:val="lowerLetter"/>
      <w:start w:val="4"/>
    </w:lvl>
  </w:abstractNum>
  <w:abstractNum w:abstractNumId="214">
    <w:nsid w:val="775BA7C1"/>
    <w:multiLevelType w:val="hybridMultilevel"/>
    <w:lvl w:ilvl="0">
      <w:lvlJc w:val="left"/>
      <w:lvlText w:val="%1"/>
      <w:numFmt w:val="lowerLetter"/>
      <w:start w:val="1"/>
    </w:lvl>
    <w:lvl w:ilvl="1">
      <w:lvlJc w:val="left"/>
      <w:lvlText w:val="(%2)"/>
      <w:numFmt w:val="lowerLetter"/>
      <w:start w:val="1"/>
    </w:lvl>
  </w:abstractNum>
  <w:abstractNum w:abstractNumId="215">
    <w:nsid w:val="1DD6D6F4"/>
    <w:multiLevelType w:val="hybridMultilevel"/>
    <w:lvl w:ilvl="0">
      <w:lvlJc w:val="left"/>
      <w:lvlText w:val="(%1)"/>
      <w:numFmt w:val="lowerLetter"/>
      <w:start w:val="61"/>
    </w:lvl>
    <w:lvl w:ilvl="1">
      <w:lvlJc w:val="left"/>
      <w:lvlText w:val="%2"/>
      <w:numFmt w:val="lowerLetter"/>
      <w:start w:val="1"/>
    </w:lvl>
  </w:abstractNum>
  <w:abstractNum w:abstractNumId="216">
    <w:nsid w:val="769A091F"/>
    <w:multiLevelType w:val="hybridMultilevel"/>
    <w:lvl w:ilvl="0">
      <w:lvlJc w:val="left"/>
      <w:lvlText w:val="%1"/>
      <w:numFmt w:val="lowerLetter"/>
      <w:start w:val="1"/>
    </w:lvl>
    <w:lvl w:ilvl="1">
      <w:lvlJc w:val="left"/>
      <w:lvlText w:val="(%2)"/>
      <w:numFmt w:val="lowerLetter"/>
      <w:start w:val="2"/>
    </w:lvl>
  </w:abstractNum>
  <w:abstractNum w:abstractNumId="217">
    <w:nsid w:val="4695AE95"/>
    <w:multiLevelType w:val="hybridMultilevel"/>
    <w:lvl w:ilvl="0">
      <w:lvlJc w:val="left"/>
      <w:lvlText w:val="(%1)"/>
      <w:numFmt w:val="lowerLetter"/>
      <w:start w:val="9"/>
    </w:lvl>
    <w:lvl w:ilvl="1">
      <w:lvlJc w:val="left"/>
      <w:lvlText w:val="%2"/>
      <w:numFmt w:val="lowerLetter"/>
      <w:start w:val="1"/>
    </w:lvl>
  </w:abstractNum>
  <w:abstractNum w:abstractNumId="218">
    <w:nsid w:val="777A4EAA"/>
    <w:multiLevelType w:val="hybridMultilevel"/>
    <w:lvl w:ilvl="0">
      <w:lvlJc w:val="left"/>
      <w:lvlText w:val="(%1)"/>
      <w:numFmt w:val="lowerLetter"/>
      <w:start w:val="61"/>
    </w:lvl>
    <w:lvl w:ilvl="1">
      <w:lvlJc w:val="left"/>
      <w:lvlText w:val="(%2)"/>
      <w:numFmt w:val="lowerLetter"/>
      <w:start w:val="3"/>
    </w:lvl>
  </w:abstractNum>
  <w:abstractNum w:abstractNumId="219">
    <w:nsid w:val="3F48B982"/>
    <w:multiLevelType w:val="hybridMultilevel"/>
    <w:lvl w:ilvl="0">
      <w:lvlJc w:val="left"/>
      <w:lvlText w:val="(%1)"/>
      <w:numFmt w:val="lowerLetter"/>
      <w:start w:val="3"/>
    </w:lvl>
  </w:abstractNum>
  <w:abstractNum w:abstractNumId="220">
    <w:nsid w:val="46BA8FCA"/>
    <w:multiLevelType w:val="hybridMultilevel"/>
    <w:lvl w:ilvl="0">
      <w:lvlJc w:val="left"/>
      <w:lvlText w:val="(%1)"/>
      <w:numFmt w:val="lowerLetter"/>
      <w:start w:val="1"/>
    </w:lvl>
  </w:abstractNum>
  <w:abstractNum w:abstractNumId="221">
    <w:nsid w:val="7835626C"/>
    <w:multiLevelType w:val="hybridMultilevel"/>
    <w:lvl w:ilvl="0">
      <w:lvlJc w:val="left"/>
      <w:lvlText w:val="(%1)"/>
      <w:numFmt w:val="lowerLetter"/>
      <w:start w:val="10"/>
    </w:lvl>
  </w:abstractNum>
  <w:abstractNum w:abstractNumId="222">
    <w:nsid w:val="665ACA49"/>
    <w:multiLevelType w:val="hybridMultilevel"/>
    <w:lvl w:ilvl="0">
      <w:lvlJc w:val="left"/>
      <w:lvlText w:val="(%1)"/>
      <w:numFmt w:val="lowerLetter"/>
      <w:start w:val="1"/>
    </w:lvl>
  </w:abstractNum>
  <w:abstractNum w:abstractNumId="223">
    <w:nsid w:val="6835B2AE"/>
    <w:multiLevelType w:val="hybridMultilevel"/>
    <w:lvl w:ilvl="0">
      <w:lvlJc w:val="left"/>
      <w:lvlText w:val="(%1)"/>
      <w:numFmt w:val="lowerLetter"/>
      <w:start w:val="3"/>
    </w:lvl>
  </w:abstractNum>
  <w:abstractNum w:abstractNumId="224">
    <w:nsid w:val="4C187C90"/>
    <w:multiLevelType w:val="hybridMultilevel"/>
    <w:lvl w:ilvl="0">
      <w:lvlJc w:val="left"/>
      <w:lvlText w:val="(%1)"/>
      <w:numFmt w:val="lowerLetter"/>
      <w:start w:val="1"/>
    </w:lvl>
  </w:abstractNum>
  <w:abstractNum w:abstractNumId="225">
    <w:nsid w:val="541F28CD"/>
    <w:multiLevelType w:val="hybridMultilevel"/>
    <w:lvl w:ilvl="0">
      <w:lvlJc w:val="left"/>
      <w:lvlText w:val="(%1)"/>
      <w:numFmt w:val="lowerLetter"/>
      <w:start w:val="5"/>
    </w:lvl>
  </w:abstractNum>
  <w:abstractNum w:abstractNumId="226">
    <w:nsid w:val="7F65FD16"/>
    <w:multiLevelType w:val="hybridMultilevel"/>
    <w:lvl w:ilvl="0">
      <w:lvlJc w:val="left"/>
      <w:lvlText w:val="(%1)"/>
      <w:numFmt w:val="lowerLetter"/>
      <w:start w:val="1"/>
    </w:lvl>
  </w:abstractNum>
  <w:abstractNum w:abstractNumId="227">
    <w:nsid w:val="77C9FD68"/>
    <w:multiLevelType w:val="hybridMultilevel"/>
    <w:lvl w:ilvl="0">
      <w:lvlJc w:val="left"/>
      <w:lvlText w:val="(%1)"/>
      <w:numFmt w:val="lowerLetter"/>
      <w:start w:val="3"/>
    </w:lvl>
  </w:abstractNum>
  <w:abstractNum w:abstractNumId="228">
    <w:nsid w:val="298A92BA"/>
    <w:multiLevelType w:val="hybridMultilevel"/>
    <w:lvl w:ilvl="0">
      <w:lvlJc w:val="left"/>
      <w:lvlText w:val="(%1)"/>
      <w:numFmt w:val="lowerLetter"/>
      <w:start w:val="8"/>
    </w:lvl>
  </w:abstractNum>
  <w:abstractNum w:abstractNumId="229">
    <w:nsid w:val="6FE95EAC"/>
    <w:multiLevelType w:val="hybridMultilevel"/>
    <w:lvl w:ilvl="0">
      <w:lvlJc w:val="left"/>
      <w:lvlText w:val="(%1)"/>
      <w:numFmt w:val="lowerLetter"/>
      <w:start w:val="14"/>
    </w:lvl>
  </w:abstractNum>
  <w:abstractNum w:abstractNumId="230">
    <w:nsid w:val="4B697C7A"/>
    <w:multiLevelType w:val="hybridMultilevel"/>
    <w:lvl w:ilvl="0">
      <w:lvlJc w:val="left"/>
      <w:lvlText w:val="(%1)"/>
      <w:numFmt w:val="lowerLetter"/>
      <w:start w:val="1"/>
    </w:lvl>
    <w:lvl w:ilvl="1">
      <w:lvlJc w:val="left"/>
      <w:lvlText w:val="(%2)"/>
      <w:numFmt w:val="lowerLetter"/>
      <w:start w:val="9"/>
    </w:lvl>
  </w:abstractNum>
  <w:abstractNum w:abstractNumId="231">
    <w:nsid w:val="51A27AA6"/>
    <w:multiLevelType w:val="hybridMultilevel"/>
    <w:lvl w:ilvl="0">
      <w:lvlJc w:val="left"/>
      <w:lvlText w:val="(%1)"/>
      <w:numFmt w:val="lowerRoman"/>
      <w:start w:val="2"/>
    </w:lvl>
  </w:abstractNum>
  <w:abstractNum w:abstractNumId="232">
    <w:nsid w:val="613183F2"/>
    <w:multiLevelType w:val="hybridMultilevel"/>
    <w:lvl w:ilvl="0">
      <w:lvlJc w:val="left"/>
      <w:lvlText w:val="(%1)"/>
      <w:numFmt w:val="lowerLetter"/>
      <w:start w:val="2"/>
    </w:lvl>
  </w:abstractNum>
  <w:abstractNum w:abstractNumId="233">
    <w:nsid w:val="634102B4"/>
    <w:multiLevelType w:val="hybridMultilevel"/>
    <w:lvl w:ilvl="0">
      <w:lvlJc w:val="left"/>
      <w:lvlText w:val="(%1)"/>
      <w:numFmt w:val="lowerLetter"/>
      <w:start w:val="1"/>
    </w:lvl>
  </w:abstractNum>
  <w:abstractNum w:abstractNumId="234">
    <w:nsid w:val="65BF9DA8"/>
    <w:multiLevelType w:val="hybridMultilevel"/>
    <w:lvl w:ilvl="0">
      <w:lvlJc w:val="left"/>
      <w:lvlText w:val="(%1)"/>
      <w:numFmt w:val="upperLetter"/>
      <w:start w:val="2"/>
    </w:lvl>
    <w:lvl w:ilvl="1">
      <w:lvlJc w:val="left"/>
      <w:lvlText w:val="(%2)"/>
      <w:numFmt w:val="lowerLetter"/>
      <w:start w:val="5"/>
    </w:lvl>
  </w:abstractNum>
  <w:abstractNum w:abstractNumId="235">
    <w:nsid w:val="21A2ECCA"/>
    <w:multiLevelType w:val="hybridMultilevel"/>
    <w:lvl w:ilvl="0">
      <w:lvlJc w:val="left"/>
      <w:lvlText w:val="(%1)"/>
      <w:numFmt w:val="lowerLetter"/>
      <w:start w:val="1"/>
    </w:lvl>
  </w:abstractNum>
  <w:abstractNum w:abstractNumId="236">
    <w:nsid w:val="4D5C4899"/>
    <w:multiLevelType w:val="hybridMultilevel"/>
    <w:lvl w:ilvl="0">
      <w:lvlJc w:val="left"/>
      <w:lvlText w:val="%1"/>
      <w:numFmt w:val="lowerLetter"/>
      <w:start w:val="1"/>
    </w:lvl>
    <w:lvl w:ilvl="1">
      <w:lvlJc w:val="left"/>
      <w:lvlText w:val="(%2)"/>
      <w:numFmt w:val="lowerRoman"/>
      <w:start w:val="1"/>
    </w:lvl>
  </w:abstractNum>
  <w:abstractNum w:abstractNumId="237">
    <w:nsid w:val="3C3B72B2"/>
    <w:multiLevelType w:val="hybridMultilevel"/>
    <w:lvl w:ilvl="0">
      <w:lvlJc w:val="left"/>
      <w:lvlText w:val="(%1)"/>
      <w:numFmt w:val="lowerLetter"/>
      <w:start w:val="3"/>
    </w:lvl>
    <w:lvl w:ilvl="1">
      <w:lvlJc w:val="left"/>
      <w:lvlText w:val="%2"/>
      <w:numFmt w:val="lowerRoman"/>
      <w:start w:val="1"/>
    </w:lvl>
  </w:abstractNum>
  <w:abstractNum w:abstractNumId="238">
    <w:nsid w:val="155EC4C2"/>
    <w:multiLevelType w:val="hybridMultilevel"/>
    <w:lvl w:ilvl="0">
      <w:lvlJc w:val="left"/>
      <w:lvlText w:val="%1"/>
      <w:numFmt w:val="lowerLetter"/>
      <w:start w:val="1"/>
    </w:lvl>
    <w:lvl w:ilvl="1">
      <w:lvlJc w:val="left"/>
      <w:lvlText w:val="(%2)"/>
      <w:numFmt w:val="lowerLetter"/>
      <w:start w:val="1"/>
    </w:lvl>
  </w:abstractNum>
  <w:abstractNum w:abstractNumId="239">
    <w:nsid w:val="65D2A137"/>
    <w:multiLevelType w:val="hybridMultilevel"/>
    <w:lvl w:ilvl="0">
      <w:lvlJc w:val="left"/>
      <w:lvlText w:val="(%1)"/>
      <w:numFmt w:val="lowerLetter"/>
      <w:start w:val="9"/>
    </w:lvl>
    <w:lvl w:ilvl="1">
      <w:lvlJc w:val="left"/>
      <w:lvlText w:val="(%2)"/>
      <w:numFmt w:val="lowerLetter"/>
      <w:start w:val="3"/>
    </w:lvl>
  </w:abstractNum>
  <w:abstractNum w:abstractNumId="240">
    <w:nsid w:val="6EBB1F2A"/>
    <w:multiLevelType w:val="hybridMultilevel"/>
    <w:lvl w:ilvl="0">
      <w:lvlJc w:val="left"/>
      <w:lvlText w:val="(%1)"/>
      <w:numFmt w:val="lowerLetter"/>
      <w:start w:val="2"/>
    </w:lvl>
  </w:abstractNum>
  <w:abstractNum w:abstractNumId="241">
    <w:nsid w:val="6FBF29CB"/>
    <w:multiLevelType w:val="hybridMultilevel"/>
    <w:lvl w:ilvl="0">
      <w:lvlJc w:val="left"/>
      <w:lvlText w:val="(%1)"/>
      <w:numFmt w:val="lowerLetter"/>
      <w:start w:val="1"/>
    </w:lvl>
  </w:abstractNum>
  <w:abstractNum w:abstractNumId="242">
    <w:nsid w:val="550B8808"/>
    <w:multiLevelType w:val="hybridMultilevel"/>
    <w:lvl w:ilvl="0">
      <w:lvlJc w:val="left"/>
      <w:lvlText w:val="(%1)"/>
      <w:numFmt w:val="lowerLetter"/>
      <w:start w:val="2"/>
    </w:lvl>
  </w:abstractNum>
  <w:abstractNum w:abstractNumId="243">
    <w:nsid w:val="34CC3ACF"/>
    <w:multiLevelType w:val="hybridMultilevel"/>
    <w:lvl w:ilvl="0">
      <w:lvlJc w:val="left"/>
      <w:lvlText w:val="(%1)"/>
      <w:numFmt w:val="lowerLetter"/>
      <w:start w:val="1"/>
    </w:lvl>
  </w:abstractNum>
  <w:abstractNum w:abstractNumId="244">
    <w:nsid w:val="4E556261"/>
    <w:multiLevelType w:val="hybridMultilevel"/>
    <w:lvl w:ilvl="0">
      <w:lvlJc w:val="left"/>
      <w:lvlText w:val="(%1)"/>
      <w:numFmt w:val="lowerLetter"/>
      <w:start w:val="2"/>
    </w:lvl>
  </w:abstractNum>
  <w:abstractNum w:abstractNumId="245">
    <w:nsid w:val="4C672FC9"/>
    <w:multiLevelType w:val="hybridMultilevel"/>
    <w:lvl w:ilvl="0">
      <w:lvlJc w:val="left"/>
      <w:lvlText w:val="(%1)"/>
      <w:numFmt w:val="lowerLetter"/>
      <w:start w:val="1"/>
    </w:lvl>
  </w:abstractNum>
  <w:abstractNum w:abstractNumId="246">
    <w:nsid w:val="52A311C3"/>
    <w:multiLevelType w:val="hybridMultilevel"/>
    <w:lvl w:ilvl="0">
      <w:lvlJc w:val="left"/>
      <w:lvlText w:val="(%1)"/>
      <w:numFmt w:val="lowerLetter"/>
      <w:start w:val="2"/>
    </w:lvl>
  </w:abstractNum>
  <w:abstractNum w:abstractNumId="247">
    <w:nsid w:val="44EF6B80"/>
    <w:multiLevelType w:val="hybridMultilevel"/>
    <w:lvl w:ilvl="0">
      <w:lvlJc w:val="left"/>
      <w:lvlText w:val="(%1)"/>
      <w:numFmt w:val="lowerLetter"/>
      <w:start w:val="1"/>
    </w:lvl>
  </w:abstractNum>
  <w:abstractNum w:abstractNumId="248">
    <w:nsid w:val="12FCDE5E"/>
    <w:multiLevelType w:val="hybridMultilevel"/>
    <w:lvl w:ilvl="0">
      <w:lvlJc w:val="left"/>
      <w:lvlText w:val="(%1)"/>
      <w:numFmt w:val="lowerLetter"/>
      <w:start w:val="2"/>
    </w:lvl>
  </w:abstractNum>
  <w:abstractNum w:abstractNumId="249">
    <w:nsid w:val="4A1D606E"/>
    <w:multiLevelType w:val="hybridMultilevel"/>
    <w:lvl w:ilvl="0">
      <w:lvlJc w:val="left"/>
      <w:lvlText w:val="(%1)"/>
      <w:numFmt w:val="lowerLetter"/>
      <w:start w:val="1"/>
    </w:lvl>
  </w:abstractNum>
  <w:abstractNum w:abstractNumId="250">
    <w:nsid w:val="4382503"/>
    <w:multiLevelType w:val="hybridMultilevel"/>
    <w:lvl w:ilvl="0">
      <w:lvlJc w:val="left"/>
      <w:lvlText w:val="(%1)"/>
      <w:numFmt w:val="lowerLetter"/>
      <w:start w:val="2"/>
    </w:lvl>
  </w:abstractNum>
  <w:abstractNum w:abstractNumId="251">
    <w:nsid w:val="59B76E2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2">
    <w:nsid w:val="4252C2DA"/>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53">
    <w:nsid w:val="6A92EF4C"/>
    <w:multiLevelType w:val="hybridMultilevel"/>
    <w:lvl w:ilvl="0">
      <w:lvlJc w:val="left"/>
      <w:lvlText w:val="%1"/>
      <w:numFmt w:val="lowerLetter"/>
      <w:start w:val="1"/>
    </w:lvl>
    <w:lvl w:ilvl="1">
      <w:lvlJc w:val="left"/>
      <w:lvlText w:val="(%2)"/>
      <w:numFmt w:val="lowerLetter"/>
      <w:start w:val="3"/>
    </w:lvl>
  </w:abstractNum>
  <w:abstractNum w:abstractNumId="254">
    <w:nsid w:val="41ED20D7"/>
    <w:multiLevelType w:val="hybridMultilevel"/>
    <w:lvl w:ilvl="0">
      <w:lvlJc w:val="left"/>
      <w:lvlText w:val="(%1)"/>
      <w:numFmt w:val="lowerLetter"/>
      <w:start w:val="35"/>
    </w:lvl>
    <w:lvl w:ilvl="1">
      <w:lvlJc w:val="left"/>
      <w:lvlText w:val="(%2)"/>
      <w:numFmt w:val="lowerLetter"/>
      <w:start w:val="5"/>
    </w:lvl>
  </w:abstractNum>
  <w:abstractNum w:abstractNumId="255">
    <w:nsid w:val="E6B3F6A"/>
    <w:multiLevelType w:val="hybridMultilevel"/>
    <w:lvl w:ilvl="0">
      <w:lvlJc w:val="left"/>
      <w:lvlText w:val="(%1)"/>
      <w:numFmt w:val="lowerLetter"/>
      <w:start w:val="6"/>
    </w:lvl>
  </w:abstractNum>
  <w:abstractNum w:abstractNumId="256">
    <w:nsid w:val="3EB21819"/>
    <w:multiLevelType w:val="hybridMultilevel"/>
    <w:lvl w:ilvl="0">
      <w:lvlJc w:val="left"/>
      <w:lvlText w:val="(%1)"/>
      <w:numFmt w:val="lowerLetter"/>
      <w:start w:val="1"/>
    </w:lvl>
  </w:abstractNum>
  <w:abstractNum w:abstractNumId="257">
    <w:nsid w:val="41531DED"/>
    <w:multiLevelType w:val="hybridMultilevel"/>
    <w:lvl w:ilvl="0">
      <w:lvlJc w:val="left"/>
      <w:lvlText w:val="%1"/>
      <w:numFmt w:val="lowerLetter"/>
      <w:start w:val="1"/>
    </w:lvl>
    <w:lvl w:ilvl="1">
      <w:lvlJc w:val="left"/>
      <w:lvlText w:val="(%2)"/>
      <w:numFmt w:val="lowerLetter"/>
      <w:start w:val="3"/>
    </w:lvl>
  </w:abstractNum>
  <w:abstractNum w:abstractNumId="258">
    <w:nsid w:val="6353CD2"/>
    <w:multiLevelType w:val="hybridMultilevel"/>
    <w:lvl w:ilvl="0">
      <w:lvlJc w:val="left"/>
      <w:lvlText w:val="(%1)"/>
      <w:numFmt w:val="lowerLetter"/>
      <w:start w:val="9"/>
    </w:lvl>
    <w:lvl w:ilvl="1">
      <w:lvlJc w:val="left"/>
      <w:lvlText w:val="%2"/>
      <w:numFmt w:val="lowerLetter"/>
      <w:start w:val="1"/>
    </w:lvl>
  </w:abstractNum>
  <w:abstractNum w:abstractNumId="259">
    <w:nsid w:val="683CAAD3"/>
    <w:multiLevelType w:val="hybridMultilevel"/>
    <w:lvl w:ilvl="0">
      <w:lvlJc w:val="left"/>
      <w:lvlText w:val="(%1)"/>
      <w:numFmt w:val="lowerLetter"/>
      <w:start w:val="61"/>
    </w:lvl>
    <w:lvl w:ilvl="1">
      <w:lvlJc w:val="left"/>
      <w:lvlText w:val="(%2)"/>
      <w:numFmt w:val="lowerLetter"/>
      <w:start w:val="5"/>
    </w:lvl>
  </w:abstractNum>
  <w:abstractNum w:abstractNumId="260">
    <w:nsid w:val="313C7C99"/>
    <w:multiLevelType w:val="hybridMultilevel"/>
    <w:lvl w:ilvl="0">
      <w:lvlJc w:val="left"/>
      <w:lvlText w:val="(%1)"/>
      <w:numFmt w:val="lowerLetter"/>
      <w:start w:val="1"/>
    </w:lvl>
  </w:abstractNum>
  <w:abstractNum w:abstractNumId="261">
    <w:nsid w:val="519EB94C"/>
    <w:multiLevelType w:val="hybridMultilevel"/>
    <w:lvl w:ilvl="0">
      <w:lvlJc w:val="left"/>
      <w:lvlText w:val="%1"/>
      <w:numFmt w:val="lowerLetter"/>
      <w:start w:val="1"/>
    </w:lvl>
    <w:lvl w:ilvl="1">
      <w:lvlJc w:val="left"/>
      <w:lvlText w:val="(%2)"/>
      <w:numFmt w:val="lowerLetter"/>
      <w:start w:val="3"/>
    </w:lvl>
  </w:abstractNum>
  <w:abstractNum w:abstractNumId="262">
    <w:nsid w:val="39DF2579"/>
    <w:multiLevelType w:val="hybridMultilevel"/>
    <w:lvl w:ilvl="0">
      <w:lvlJc w:val="left"/>
      <w:lvlText w:val="(%1)"/>
      <w:numFmt w:val="lowerLetter"/>
      <w:start w:val="61"/>
    </w:lvl>
    <w:lvl w:ilvl="1">
      <w:lvlJc w:val="left"/>
      <w:lvlText w:val="%2"/>
      <w:numFmt w:val="lowerLetter"/>
      <w:start w:val="1"/>
    </w:lvl>
  </w:abstractNum>
  <w:abstractNum w:abstractNumId="263">
    <w:nsid w:val="126E008B"/>
    <w:multiLevelType w:val="hybridMultilevel"/>
    <w:lvl w:ilvl="0">
      <w:lvlJc w:val="left"/>
      <w:lvlText w:val="(%1)"/>
      <w:numFmt w:val="lowerLetter"/>
      <w:start w:val="1"/>
    </w:lvl>
  </w:abstractNum>
  <w:abstractNum w:abstractNumId="264">
    <w:nsid w:val="34DFBC00"/>
    <w:multiLevelType w:val="hybridMultilevel"/>
    <w:lvl w:ilvl="0">
      <w:lvlJc w:val="left"/>
      <w:lvlText w:val="(%1)"/>
      <w:numFmt w:val="lowerLetter"/>
      <w:start w:val="8"/>
    </w:lvl>
  </w:abstractNum>
  <w:abstractNum w:abstractNumId="265">
    <w:nsid w:val="1F9EC322"/>
    <w:multiLevelType w:val="hybridMultilevel"/>
    <w:lvl w:ilvl="0">
      <w:lvlJc w:val="left"/>
      <w:lvlText w:val="(%1)"/>
      <w:numFmt w:val="lowerLetter"/>
      <w:start w:val="1"/>
    </w:lvl>
  </w:abstractNum>
  <w:abstractNum w:abstractNumId="266">
    <w:nsid w:val="3410ED56"/>
    <w:multiLevelType w:val="hybridMultilevel"/>
    <w:lvl w:ilvl="0">
      <w:lvlJc w:val="left"/>
      <w:lvlText w:val="(%1)"/>
      <w:numFmt w:val="lowerLetter"/>
      <w:start w:val="4"/>
    </w:lvl>
  </w:abstractNum>
  <w:abstractNum w:abstractNumId="267">
    <w:nsid w:val="23C049A"/>
    <w:multiLevelType w:val="hybridMultilevel"/>
    <w:lvl w:ilvl="0">
      <w:lvlJc w:val="left"/>
      <w:lvlText w:val="(%1)"/>
      <w:numFmt w:val="lowerLetter"/>
      <w:start w:val="1"/>
    </w:lvl>
  </w:abstractNum>
  <w:abstractNum w:abstractNumId="268">
    <w:nsid w:val="5BDA35D4"/>
    <w:multiLevelType w:val="hybridMultilevel"/>
    <w:lvl w:ilvl="0">
      <w:lvlJc w:val="left"/>
      <w:lvlText w:val="(%1)"/>
      <w:numFmt w:val="lowerLetter"/>
      <w:start w:val="2"/>
    </w:lvl>
  </w:abstractNum>
  <w:abstractNum w:abstractNumId="269">
    <w:nsid w:val="496FB218"/>
    <w:multiLevelType w:val="hybridMultilevel"/>
    <w:lvl w:ilvl="0">
      <w:lvlJc w:val="left"/>
      <w:lvlText w:val="%1"/>
      <w:numFmt w:val="upperLetter"/>
      <w:start w:val="1"/>
    </w:lvl>
    <w:lvl w:ilvl="1">
      <w:lvlJc w:val="left"/>
      <w:lvlText w:val="(%2)"/>
      <w:numFmt w:val="lowerLetter"/>
      <w:start w:val="1"/>
    </w:lvl>
  </w:abstractNum>
  <w:abstractNum w:abstractNumId="270">
    <w:nsid w:val="680EA5D1"/>
    <w:multiLevelType w:val="hybridMultilevel"/>
    <w:lvl w:ilvl="0">
      <w:lvlJc w:val="left"/>
      <w:lvlText w:val="(%1)"/>
      <w:numFmt w:val="upperLetter"/>
      <w:start w:val="2"/>
    </w:lvl>
    <w:lvl w:ilvl="1">
      <w:lvlJc w:val="left"/>
      <w:lvlText w:val="(%2)"/>
      <w:numFmt w:val="lowerLetter"/>
      <w:start w:val="2"/>
    </w:lvl>
  </w:abstractNum>
  <w:abstractNum w:abstractNumId="271">
    <w:nsid w:val="4A9554FE"/>
    <w:multiLevelType w:val="hybridMultilevel"/>
    <w:lvl w:ilvl="0">
      <w:lvlJc w:val="left"/>
      <w:lvlText w:val="(%1)"/>
      <w:numFmt w:val="lowerLetter"/>
      <w:start w:val="1"/>
    </w:lvl>
  </w:abstractNum>
  <w:abstractNum w:abstractNumId="272">
    <w:nsid w:val="392EDBE4"/>
    <w:multiLevelType w:val="hybridMultilevel"/>
    <w:lvl w:ilvl="0">
      <w:lvlJc w:val="left"/>
      <w:lvlText w:val="(%1)"/>
      <w:numFmt w:val="lowerLetter"/>
      <w:start w:val="2"/>
    </w:lvl>
  </w:abstractNum>
  <w:abstractNum w:abstractNumId="273">
    <w:nsid w:val="3D1A2DD9"/>
    <w:multiLevelType w:val="hybridMultilevel"/>
    <w:lvl w:ilvl="0">
      <w:lvlJc w:val="left"/>
      <w:lvlText w:val="(%1)"/>
      <w:numFmt w:val="lowerLetter"/>
      <w:start w:val="1"/>
    </w:lvl>
  </w:abstractNum>
  <w:abstractNum w:abstractNumId="274">
    <w:nsid w:val="7F618FCD"/>
    <w:multiLevelType w:val="hybridMultilevel"/>
    <w:lvl w:ilvl="0">
      <w:lvlJc w:val="left"/>
      <w:lvlText w:val="(%1)"/>
      <w:numFmt w:val="decimal"/>
      <w:start w:val="15"/>
    </w:lvl>
  </w:abstractNum>
  <w:abstractNum w:abstractNumId="275">
    <w:nsid w:val="7843E45"/>
    <w:multiLevelType w:val="hybridMultilevel"/>
    <w:lvl w:ilvl="0">
      <w:lvlJc w:val="left"/>
      <w:lvlText w:val="(%1)"/>
      <w:numFmt w:val="lowerLetter"/>
      <w:start w:val="1"/>
    </w:lvl>
  </w:abstractNum>
  <w:abstractNum w:abstractNumId="276">
    <w:nsid w:val="9815DA3"/>
    <w:multiLevelType w:val="hybridMultilevel"/>
    <w:lvl w:ilvl="0">
      <w:lvlJc w:val="left"/>
      <w:lvlText w:val="(%1)"/>
      <w:numFmt w:val="lowerLetter"/>
      <w:start w:val="1"/>
    </w:lvl>
  </w:abstractNum>
  <w:abstractNum w:abstractNumId="277">
    <w:nsid w:val="5204A191"/>
    <w:multiLevelType w:val="hybridMultilevel"/>
    <w:lvl w:ilvl="0">
      <w:lvlJc w:val="left"/>
      <w:lvlText w:val="(%1)"/>
      <w:numFmt w:val="lowerLetter"/>
      <w:start w:val="2"/>
    </w:lvl>
  </w:abstractNum>
  <w:abstractNum w:abstractNumId="278">
    <w:nsid w:val="4C73A9C6"/>
    <w:multiLevelType w:val="hybridMultilevel"/>
    <w:lvl w:ilvl="0">
      <w:lvlJc w:val="left"/>
      <w:lvlText w:val="(%1)"/>
      <w:numFmt w:val="lowerLetter"/>
      <w:start w:val="1"/>
    </w:lvl>
  </w:abstractNum>
  <w:abstractNum w:abstractNumId="279">
    <w:nsid w:val="1C7E3C01"/>
    <w:multiLevelType w:val="hybridMultilevel"/>
    <w:lvl w:ilvl="0">
      <w:lvlJc w:val="left"/>
      <w:lvlText w:val="(%1)"/>
      <w:numFmt w:val="lowerLetter"/>
      <w:start w:val="1"/>
    </w:lvl>
  </w:abstractNum>
  <w:abstractNum w:abstractNumId="280">
    <w:nsid w:val="1C2201FF"/>
    <w:multiLevelType w:val="hybridMultilevel"/>
    <w:lvl w:ilvl="0">
      <w:lvlJc w:val="left"/>
      <w:lvlText w:val="(%1)"/>
      <w:numFmt w:val="lowerLetter"/>
      <w:start w:val="1"/>
    </w:lvl>
  </w:abstractNum>
  <w:abstractNum w:abstractNumId="281">
    <w:nsid w:val="50ABCEC9"/>
    <w:multiLevelType w:val="hybridMultilevel"/>
    <w:lvl w:ilvl="0">
      <w:lvlJc w:val="left"/>
      <w:lvlText w:val="(%1)"/>
      <w:numFmt w:val="lowerRoman"/>
      <w:start w:val="1"/>
    </w:lvl>
  </w:abstractNum>
  <w:abstractNum w:abstractNumId="282">
    <w:nsid w:val="7635AA2A"/>
    <w:multiLevelType w:val="hybridMultilevel"/>
    <w:lvl w:ilvl="0">
      <w:lvlJc w:val="left"/>
      <w:lvlText w:val="%1"/>
      <w:numFmt w:val="lowerLetter"/>
      <w:start w:val="1"/>
    </w:lvl>
    <w:lvl w:ilvl="1">
      <w:lvlJc w:val="left"/>
      <w:lvlText w:val="(%2)"/>
      <w:numFmt w:val="lowerRoman"/>
      <w:start w:val="6"/>
    </w:lvl>
  </w:abstractNum>
  <w:abstractNum w:abstractNumId="283">
    <w:nsid w:val="5E74C4D9"/>
    <w:multiLevelType w:val="hybridMultilevel"/>
    <w:lvl w:ilvl="0">
      <w:lvlJc w:val="left"/>
      <w:lvlText w:val="(%1)"/>
      <w:numFmt w:val="lowerLetter"/>
      <w:start w:val="2"/>
    </w:lvl>
    <w:lvl w:ilvl="1">
      <w:lvlJc w:val="left"/>
      <w:lvlText w:val="(%2)"/>
      <w:numFmt w:val="lowerRoman"/>
      <w:start w:val="1"/>
    </w:lvl>
  </w:abstractNum>
  <w:abstractNum w:abstractNumId="284">
    <w:nsid w:val="3B3EBE15"/>
    <w:multiLevelType w:val="hybridMultilevel"/>
    <w:lvl w:ilvl="0">
      <w:lvlJc w:val="left"/>
      <w:lvlText w:val="(%1)"/>
      <w:numFmt w:val="lowerRoman"/>
      <w:start w:val="1"/>
    </w:lvl>
  </w:abstractNum>
  <w:abstractNum w:abstractNumId="285">
    <w:nsid w:val="3822CB01"/>
    <w:multiLevelType w:val="hybridMultilevel"/>
    <w:lvl w:ilvl="0">
      <w:lvlJc w:val="left"/>
      <w:lvlText w:val="(%1)"/>
      <w:numFmt w:val="lowerRoman"/>
      <w:start w:val="2"/>
    </w:lvl>
  </w:abstractNum>
  <w:abstractNum w:abstractNumId="286">
    <w:nsid w:val="6CE00443"/>
    <w:multiLevelType w:val="hybridMultilevel"/>
    <w:lvl w:ilvl="0">
      <w:lvlJc w:val="left"/>
      <w:lvlText w:val="%1"/>
      <w:numFmt w:val="lowerLetter"/>
      <w:start w:val="1"/>
    </w:lvl>
    <w:lvl w:ilvl="1">
      <w:lvlJc w:val="left"/>
      <w:lvlText w:val="(%2)"/>
      <w:numFmt w:val="lowerLetter"/>
      <w:start w:val="1"/>
    </w:lvl>
  </w:abstractNum>
  <w:abstractNum w:abstractNumId="287">
    <w:nsid w:val="79F0D62F"/>
    <w:multiLevelType w:val="hybridMultilevel"/>
    <w:lvl w:ilvl="0">
      <w:lvlJc w:val="left"/>
      <w:lvlText w:val="(%1)"/>
      <w:numFmt w:val="lowerLetter"/>
      <w:start w:val="35"/>
    </w:lvl>
    <w:lvl w:ilvl="1">
      <w:lvlJc w:val="left"/>
      <w:lvlText w:val="%2"/>
      <w:numFmt w:val="lowerLetter"/>
      <w:start w:val="1"/>
    </w:lvl>
  </w:abstractNum>
  <w:abstractNum w:abstractNumId="288">
    <w:nsid w:val="7975E8EE"/>
    <w:multiLevelType w:val="hybridMultilevel"/>
    <w:lvl w:ilvl="0">
      <w:lvlJc w:val="left"/>
      <w:lvlText w:val="(%1)"/>
      <w:numFmt w:val="lowerLetter"/>
      <w:start w:val="7"/>
    </w:lvl>
  </w:abstractNum>
  <w:abstractNum w:abstractNumId="289">
    <w:nsid w:val="73154115"/>
    <w:multiLevelType w:val="hybridMultilevel"/>
    <w:lvl w:ilvl="0">
      <w:lvlJc w:val="left"/>
      <w:lvlText w:val="(%1)"/>
      <w:numFmt w:val="lowerLetter"/>
      <w:start w:val="1"/>
    </w:lvl>
  </w:abstractNum>
  <w:abstractNum w:abstractNumId="290">
    <w:nsid w:val="622D8102"/>
    <w:multiLevelType w:val="hybridMultilevel"/>
    <w:lvl w:ilvl="0">
      <w:lvlJc w:val="left"/>
      <w:lvlText w:val="(%1)"/>
      <w:numFmt w:val="lowerLetter"/>
      <w:start w:val="2"/>
    </w:lvl>
  </w:abstractNum>
  <w:abstractNum w:abstractNumId="291">
    <w:nsid w:val="2AB26587"/>
    <w:multiLevelType w:val="hybridMultilevel"/>
    <w:lvl w:ilvl="0">
      <w:lvlJc w:val="left"/>
      <w:lvlText w:val="%1."/>
      <w:numFmt w:val="decimal"/>
      <w:start w:val="1"/>
    </w:lvl>
    <w:lvl w:ilvl="1">
      <w:lvlJc w:val="left"/>
      <w:lvlText w:val="(%2)"/>
      <w:numFmt w:val="lowerLetter"/>
      <w:start w:val="1"/>
    </w:lvl>
  </w:abstractNum>
  <w:abstractNum w:abstractNumId="292">
    <w:nsid w:val="44B3FA61"/>
    <w:multiLevelType w:val="hybridMultilevel"/>
    <w:lvl w:ilvl="0">
      <w:lvlJc w:val="left"/>
      <w:lvlText w:val="%1."/>
      <w:numFmt w:val="decimal"/>
      <w:start w:val="1"/>
    </w:lvl>
    <w:lvl w:ilvl="1">
      <w:lvlJc w:val="left"/>
      <w:lvlText w:val="(%2)"/>
      <w:numFmt w:val="lowerLetter"/>
      <w:start w:val="1"/>
    </w:lvl>
  </w:abstractNum>
  <w:abstractNum w:abstractNumId="293">
    <w:nsid w:val="1C0CA67C"/>
    <w:multiLevelType w:val="hybridMultilevel"/>
    <w:lvl w:ilvl="0">
      <w:lvlJc w:val="left"/>
      <w:lvlText w:val="%1."/>
      <w:numFmt w:val="decimal"/>
      <w:start w:val="1"/>
    </w:lvl>
  </w:abstractNum>
  <w:abstractNum w:abstractNumId="294">
    <w:nsid w:val="3D2066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1" Type="http://schemas.openxmlformats.org/officeDocument/2006/relationships/image" Target="media/image176.png"/><Relationship Id="rId194" Type="http://schemas.openxmlformats.org/officeDocument/2006/relationships/image" Target="media/image177.png"/><Relationship Id="rId203" Type="http://schemas.openxmlformats.org/officeDocument/2006/relationships/image" Target="media/image178.png"/><Relationship Id="rId217" Type="http://schemas.openxmlformats.org/officeDocument/2006/relationships/image" Target="media/image179.png"/><Relationship Id="rId236" Type="http://schemas.openxmlformats.org/officeDocument/2006/relationships/image" Target="media/image180.png"/><Relationship Id="rId237" Type="http://schemas.openxmlformats.org/officeDocument/2006/relationships/image" Target="media/image181.png"/><Relationship Id="rId238" Type="http://schemas.openxmlformats.org/officeDocument/2006/relationships/image" Target="media/image182.png"/><Relationship Id="rId239" Type="http://schemas.openxmlformats.org/officeDocument/2006/relationships/image" Target="media/image183.png"/><Relationship Id="rId240" Type="http://schemas.openxmlformats.org/officeDocument/2006/relationships/image" Target="media/image184.png"/><Relationship Id="rId241" Type="http://schemas.openxmlformats.org/officeDocument/2006/relationships/image" Target="media/image185.png"/><Relationship Id="rId242" Type="http://schemas.openxmlformats.org/officeDocument/2006/relationships/image" Target="media/image186.png"/><Relationship Id="rId243" Type="http://schemas.openxmlformats.org/officeDocument/2006/relationships/image" Target="media/image187.png"/><Relationship Id="rId244" Type="http://schemas.openxmlformats.org/officeDocument/2006/relationships/image" Target="media/image188.png"/><Relationship Id="rId245" Type="http://schemas.openxmlformats.org/officeDocument/2006/relationships/image" Target="media/image189.png"/><Relationship Id="rId246" Type="http://schemas.openxmlformats.org/officeDocument/2006/relationships/image" Target="media/image190.png"/><Relationship Id="rId247" Type="http://schemas.openxmlformats.org/officeDocument/2006/relationships/image" Target="media/image191.png"/><Relationship Id="rId248" Type="http://schemas.openxmlformats.org/officeDocument/2006/relationships/image" Target="media/image192.png"/><Relationship Id="rId249" Type="http://schemas.openxmlformats.org/officeDocument/2006/relationships/image" Target="media/image193.png"/><Relationship Id="rId250" Type="http://schemas.openxmlformats.org/officeDocument/2006/relationships/image" Target="media/image194.png"/><Relationship Id="rId251" Type="http://schemas.openxmlformats.org/officeDocument/2006/relationships/image" Target="media/image195.png"/><Relationship Id="rId252" Type="http://schemas.openxmlformats.org/officeDocument/2006/relationships/image" Target="media/image196.png"/><Relationship Id="rId253" Type="http://schemas.openxmlformats.org/officeDocument/2006/relationships/image" Target="media/image197.png"/><Relationship Id="rId254" Type="http://schemas.openxmlformats.org/officeDocument/2006/relationships/image" Target="media/image198.png"/><Relationship Id="rId255" Type="http://schemas.openxmlformats.org/officeDocument/2006/relationships/image" Target="media/image199.png"/><Relationship Id="rId256" Type="http://schemas.openxmlformats.org/officeDocument/2006/relationships/image" Target="media/image200.png"/><Relationship Id="rId257" Type="http://schemas.openxmlformats.org/officeDocument/2006/relationships/image" Target="media/image201.png"/><Relationship Id="rId258" Type="http://schemas.openxmlformats.org/officeDocument/2006/relationships/image" Target="media/image202.png"/><Relationship Id="rId259" Type="http://schemas.openxmlformats.org/officeDocument/2006/relationships/image" Target="media/image203.png"/><Relationship Id="rId260" Type="http://schemas.openxmlformats.org/officeDocument/2006/relationships/image" Target="media/image204.png"/><Relationship Id="rId261" Type="http://schemas.openxmlformats.org/officeDocument/2006/relationships/image" Target="media/image205.png"/><Relationship Id="rId262" Type="http://schemas.openxmlformats.org/officeDocument/2006/relationships/image" Target="media/image206.png"/><Relationship Id="rId263" Type="http://schemas.openxmlformats.org/officeDocument/2006/relationships/image" Target="media/image207.png"/><Relationship Id="rId264" Type="http://schemas.openxmlformats.org/officeDocument/2006/relationships/image" Target="media/image208.png"/><Relationship Id="rId265" Type="http://schemas.openxmlformats.org/officeDocument/2006/relationships/image" Target="media/image209.png"/><Relationship Id="rId266" Type="http://schemas.openxmlformats.org/officeDocument/2006/relationships/image" Target="media/image210.png"/><Relationship Id="rId267" Type="http://schemas.openxmlformats.org/officeDocument/2006/relationships/image" Target="media/image211.png"/><Relationship Id="rId268" Type="http://schemas.openxmlformats.org/officeDocument/2006/relationships/image" Target="media/image212.png"/><Relationship Id="rId269" Type="http://schemas.openxmlformats.org/officeDocument/2006/relationships/image" Target="media/image213.png"/><Relationship Id="rId270" Type="http://schemas.openxmlformats.org/officeDocument/2006/relationships/image" Target="media/image214.png"/><Relationship Id="rId271" Type="http://schemas.openxmlformats.org/officeDocument/2006/relationships/image" Target="media/image215.png"/><Relationship Id="rId272" Type="http://schemas.openxmlformats.org/officeDocument/2006/relationships/image" Target="media/image216.png"/><Relationship Id="rId273" Type="http://schemas.openxmlformats.org/officeDocument/2006/relationships/image" Target="media/image217.png"/><Relationship Id="rId274"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pn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pn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png"/><Relationship Id="rId286" Type="http://schemas.openxmlformats.org/officeDocument/2006/relationships/image" Target="media/image230.png"/><Relationship Id="rId287" Type="http://schemas.openxmlformats.org/officeDocument/2006/relationships/image" Target="media/image231.png"/><Relationship Id="rId288" Type="http://schemas.openxmlformats.org/officeDocument/2006/relationships/image" Target="media/image232.png"/><Relationship Id="rId289" Type="http://schemas.openxmlformats.org/officeDocument/2006/relationships/image" Target="media/image233.png"/><Relationship Id="rId290" Type="http://schemas.openxmlformats.org/officeDocument/2006/relationships/image" Target="media/image234.png"/><Relationship Id="rId291" Type="http://schemas.openxmlformats.org/officeDocument/2006/relationships/image" Target="media/image235.png"/><Relationship Id="rId292"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pn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pn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pn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png"/><Relationship Id="rId317" Type="http://schemas.openxmlformats.org/officeDocument/2006/relationships/image" Target="media/image261.png"/><Relationship Id="rId318" Type="http://schemas.openxmlformats.org/officeDocument/2006/relationships/image" Target="media/image262.png"/><Relationship Id="rId319" Type="http://schemas.openxmlformats.org/officeDocument/2006/relationships/image" Target="media/image263.png"/><Relationship Id="rId320" Type="http://schemas.openxmlformats.org/officeDocument/2006/relationships/image" Target="media/image264.pn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png"/><Relationship Id="rId324" Type="http://schemas.openxmlformats.org/officeDocument/2006/relationships/image" Target="media/image268.pn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png"/><Relationship Id="rId328" Type="http://schemas.openxmlformats.org/officeDocument/2006/relationships/image" Target="media/image272.png"/><Relationship Id="rId329" Type="http://schemas.openxmlformats.org/officeDocument/2006/relationships/image" Target="media/image273.png"/><Relationship Id="rId330" Type="http://schemas.openxmlformats.org/officeDocument/2006/relationships/image" Target="media/image274.png"/><Relationship Id="rId331" Type="http://schemas.openxmlformats.org/officeDocument/2006/relationships/image" Target="media/image275.png"/><Relationship Id="rId332" Type="http://schemas.openxmlformats.org/officeDocument/2006/relationships/image" Target="media/image276.png"/><Relationship Id="rId333" Type="http://schemas.openxmlformats.org/officeDocument/2006/relationships/image" Target="media/image277.png"/><Relationship Id="rId334" Type="http://schemas.openxmlformats.org/officeDocument/2006/relationships/image" Target="media/image278.png"/><Relationship Id="rId335" Type="http://schemas.openxmlformats.org/officeDocument/2006/relationships/image" Target="media/image279.png"/><Relationship Id="rId336" Type="http://schemas.openxmlformats.org/officeDocument/2006/relationships/image" Target="media/image280.png"/><Relationship Id="rId337" Type="http://schemas.openxmlformats.org/officeDocument/2006/relationships/image" Target="media/image281.png"/><Relationship Id="rId338" Type="http://schemas.openxmlformats.org/officeDocument/2006/relationships/image" Target="media/image282.png"/><Relationship Id="rId339" Type="http://schemas.openxmlformats.org/officeDocument/2006/relationships/image" Target="media/image283.png"/><Relationship Id="rId340" Type="http://schemas.openxmlformats.org/officeDocument/2006/relationships/image" Target="media/image284.png"/><Relationship Id="rId341" Type="http://schemas.openxmlformats.org/officeDocument/2006/relationships/image" Target="media/image285.png"/><Relationship Id="rId342" Type="http://schemas.openxmlformats.org/officeDocument/2006/relationships/image" Target="media/image286.png"/><Relationship Id="rId343" Type="http://schemas.openxmlformats.org/officeDocument/2006/relationships/image" Target="media/image287.png"/><Relationship Id="rId344" Type="http://schemas.openxmlformats.org/officeDocument/2006/relationships/image" Target="media/image288.png"/><Relationship Id="rId345" Type="http://schemas.openxmlformats.org/officeDocument/2006/relationships/image" Target="media/image289.png"/><Relationship Id="rId346" Type="http://schemas.openxmlformats.org/officeDocument/2006/relationships/image" Target="media/image290.png"/><Relationship Id="rId347" Type="http://schemas.openxmlformats.org/officeDocument/2006/relationships/image" Target="media/image291.png"/><Relationship Id="rId348" Type="http://schemas.openxmlformats.org/officeDocument/2006/relationships/image" Target="media/image292.png"/><Relationship Id="rId349" Type="http://schemas.openxmlformats.org/officeDocument/2006/relationships/image" Target="media/image293.png"/><Relationship Id="rId350" Type="http://schemas.openxmlformats.org/officeDocument/2006/relationships/image" Target="media/image294.png"/><Relationship Id="rId351" Type="http://schemas.openxmlformats.org/officeDocument/2006/relationships/image" Target="media/image295.png"/><Relationship Id="rId352" Type="http://schemas.openxmlformats.org/officeDocument/2006/relationships/image" Target="media/image296.png"/><Relationship Id="rId353" Type="http://schemas.openxmlformats.org/officeDocument/2006/relationships/image" Target="media/image297.png"/><Relationship Id="rId354" Type="http://schemas.openxmlformats.org/officeDocument/2006/relationships/image" Target="media/image298.png"/><Relationship Id="rId355" Type="http://schemas.openxmlformats.org/officeDocument/2006/relationships/image" Target="media/image299.png"/><Relationship Id="rId356" Type="http://schemas.openxmlformats.org/officeDocument/2006/relationships/image" Target="media/image300.png"/><Relationship Id="rId357" Type="http://schemas.openxmlformats.org/officeDocument/2006/relationships/image" Target="media/image301.png"/><Relationship Id="rId358" Type="http://schemas.openxmlformats.org/officeDocument/2006/relationships/image" Target="media/image302.png"/><Relationship Id="rId359" Type="http://schemas.openxmlformats.org/officeDocument/2006/relationships/image" Target="media/image303.png"/><Relationship Id="rId360" Type="http://schemas.openxmlformats.org/officeDocument/2006/relationships/image" Target="media/image304.png"/><Relationship Id="rId361" Type="http://schemas.openxmlformats.org/officeDocument/2006/relationships/image" Target="media/image305.png"/><Relationship Id="rId362" Type="http://schemas.openxmlformats.org/officeDocument/2006/relationships/image" Target="media/image306.png"/><Relationship Id="rId363" Type="http://schemas.openxmlformats.org/officeDocument/2006/relationships/image" Target="media/image307.png"/><Relationship Id="rId364" Type="http://schemas.openxmlformats.org/officeDocument/2006/relationships/image" Target="media/image308.png"/><Relationship Id="rId365" Type="http://schemas.openxmlformats.org/officeDocument/2006/relationships/image" Target="media/image309.png"/><Relationship Id="rId366" Type="http://schemas.openxmlformats.org/officeDocument/2006/relationships/image" Target="media/image310.png"/><Relationship Id="rId367" Type="http://schemas.openxmlformats.org/officeDocument/2006/relationships/image" Target="media/image311.png"/><Relationship Id="rId368" Type="http://schemas.openxmlformats.org/officeDocument/2006/relationships/image" Target="media/image312.png"/><Relationship Id="rId369"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73" Type="http://schemas.openxmlformats.org/officeDocument/2006/relationships/image" Target="media/image317.png"/><Relationship Id="rId374" Type="http://schemas.openxmlformats.org/officeDocument/2006/relationships/image" Target="media/image318.png"/><Relationship Id="rId375" Type="http://schemas.openxmlformats.org/officeDocument/2006/relationships/image" Target="media/image319.png"/><Relationship Id="rId376" Type="http://schemas.openxmlformats.org/officeDocument/2006/relationships/image" Target="media/image320.png"/><Relationship Id="rId377" Type="http://schemas.openxmlformats.org/officeDocument/2006/relationships/image" Target="media/image321.png"/><Relationship Id="rId378" Type="http://schemas.openxmlformats.org/officeDocument/2006/relationships/image" Target="media/image322.png"/><Relationship Id="rId379" Type="http://schemas.openxmlformats.org/officeDocument/2006/relationships/image" Target="media/image323.png"/><Relationship Id="rId380" Type="http://schemas.openxmlformats.org/officeDocument/2006/relationships/image" Target="media/image324.png"/><Relationship Id="rId381" Type="http://schemas.openxmlformats.org/officeDocument/2006/relationships/image" Target="media/image325.png"/><Relationship Id="rId382" Type="http://schemas.openxmlformats.org/officeDocument/2006/relationships/image" Target="media/image326.png"/><Relationship Id="rId383" Type="http://schemas.openxmlformats.org/officeDocument/2006/relationships/image" Target="media/image327.png"/><Relationship Id="rId384" Type="http://schemas.openxmlformats.org/officeDocument/2006/relationships/image" Target="media/image328.png"/><Relationship Id="rId385" Type="http://schemas.openxmlformats.org/officeDocument/2006/relationships/image" Target="media/image329.png"/><Relationship Id="rId386" Type="http://schemas.openxmlformats.org/officeDocument/2006/relationships/image" Target="media/image330.png"/><Relationship Id="rId387" Type="http://schemas.openxmlformats.org/officeDocument/2006/relationships/image" Target="media/image331.png"/><Relationship Id="rId388" Type="http://schemas.openxmlformats.org/officeDocument/2006/relationships/image" Target="media/image332.png"/><Relationship Id="rId389" Type="http://schemas.openxmlformats.org/officeDocument/2006/relationships/image" Target="media/image333.png"/><Relationship Id="rId390" Type="http://schemas.openxmlformats.org/officeDocument/2006/relationships/image" Target="media/image334.png"/><Relationship Id="rId391" Type="http://schemas.openxmlformats.org/officeDocument/2006/relationships/image" Target="media/image335.png"/><Relationship Id="rId392" Type="http://schemas.openxmlformats.org/officeDocument/2006/relationships/image" Target="media/image336.png"/><Relationship Id="rId393" Type="http://schemas.openxmlformats.org/officeDocument/2006/relationships/image" Target="media/image337.png"/><Relationship Id="rId394" Type="http://schemas.openxmlformats.org/officeDocument/2006/relationships/image" Target="media/image338.jpeg"/><Relationship Id="rId395" Type="http://schemas.openxmlformats.org/officeDocument/2006/relationships/image" Target="media/image339.png"/><Relationship Id="rId396" Type="http://schemas.openxmlformats.org/officeDocument/2006/relationships/image" Target="media/image340.png"/><Relationship Id="rId397" Type="http://schemas.openxmlformats.org/officeDocument/2006/relationships/image" Target="media/image341.png"/><Relationship Id="rId398" Type="http://schemas.openxmlformats.org/officeDocument/2006/relationships/image" Target="media/image342.png"/><Relationship Id="rId399" Type="http://schemas.openxmlformats.org/officeDocument/2006/relationships/image" Target="media/image343.png"/><Relationship Id="rId400" Type="http://schemas.openxmlformats.org/officeDocument/2006/relationships/image" Target="media/image344.png"/><Relationship Id="rId401" Type="http://schemas.openxmlformats.org/officeDocument/2006/relationships/image" Target="media/image345.png"/><Relationship Id="rId402" Type="http://schemas.openxmlformats.org/officeDocument/2006/relationships/image" Target="media/image346.png"/><Relationship Id="rId403" Type="http://schemas.openxmlformats.org/officeDocument/2006/relationships/image" Target="media/image347.png"/><Relationship Id="rId404" Type="http://schemas.openxmlformats.org/officeDocument/2006/relationships/image" Target="media/image348.png"/><Relationship Id="rId405" Type="http://schemas.openxmlformats.org/officeDocument/2006/relationships/image" Target="media/image349.png"/><Relationship Id="rId406" Type="http://schemas.openxmlformats.org/officeDocument/2006/relationships/image" Target="media/image350.png"/><Relationship Id="rId407" Type="http://schemas.openxmlformats.org/officeDocument/2006/relationships/image" Target="media/image351.png"/><Relationship Id="rId408" Type="http://schemas.openxmlformats.org/officeDocument/2006/relationships/image" Target="media/image352.png"/><Relationship Id="rId409" Type="http://schemas.openxmlformats.org/officeDocument/2006/relationships/image" Target="media/image353.png"/><Relationship Id="rId410" Type="http://schemas.openxmlformats.org/officeDocument/2006/relationships/image" Target="media/image354.png"/><Relationship Id="rId411" Type="http://schemas.openxmlformats.org/officeDocument/2006/relationships/image" Target="media/image355.png"/><Relationship Id="rId412" Type="http://schemas.openxmlformats.org/officeDocument/2006/relationships/image" Target="media/image356.png"/><Relationship Id="rId413" Type="http://schemas.openxmlformats.org/officeDocument/2006/relationships/image" Target="media/image357.png"/><Relationship Id="rId414" Type="http://schemas.openxmlformats.org/officeDocument/2006/relationships/image" Target="media/image358.png"/><Relationship Id="rId415" Type="http://schemas.openxmlformats.org/officeDocument/2006/relationships/image" Target="media/image359.png"/><Relationship Id="rId416" Type="http://schemas.openxmlformats.org/officeDocument/2006/relationships/image" Target="media/image360.png"/><Relationship Id="rId417" Type="http://schemas.openxmlformats.org/officeDocument/2006/relationships/image" Target="media/image361.png"/><Relationship Id="rId418" Type="http://schemas.openxmlformats.org/officeDocument/2006/relationships/image" Target="media/image362.png"/><Relationship Id="rId419" Type="http://schemas.openxmlformats.org/officeDocument/2006/relationships/image" Target="media/image363.png"/><Relationship Id="rId420" Type="http://schemas.openxmlformats.org/officeDocument/2006/relationships/image" Target="media/image364.png"/><Relationship Id="rId421" Type="http://schemas.openxmlformats.org/officeDocument/2006/relationships/image" Target="media/image365.png"/><Relationship Id="rId422" Type="http://schemas.openxmlformats.org/officeDocument/2006/relationships/image" Target="media/image366.png"/><Relationship Id="rId423" Type="http://schemas.openxmlformats.org/officeDocument/2006/relationships/image" Target="media/image367.png"/><Relationship Id="rId424" Type="http://schemas.openxmlformats.org/officeDocument/2006/relationships/image" Target="media/image368.png"/><Relationship Id="rId425" Type="http://schemas.openxmlformats.org/officeDocument/2006/relationships/image" Target="media/image369.png"/><Relationship Id="rId426" Type="http://schemas.openxmlformats.org/officeDocument/2006/relationships/image" Target="media/image370.png"/><Relationship Id="rId427" Type="http://schemas.openxmlformats.org/officeDocument/2006/relationships/image" Target="media/image371.png"/><Relationship Id="rId428" Type="http://schemas.openxmlformats.org/officeDocument/2006/relationships/image" Target="media/image372.png"/><Relationship Id="rId429" Type="http://schemas.openxmlformats.org/officeDocument/2006/relationships/image" Target="media/image373.png"/><Relationship Id="rId430" Type="http://schemas.openxmlformats.org/officeDocument/2006/relationships/image" Target="media/image374.png"/><Relationship Id="rId431" Type="http://schemas.openxmlformats.org/officeDocument/2006/relationships/image" Target="media/image375.png"/><Relationship Id="rId432" Type="http://schemas.openxmlformats.org/officeDocument/2006/relationships/image" Target="media/image376.png"/><Relationship Id="rId433" Type="http://schemas.openxmlformats.org/officeDocument/2006/relationships/image" Target="media/image377.png"/><Relationship Id="rId434" Type="http://schemas.openxmlformats.org/officeDocument/2006/relationships/image" Target="media/image378.png"/><Relationship Id="rId435" Type="http://schemas.openxmlformats.org/officeDocument/2006/relationships/image" Target="media/image379.png"/><Relationship Id="rId436" Type="http://schemas.openxmlformats.org/officeDocument/2006/relationships/image" Target="media/image380.png"/><Relationship Id="rId437" Type="http://schemas.openxmlformats.org/officeDocument/2006/relationships/image" Target="media/image381.png"/><Relationship Id="rId438" Type="http://schemas.openxmlformats.org/officeDocument/2006/relationships/image" Target="media/image382.png"/><Relationship Id="rId439" Type="http://schemas.openxmlformats.org/officeDocument/2006/relationships/image" Target="media/image383.png"/><Relationship Id="rId440" Type="http://schemas.openxmlformats.org/officeDocument/2006/relationships/image" Target="media/image384.png"/><Relationship Id="rId441" Type="http://schemas.openxmlformats.org/officeDocument/2006/relationships/image" Target="media/image385.png"/><Relationship Id="rId442" Type="http://schemas.openxmlformats.org/officeDocument/2006/relationships/image" Target="media/image386.png"/><Relationship Id="rId443" Type="http://schemas.openxmlformats.org/officeDocument/2006/relationships/image" Target="media/image387.png"/><Relationship Id="rId444" Type="http://schemas.openxmlformats.org/officeDocument/2006/relationships/image" Target="media/image388.png"/><Relationship Id="rId445" Type="http://schemas.openxmlformats.org/officeDocument/2006/relationships/image" Target="media/image389.png"/><Relationship Id="rId446" Type="http://schemas.openxmlformats.org/officeDocument/2006/relationships/image" Target="media/image390.png"/><Relationship Id="rId447" Type="http://schemas.openxmlformats.org/officeDocument/2006/relationships/image" Target="media/image391.png"/><Relationship Id="rId448" Type="http://schemas.openxmlformats.org/officeDocument/2006/relationships/image" Target="media/image392.png"/><Relationship Id="rId449" Type="http://schemas.openxmlformats.org/officeDocument/2006/relationships/image" Target="media/image393.png"/><Relationship Id="rId450" Type="http://schemas.openxmlformats.org/officeDocument/2006/relationships/image" Target="media/image394.png"/><Relationship Id="rId451" Type="http://schemas.openxmlformats.org/officeDocument/2006/relationships/image" Target="media/image395.png"/><Relationship Id="rId452" Type="http://schemas.openxmlformats.org/officeDocument/2006/relationships/image" Target="media/image396.png"/><Relationship Id="rId453" Type="http://schemas.openxmlformats.org/officeDocument/2006/relationships/image" Target="media/image397.png"/><Relationship Id="rId454" Type="http://schemas.openxmlformats.org/officeDocument/2006/relationships/image" Target="media/image398.png"/><Relationship Id="rId455" Type="http://schemas.openxmlformats.org/officeDocument/2006/relationships/image" Target="media/image399.png"/><Relationship Id="rId456" Type="http://schemas.openxmlformats.org/officeDocument/2006/relationships/image" Target="media/image400.png"/><Relationship Id="rId457" Type="http://schemas.openxmlformats.org/officeDocument/2006/relationships/image" Target="media/image401.png"/><Relationship Id="rId458" Type="http://schemas.openxmlformats.org/officeDocument/2006/relationships/image" Target="media/image402.png"/><Relationship Id="rId459" Type="http://schemas.openxmlformats.org/officeDocument/2006/relationships/image" Target="media/image403.png"/><Relationship Id="rId460" Type="http://schemas.openxmlformats.org/officeDocument/2006/relationships/image" Target="media/image404.png"/><Relationship Id="rId461" Type="http://schemas.openxmlformats.org/officeDocument/2006/relationships/image" Target="media/image405.png"/><Relationship Id="rId462" Type="http://schemas.openxmlformats.org/officeDocument/2006/relationships/image" Target="media/image406.png"/><Relationship Id="rId463" Type="http://schemas.openxmlformats.org/officeDocument/2006/relationships/image" Target="media/image407.png"/><Relationship Id="rId464" Type="http://schemas.openxmlformats.org/officeDocument/2006/relationships/image" Target="media/image408.png"/><Relationship Id="rId465" Type="http://schemas.openxmlformats.org/officeDocument/2006/relationships/image" Target="media/image409.png"/><Relationship Id="rId466" Type="http://schemas.openxmlformats.org/officeDocument/2006/relationships/image" Target="media/image410.png"/><Relationship Id="rId467" Type="http://schemas.openxmlformats.org/officeDocument/2006/relationships/image" Target="media/image411.png"/><Relationship Id="rId468" Type="http://schemas.openxmlformats.org/officeDocument/2006/relationships/image" Target="media/image412.png"/><Relationship Id="rId469" Type="http://schemas.openxmlformats.org/officeDocument/2006/relationships/image" Target="media/image413.png"/><Relationship Id="rId470" Type="http://schemas.openxmlformats.org/officeDocument/2006/relationships/image" Target="media/image414.png"/><Relationship Id="rId471" Type="http://schemas.openxmlformats.org/officeDocument/2006/relationships/image" Target="media/image415.png"/><Relationship Id="rId472" Type="http://schemas.openxmlformats.org/officeDocument/2006/relationships/image" Target="media/image416.png"/><Relationship Id="rId473" Type="http://schemas.openxmlformats.org/officeDocument/2006/relationships/image" Target="media/image417.png"/><Relationship Id="rId474" Type="http://schemas.openxmlformats.org/officeDocument/2006/relationships/image" Target="media/image418.png"/><Relationship Id="rId475" Type="http://schemas.openxmlformats.org/officeDocument/2006/relationships/image" Target="media/image419.png"/><Relationship Id="rId476" Type="http://schemas.openxmlformats.org/officeDocument/2006/relationships/image" Target="media/image420.png"/><Relationship Id="rId477" Type="http://schemas.openxmlformats.org/officeDocument/2006/relationships/image" Target="media/image421.png"/><Relationship Id="rId478" Type="http://schemas.openxmlformats.org/officeDocument/2006/relationships/image" Target="media/image422.png"/><Relationship Id="rId479" Type="http://schemas.openxmlformats.org/officeDocument/2006/relationships/image" Target="media/image423.png"/><Relationship Id="rId480" Type="http://schemas.openxmlformats.org/officeDocument/2006/relationships/image" Target="media/image424.png"/><Relationship Id="rId481" Type="http://schemas.openxmlformats.org/officeDocument/2006/relationships/image" Target="media/image425.png"/><Relationship Id="rId482" Type="http://schemas.openxmlformats.org/officeDocument/2006/relationships/image" Target="media/image426.png"/><Relationship Id="rId483" Type="http://schemas.openxmlformats.org/officeDocument/2006/relationships/image" Target="media/image427.png"/><Relationship Id="rId484" Type="http://schemas.openxmlformats.org/officeDocument/2006/relationships/image" Target="media/image428.png"/><Relationship Id="rId485" Type="http://schemas.openxmlformats.org/officeDocument/2006/relationships/image" Target="media/image429.png"/><Relationship Id="rId486" Type="http://schemas.openxmlformats.org/officeDocument/2006/relationships/image" Target="media/image430.png"/><Relationship Id="rId487" Type="http://schemas.openxmlformats.org/officeDocument/2006/relationships/image" Target="media/image431.png"/><Relationship Id="rId488" Type="http://schemas.openxmlformats.org/officeDocument/2006/relationships/image" Target="media/image432.png"/><Relationship Id="rId489" Type="http://schemas.openxmlformats.org/officeDocument/2006/relationships/image" Target="media/image433.png"/><Relationship Id="rId490" Type="http://schemas.openxmlformats.org/officeDocument/2006/relationships/image" Target="media/image434.png"/><Relationship Id="rId491" Type="http://schemas.openxmlformats.org/officeDocument/2006/relationships/image" Target="media/image435.png"/><Relationship Id="rId492" Type="http://schemas.openxmlformats.org/officeDocument/2006/relationships/image" Target="media/image436.png"/><Relationship Id="rId493" Type="http://schemas.openxmlformats.org/officeDocument/2006/relationships/image" Target="media/image437.png"/><Relationship Id="rId494" Type="http://schemas.openxmlformats.org/officeDocument/2006/relationships/image" Target="media/image438.png"/><Relationship Id="rId495" Type="http://schemas.openxmlformats.org/officeDocument/2006/relationships/image" Target="media/image439.png"/><Relationship Id="rId496" Type="http://schemas.openxmlformats.org/officeDocument/2006/relationships/image" Target="media/image440.png"/><Relationship Id="rId497" Type="http://schemas.openxmlformats.org/officeDocument/2006/relationships/image" Target="media/image441.png"/><Relationship Id="rId498" Type="http://schemas.openxmlformats.org/officeDocument/2006/relationships/image" Target="media/image442.png"/><Relationship Id="rId499" Type="http://schemas.openxmlformats.org/officeDocument/2006/relationships/image" Target="media/image443.png"/><Relationship Id="rId500" Type="http://schemas.openxmlformats.org/officeDocument/2006/relationships/image" Target="media/image444.png"/><Relationship Id="rId501" Type="http://schemas.openxmlformats.org/officeDocument/2006/relationships/image" Target="media/image445.png"/><Relationship Id="rId502" Type="http://schemas.openxmlformats.org/officeDocument/2006/relationships/image" Target="media/image446.png"/><Relationship Id="rId503" Type="http://schemas.openxmlformats.org/officeDocument/2006/relationships/image" Target="media/image447.png"/><Relationship Id="rId504" Type="http://schemas.openxmlformats.org/officeDocument/2006/relationships/image" Target="media/image448.png"/><Relationship Id="rId505" Type="http://schemas.openxmlformats.org/officeDocument/2006/relationships/image" Target="media/image449.png"/><Relationship Id="rId506" Type="http://schemas.openxmlformats.org/officeDocument/2006/relationships/image" Target="media/image450.png"/><Relationship Id="rId507" Type="http://schemas.openxmlformats.org/officeDocument/2006/relationships/image" Target="media/image451.png"/><Relationship Id="rId508" Type="http://schemas.openxmlformats.org/officeDocument/2006/relationships/image" Target="media/image452.png"/><Relationship Id="rId509" Type="http://schemas.openxmlformats.org/officeDocument/2006/relationships/image" Target="media/image453.png"/><Relationship Id="rId510" Type="http://schemas.openxmlformats.org/officeDocument/2006/relationships/image" Target="media/image454.png"/><Relationship Id="rId511" Type="http://schemas.openxmlformats.org/officeDocument/2006/relationships/image" Target="media/image455.png"/><Relationship Id="rId512" Type="http://schemas.openxmlformats.org/officeDocument/2006/relationships/image" Target="media/image456.png"/><Relationship Id="rId513" Type="http://schemas.openxmlformats.org/officeDocument/2006/relationships/image" Target="media/image457.png"/><Relationship Id="rId514" Type="http://schemas.openxmlformats.org/officeDocument/2006/relationships/image" Target="media/image458.png"/><Relationship Id="rId515" Type="http://schemas.openxmlformats.org/officeDocument/2006/relationships/image" Target="media/image459.png"/><Relationship Id="rId516" Type="http://schemas.openxmlformats.org/officeDocument/2006/relationships/image" Target="media/image460.png"/><Relationship Id="rId517" Type="http://schemas.openxmlformats.org/officeDocument/2006/relationships/image" Target="media/image461.png"/><Relationship Id="rId518" Type="http://schemas.openxmlformats.org/officeDocument/2006/relationships/image" Target="media/image462.png"/><Relationship Id="rId183" Type="http://schemas.openxmlformats.org/officeDocument/2006/relationships/hyperlink" Target="http://www.sec.gov/Archives/edgar/data/1110646/000102140803009190/dex13.txt" TargetMode="External"/><Relationship Id="rId184" Type="http://schemas.openxmlformats.org/officeDocument/2006/relationships/hyperlink" Target="http://www.sec.gov/Archives/edgar/data/1110646/000089109204002641/e18031ex1.txt" TargetMode="External"/><Relationship Id="rId185" Type="http://schemas.openxmlformats.org/officeDocument/2006/relationships/hyperlink" Target="http://www.sec.gov/Archives/edgar/data/1110646/000110465915030142/a15-4743_1ex3d3.htm" TargetMode="External"/><Relationship Id="rId186" Type="http://schemas.openxmlformats.org/officeDocument/2006/relationships/hyperlink" Target="http://www.sec.gov/Archives/edgar/data/1110646/000110465916113375/a16-3849_1ex3d8.htm" TargetMode="External"/><Relationship Id="rId187" Type="http://schemas.openxmlformats.org/officeDocument/2006/relationships/hyperlink" Target="http://www.sec.gov/Archives/edgar/data/1110646/000110465916113375/a16-3849_1ex3d9.htm" TargetMode="External"/><Relationship Id="rId188" Type="http://schemas.openxmlformats.org/officeDocument/2006/relationships/hyperlink" Target="http://www.sec.gov/Archives/edgar/data/1110646/000110465916113375/a16-3849_1ex3d7.htm" TargetMode="External"/><Relationship Id="rId189" Type="http://schemas.openxmlformats.org/officeDocument/2006/relationships/hyperlink" Target="http://www.sec.gov/Archives/edgar/data/1110646/000110465917025196/a17-1327_1ex3d6.htm" TargetMode="External"/><Relationship Id="rId190" Type="http://schemas.openxmlformats.org/officeDocument/2006/relationships/hyperlink" Target="http://www.sec.gov/Archives/edgar/data/1110646/000110465918025392/a18-5396_1ex3d8.htm" TargetMode="External"/><Relationship Id="rId192" Type="http://schemas.openxmlformats.org/officeDocument/2006/relationships/hyperlink" Target="http://www.sec.gov/Archives/edgar/data/1110646/000119312510003078/dex101.htm" TargetMode="External"/><Relationship Id="rId193" Type="http://schemas.openxmlformats.org/officeDocument/2006/relationships/hyperlink" Target="http://www.sec.gov/Archives/edgar/data/1110646/000119312510149321/dex43.htm" TargetMode="External"/><Relationship Id="rId195" Type="http://schemas.openxmlformats.org/officeDocument/2006/relationships/hyperlink" Target="http://www.sec.gov/Archives/edgar/data/1110646/000119312505131680/dex439.htm" TargetMode="External"/><Relationship Id="rId196" Type="http://schemas.openxmlformats.org/officeDocument/2006/relationships/hyperlink" Target="http://www.sec.gov/Archives/edgar/data/1110646/000119312505131680/dex440.htm" TargetMode="External"/><Relationship Id="rId197" Type="http://schemas.openxmlformats.org/officeDocument/2006/relationships/hyperlink" Target="http://www.sec.gov/Archives/edgar/data/1110646/000119312505131680/dex441.htm" TargetMode="External"/><Relationship Id="rId198" Type="http://schemas.openxmlformats.org/officeDocument/2006/relationships/hyperlink" Target="http://www.sec.gov/Archives/edgar/data/1110646/000110465913031064/a12-28368_1ex4d25.htm" TargetMode="External"/><Relationship Id="rId199" Type="http://schemas.openxmlformats.org/officeDocument/2006/relationships/hyperlink" Target="http://www.sec.gov/Archives/edgar/data/1110646/000110465915030142/a15-4743_1ex4d25.htm" TargetMode="External"/><Relationship Id="rId200" Type="http://schemas.openxmlformats.org/officeDocument/2006/relationships/hyperlink" Target="http://www.sec.gov/Archives/edgar/data/1110646/000110465915030142/a15-4743_1ex4d26.htm" TargetMode="External"/><Relationship Id="rId201" Type="http://schemas.openxmlformats.org/officeDocument/2006/relationships/hyperlink" Target="http://www.sec.gov/Archives/edgar/data/1110646/000110465915030142/a15-4743_1ex4d27.htm" TargetMode="External"/><Relationship Id="rId202" Type="http://schemas.openxmlformats.org/officeDocument/2006/relationships/hyperlink" Target="http://www.sec.gov/Archives/edgar/data/1110646/000110465915030142/a15-4743_1ex4d28.htm" TargetMode="External"/><Relationship Id="rId204" Type="http://schemas.openxmlformats.org/officeDocument/2006/relationships/hyperlink" Target="http://www.sec.gov/Archives/edgar/data/1110646/000110465915030142/a15-4743_1ex4d29.htm" TargetMode="External"/><Relationship Id="rId205" Type="http://schemas.openxmlformats.org/officeDocument/2006/relationships/hyperlink" Target="http://www.sec.gov/Archives/edgar/data/1110646/000110465915030142/a15-4743_1ex4d30.htm" TargetMode="External"/><Relationship Id="rId206" Type="http://schemas.openxmlformats.org/officeDocument/2006/relationships/hyperlink" Target="http://www.sec.gov/Archives/edgar/data/1110646/000110465915030142/a15-4743_1ex4d31.htm" TargetMode="External"/><Relationship Id="rId207" Type="http://schemas.openxmlformats.org/officeDocument/2006/relationships/hyperlink" Target="http://www.sec.gov/Archives/edgar/data/1110646/000110465915030142/a15-4743_1ex4d32.htm" TargetMode="External"/><Relationship Id="rId208" Type="http://schemas.openxmlformats.org/officeDocument/2006/relationships/hyperlink" Target="http://www.sec.gov/Archives/edgar/data/1110646/000110465915030142/a15-4743_1ex4d33.htm" TargetMode="External"/><Relationship Id="rId209" Type="http://schemas.openxmlformats.org/officeDocument/2006/relationships/hyperlink" Target="http://www.sec.gov/Archives/edgar/data/1110646/000110465915030142/a15-4743_1ex4d34.htm" TargetMode="External"/><Relationship Id="rId210" Type="http://schemas.openxmlformats.org/officeDocument/2006/relationships/hyperlink" Target="http://www.sec.gov/Archives/edgar/data/1110646/000110465915030142/a15-4743_1ex4d35.htm" TargetMode="External"/><Relationship Id="rId211" Type="http://schemas.openxmlformats.org/officeDocument/2006/relationships/hyperlink" Target="http://www.sec.gov/Archives/edgar/data/1110646/000110465915030142/a15-4743_1ex4d36.htm" TargetMode="External"/><Relationship Id="rId212" Type="http://schemas.openxmlformats.org/officeDocument/2006/relationships/hyperlink" Target="http://www.sec.gov/Archives/edgar/data/1110646/000110465916113375/a16-3849_1ex4d44.htm" TargetMode="External"/><Relationship Id="rId213" Type="http://schemas.openxmlformats.org/officeDocument/2006/relationships/hyperlink" Target="http://www.sec.gov/Archives/edgar/data/1110646/000110465916113375/a16-3849_1ex4d45.htm" TargetMode="External"/><Relationship Id="rId214" Type="http://schemas.openxmlformats.org/officeDocument/2006/relationships/hyperlink" Target="http://www.sec.gov/Archives/edgar/data/1110646/000110465916113375/a16-3849_1ex4d46.htm" TargetMode="External"/><Relationship Id="rId215" Type="http://schemas.openxmlformats.org/officeDocument/2006/relationships/hyperlink" Target="http://www.sec.gov/Archives/edgar/data/1110646/000110465916113375/a16-3849_1ex4d47.htm" TargetMode="External"/><Relationship Id="rId216" Type="http://schemas.openxmlformats.org/officeDocument/2006/relationships/hyperlink" Target="http://www.sec.gov/Archives/edgar/data/1110646/000110465916113375/a16-3849_1ex4d48.htm" TargetMode="External"/><Relationship Id="rId218" Type="http://schemas.openxmlformats.org/officeDocument/2006/relationships/hyperlink" Target="http://www.sec.gov/Archives/edgar/data/1110646/000110465916113375/a16-3849_1ex4d49.htm" TargetMode="External"/><Relationship Id="rId219" Type="http://schemas.openxmlformats.org/officeDocument/2006/relationships/hyperlink" Target="http://www.sec.gov/Archives/edgar/data/1110646/000110465916113375/a16-3849_1ex4d50.htm" TargetMode="External"/><Relationship Id="rId220" Type="http://schemas.openxmlformats.org/officeDocument/2006/relationships/hyperlink" Target="http://www.sec.gov/Archives/edgar/data/1110646/000110465916113375/a16-3849_1ex4d51.htm" TargetMode="External"/><Relationship Id="rId221" Type="http://schemas.openxmlformats.org/officeDocument/2006/relationships/hyperlink" Target="http://www.sec.gov/Archives/edgar/data/1110646/000110465917025196/a17-1327_1ex4d51.htm" TargetMode="External"/><Relationship Id="rId222" Type="http://schemas.openxmlformats.org/officeDocument/2006/relationships/hyperlink" Target="http://www.sec.gov/Archives/edgar/data/1110646/000110465917025196/a17-1327_1ex4d52.htm" TargetMode="External"/><Relationship Id="rId223" Type="http://schemas.openxmlformats.org/officeDocument/2006/relationships/hyperlink" Target="http://www.sec.gov/Archives/edgar/data/1110646/000110465917025196/a17-1327_1ex4d53.htm" TargetMode="External"/><Relationship Id="rId224" Type="http://schemas.openxmlformats.org/officeDocument/2006/relationships/hyperlink" Target="http://www.sec.gov/Archives/edgar/data/1110646/000110465917025196/a17-1327_1ex4d54.htm" TargetMode="External"/><Relationship Id="rId225" Type="http://schemas.openxmlformats.org/officeDocument/2006/relationships/hyperlink" Target="http://www.sec.gov/Archives/edgar/data/1110646/000110465917025196/a17-1327_1ex4d55.htm" TargetMode="External"/><Relationship Id="rId226" Type="http://schemas.openxmlformats.org/officeDocument/2006/relationships/hyperlink" Target="http://www.sec.gov/Archives/edgar/data/1110646/000110465918025392/a18-5396_1ex4d52.htm" TargetMode="External"/><Relationship Id="rId227" Type="http://schemas.openxmlformats.org/officeDocument/2006/relationships/hyperlink" Target="http://www.sec.gov/Archives/edgar/data/1110646/000110465918025392/a18-5396_1ex4d53.htm" TargetMode="External"/><Relationship Id="rId228" Type="http://schemas.openxmlformats.org/officeDocument/2006/relationships/hyperlink" Target="http://www.sec.gov/Archives/edgar/data/1110646/000110465918025392/a18-5396_1ex4d54.htm" TargetMode="External"/><Relationship Id="rId229" Type="http://schemas.openxmlformats.org/officeDocument/2006/relationships/hyperlink" Target="http://www.sec.gov/Archives/edgar/data/1110646/000110465918025392/a18-5396_1ex4d55.htm" TargetMode="External"/><Relationship Id="rId230" Type="http://schemas.openxmlformats.org/officeDocument/2006/relationships/hyperlink" Target="http://www.sec.gov/Archives/edgar/data/1110646/000110465919023833/a18-41432_1ex4d56.htm" TargetMode="External"/><Relationship Id="rId231" Type="http://schemas.openxmlformats.org/officeDocument/2006/relationships/hyperlink" Target="http://www.sec.gov/Archives/edgar/data/1110646/000110465919023833/a18-41432_1ex4d57.htm" TargetMode="External"/><Relationship Id="rId232" Type="http://schemas.openxmlformats.org/officeDocument/2006/relationships/hyperlink" Target="http://www.sec.gov/Archives/edgar/data/1110646/000110465919023833/a18-41432_1ex4d58.htm" TargetMode="External"/><Relationship Id="rId233" Type="http://schemas.openxmlformats.org/officeDocument/2006/relationships/hyperlink" Target="http://www.sec.gov/Archives/edgar/data/1110646/000110465919053886/a19-19616_1ex4d7.htm" TargetMode="External"/><Relationship Id="rId234" Type="http://schemas.openxmlformats.org/officeDocument/2006/relationships/hyperlink" Target="http://www.sec.gov/Archives/edgar/data/1110646/000119312507142483/dex111.htm" TargetMode="External"/><Relationship Id="rId235" Type="http://schemas.openxmlformats.org/officeDocument/2006/relationships/hyperlink" Target="http://www.sec.gov/Archives/edgar/data/1110646/000110465915030142/a15-4743_1ex15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2020-04-30T17:35:57Z</dcterms:created>
  <dcterms:modified xsi:type="dcterms:W3CDTF">2020-04-30T17:35:57Z</dcterms:modified>
</cp:coreProperties>
</file>