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REGISTRATION STATEMENT PURSUANT TO SECTION 12(b) OR 12(g) OF THE SECURITIES EXCHANGE ACT OF 1934</w:t>
      </w:r>
    </w:p>
    <w:p>
      <w:pPr>
        <w:spacing w:after="0" w:line="11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6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160" w:hanging="452"/>
        <w:spacing w:after="0" w:line="256" w:lineRule="auto"/>
        <w:tabs>
          <w:tab w:leader="none" w:pos="460" w:val="left"/>
        </w:tabs>
        <w:numPr>
          <w:ilvl w:val="0"/>
          <w:numId w:val="3"/>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SHELL COMPANY REPORT PURSUANT TO SECTION 13 OR 15(d) OF THE SECURITIES EXCHANGE ACT OF 1934</w:t>
      </w:r>
    </w:p>
    <w:p>
      <w:pPr>
        <w:spacing w:after="0" w:line="9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44"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NETEASE.COM, INC.</w:t>
      </w:r>
    </w:p>
    <w:p>
      <w:pPr>
        <w:spacing w:after="0" w:line="4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1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1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26/F, SP Tower D</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Onward Choi</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26/F, SP Tower D</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Phone (86 10) 8255-8163</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Facsimile (86 10) 8261-7072</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each exchange and Title of each class on which registered:</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American Depositary Shares, each representing 25 ordinary shares, par value US$0.0001 per share, NASDAQ Global Select Market</w:t>
      </w:r>
    </w:p>
    <w:p>
      <w:pPr>
        <w:spacing w:after="0" w:line="3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(Title of Class)</w:t>
      </w:r>
    </w:p>
    <w:p>
      <w:pPr>
        <w:spacing w:after="0" w:line="11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1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20"/>
          </w:cols>
          <w:pgMar w:left="240" w:top="230" w:right="539" w:bottom="0" w:gutter="0" w:footer="0" w:header="0"/>
        </w:sectPr>
      </w:pPr>
    </w:p>
    <w:bookmarkStart w:id="1" w:name="page2"/>
    <w:bookmarkEnd w:id="1"/>
    <w:p>
      <w:pPr>
        <w:ind w:right="300" w:firstLine="456"/>
        <w:spacing w:after="0" w:line="268"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3,206,468,735 ordinary shares, par value US$0.0001 per share.</w:t>
      </w:r>
    </w:p>
    <w:p>
      <w:pPr>
        <w:spacing w:after="0" w:line="72" w:lineRule="exact"/>
        <w:rPr>
          <w:sz w:val="20"/>
          <w:szCs w:val="20"/>
          <w:color w:val="auto"/>
        </w:rPr>
      </w:pPr>
    </w:p>
    <w:p>
      <w:pPr>
        <w:ind w:left="460"/>
        <w:spacing w:after="0" w:line="207" w:lineRule="exact"/>
        <w:tabs>
          <w:tab w:leader="none" w:pos="8860" w:val="left"/>
          <w:tab w:leader="none" w:pos="954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0"/>
          <w:szCs w:val="20"/>
          <w:color w:val="auto"/>
        </w:rPr>
      </w:pPr>
    </w:p>
    <w:p>
      <w:pPr>
        <w:ind w:right="100" w:firstLine="456"/>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0" w:lineRule="exact"/>
        <w:rPr>
          <w:sz w:val="20"/>
          <w:szCs w:val="20"/>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86" w:lineRule="exact"/>
        <w:rPr>
          <w:sz w:val="20"/>
          <w:szCs w:val="20"/>
          <w:color w:val="auto"/>
        </w:rPr>
      </w:pPr>
    </w:p>
    <w:p>
      <w:pPr>
        <w:spacing w:after="0" w:line="207" w:lineRule="exact"/>
        <w:tabs>
          <w:tab w:leader="none" w:pos="3880" w:val="left"/>
          <w:tab w:leader="none" w:pos="7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360"/>
          </w:cols>
          <w:pgMar w:left="240" w:top="131" w:right="29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00"/>
        <w:spacing w:after="0" w:line="141" w:lineRule="exact"/>
        <w:rPr>
          <w:sz w:val="20"/>
          <w:szCs w:val="20"/>
          <w:color w:val="auto"/>
        </w:rPr>
      </w:pPr>
      <w:r>
        <w:rPr>
          <w:rFonts w:ascii="MS PGothic" w:cs="MS PGothic" w:eastAsia="MS PGothic" w:hAnsi="MS PGothic"/>
          <w:sz w:val="14"/>
          <w:szCs w:val="14"/>
          <w:color w:val="auto"/>
        </w:rPr>
        <w:t>☐</w:t>
      </w:r>
    </w:p>
    <w:p>
      <w:pPr>
        <w:spacing w:after="0" w:line="243" w:lineRule="exact"/>
        <w:rPr>
          <w:sz w:val="20"/>
          <w:szCs w:val="20"/>
          <w:color w:val="auto"/>
        </w:rPr>
      </w:pPr>
    </w:p>
    <w:p>
      <w:pPr>
        <w:sectPr>
          <w:pgSz w:w="11900" w:h="16838" w:orient="portrait"/>
          <w:cols w:equalWidth="0" w:num="6">
            <w:col w:w="840" w:space="80"/>
            <w:col w:w="160" w:space="300"/>
            <w:col w:w="7240" w:space="100"/>
            <w:col w:w="1180" w:space="720"/>
            <w:col w:w="400" w:space="100"/>
            <w:col w:w="240"/>
          </w:cols>
          <w:pgMar w:left="240" w:top="131" w:right="299" w:bottom="1440" w:gutter="0" w:footer="0" w:header="0"/>
          <w:type w:val="continuous"/>
        </w:sectPr>
      </w:pPr>
    </w:p>
    <w:p>
      <w:pPr>
        <w:ind w:right="460" w:firstLine="456"/>
        <w:spacing w:after="0" w:line="229"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ectPr>
          <w:pgSz w:w="11900" w:h="16838" w:orient="portrait"/>
          <w:cols w:equalWidth="0" w:num="1">
            <w:col w:w="11360"/>
          </w:cols>
          <w:pgMar w:left="240" w:top="131" w:right="299" w:bottom="1440" w:gutter="0" w:footer="0" w:header="0"/>
          <w:type w:val="continuous"/>
        </w:sectPr>
      </w:pPr>
    </w:p>
    <w:p>
      <w:pPr>
        <w:spacing w:after="0" w:line="110" w:lineRule="exact"/>
        <w:rPr>
          <w:sz w:val="20"/>
          <w:szCs w:val="20"/>
          <w:color w:val="auto"/>
        </w:rPr>
      </w:pPr>
    </w:p>
    <w:p>
      <w:pPr>
        <w:ind w:right="1480" w:firstLine="456"/>
        <w:spacing w:after="0" w:line="229"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144" w:lineRule="exact"/>
        <w:rPr>
          <w:sz w:val="20"/>
          <w:szCs w:val="20"/>
          <w:color w:val="auto"/>
        </w:rPr>
      </w:pPr>
    </w:p>
    <w:p>
      <w:pPr>
        <w:ind w:right="660" w:firstLine="456"/>
        <w:spacing w:after="0" w:line="229"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19"/>
                <w:szCs w:val="19"/>
                <w:color w:val="auto"/>
              </w:rPr>
            </w:pPr>
          </w:p>
        </w:tc>
      </w:tr>
      <w:tr>
        <w:trPr>
          <w:trHeight w:val="380"/>
        </w:trPr>
        <w:tc>
          <w:tcPr>
            <w:tcW w:w="8980" w:type="dxa"/>
            <w:vAlign w:val="bottom"/>
            <w:gridSpan w:val="3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INTRODUCTION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8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760" w:type="dxa"/>
            <w:vAlign w:val="bottom"/>
            <w:tcBorders>
              <w:top w:val="single" w:sz="8" w:color="0000EE"/>
            </w:tcBorders>
            <w:gridSpan w:val="3"/>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340" w:type="dxa"/>
            <w:vAlign w:val="bottom"/>
            <w:gridSpan w:val="4"/>
          </w:tcPr>
          <w:p>
            <w:pPr>
              <w:ind w:left="440"/>
              <w:spacing w:after="0"/>
              <w:rPr>
                <w:sz w:val="20"/>
                <w:szCs w:val="20"/>
                <w:color w:val="auto"/>
              </w:rPr>
            </w:pPr>
            <w:r>
              <w:rPr>
                <w:rFonts w:ascii="Arial" w:cs="Arial" w:eastAsia="Arial" w:hAnsi="Arial"/>
                <w:sz w:val="18"/>
                <w:szCs w:val="18"/>
                <w:color w:val="auto"/>
              </w:rPr>
              <w:t>Item 1.</w:t>
            </w:r>
          </w:p>
        </w:tc>
        <w:tc>
          <w:tcPr>
            <w:tcW w:w="392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Identity of Directors, Senior Management and Advisers</w:t>
              </w:r>
            </w:hyperlink>
          </w:p>
        </w:tc>
        <w:tc>
          <w:tcPr>
            <w:tcW w:w="3720" w:type="dxa"/>
            <w:vAlign w:val="bottom"/>
            <w:gridSpan w:val="5"/>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2.</w:t>
            </w:r>
          </w:p>
        </w:tc>
        <w:tc>
          <w:tcPr>
            <w:tcW w:w="28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Offer Statistics and Expected Timetable</w:t>
              </w:r>
            </w:hyperlink>
          </w:p>
        </w:tc>
        <w:tc>
          <w:tcPr>
            <w:tcW w:w="482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3.</w:t>
            </w:r>
          </w:p>
        </w:tc>
        <w:tc>
          <w:tcPr>
            <w:tcW w:w="764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4.</w:t>
            </w:r>
          </w:p>
        </w:tc>
        <w:tc>
          <w:tcPr>
            <w:tcW w:w="7640" w:type="dxa"/>
            <w:vAlign w:val="bottom"/>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Information on the Company</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4A.</w:t>
            </w:r>
          </w:p>
        </w:tc>
        <w:tc>
          <w:tcPr>
            <w:tcW w:w="2040" w:type="dxa"/>
            <w:vAlign w:val="bottom"/>
            <w:tcBorders>
              <w:top w:val="single" w:sz="8" w:color="0000EE"/>
            </w:tcBorders>
            <w:gridSpan w:val="1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Unresolved Staff Comments</w:t>
              </w:r>
            </w:hyperlink>
          </w:p>
        </w:tc>
        <w:tc>
          <w:tcPr>
            <w:tcW w:w="5600" w:type="dxa"/>
            <w:vAlign w:val="bottom"/>
            <w:gridSpan w:val="1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5.</w:t>
            </w:r>
          </w:p>
        </w:tc>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Operating and Financial Review and Prospects</w:t>
              </w:r>
            </w:hyperlink>
          </w:p>
        </w:tc>
        <w:tc>
          <w:tcPr>
            <w:tcW w:w="43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6.</w:t>
            </w:r>
          </w:p>
        </w:tc>
        <w:tc>
          <w:tcPr>
            <w:tcW w:w="7640" w:type="dxa"/>
            <w:vAlign w:val="bottom"/>
            <w:gridSpan w:val="2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Directors, Senior Management and Employees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7.</w:t>
            </w:r>
          </w:p>
        </w:tc>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Major Shareholder and Related Party Transactions</w:t>
              </w:r>
            </w:hyperlink>
          </w:p>
        </w:tc>
        <w:tc>
          <w:tcPr>
            <w:tcW w:w="408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8.</w:t>
            </w:r>
          </w:p>
        </w:tc>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Financial Information</w:t>
              </w:r>
            </w:hyperlink>
          </w:p>
        </w:tc>
        <w:tc>
          <w:tcPr>
            <w:tcW w:w="608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9.</w:t>
            </w: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The Offer and Listing</w:t>
              </w:r>
            </w:hyperlink>
          </w:p>
        </w:tc>
        <w:tc>
          <w:tcPr>
            <w:tcW w:w="6100" w:type="dxa"/>
            <w:vAlign w:val="bottom"/>
            <w:gridSpan w:val="2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10.</w:t>
            </w:r>
          </w:p>
        </w:tc>
        <w:tc>
          <w:tcPr>
            <w:tcW w:w="16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Additional Information</w:t>
              </w:r>
            </w:hyperlink>
          </w:p>
        </w:tc>
        <w:tc>
          <w:tcPr>
            <w:tcW w:w="600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11.</w:t>
            </w:r>
          </w:p>
        </w:tc>
        <w:tc>
          <w:tcPr>
            <w:tcW w:w="42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Quantitative and Qualitative Disclosures About Market Risk</w:t>
              </w:r>
            </w:hyperlink>
          </w:p>
        </w:tc>
        <w:tc>
          <w:tcPr>
            <w:tcW w:w="338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12.</w:t>
            </w:r>
          </w:p>
        </w:tc>
        <w:tc>
          <w:tcPr>
            <w:tcW w:w="7640" w:type="dxa"/>
            <w:vAlign w:val="bottom"/>
            <w:gridSpan w:val="2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Securities Other than Equity Securities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304"/>
        </w:trPr>
        <w:tc>
          <w:tcPr>
            <w:tcW w:w="1340" w:type="dxa"/>
            <w:vAlign w:val="bottom"/>
            <w:gridSpan w:val="4"/>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w:t>
              </w:r>
            </w:hyperlink>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4"/>
        </w:trPr>
        <w:tc>
          <w:tcPr>
            <w:tcW w:w="1340" w:type="dxa"/>
            <w:vAlign w:val="bottom"/>
            <w:gridSpan w:val="4"/>
          </w:tcPr>
          <w:p>
            <w:pPr>
              <w:ind w:left="440"/>
              <w:spacing w:after="0"/>
              <w:rPr>
                <w:sz w:val="20"/>
                <w:szCs w:val="20"/>
                <w:color w:val="auto"/>
              </w:rPr>
            </w:pPr>
            <w:r>
              <w:rPr>
                <w:rFonts w:ascii="Arial" w:cs="Arial" w:eastAsia="Arial" w:hAnsi="Arial"/>
                <w:sz w:val="18"/>
                <w:szCs w:val="18"/>
                <w:color w:val="auto"/>
              </w:rPr>
              <w:t>Item 13.</w:t>
            </w:r>
          </w:p>
        </w:tc>
        <w:tc>
          <w:tcPr>
            <w:tcW w:w="7640" w:type="dxa"/>
            <w:vAlign w:val="bottom"/>
            <w:gridSpan w:val="2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Defaults, Dividend Arrearages and Delinquencies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7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14.</w:t>
            </w:r>
          </w:p>
        </w:tc>
        <w:tc>
          <w:tcPr>
            <w:tcW w:w="54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Material Modifications to the Rights of Security Holders and Use of Proceeds</w:t>
              </w:r>
            </w:hyperlink>
          </w:p>
        </w:tc>
        <w:tc>
          <w:tcPr>
            <w:tcW w:w="216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15.</w:t>
            </w:r>
          </w:p>
        </w:tc>
        <w:tc>
          <w:tcPr>
            <w:tcW w:w="17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Controls and Procedures</w:t>
              </w:r>
            </w:hyperlink>
          </w:p>
        </w:tc>
        <w:tc>
          <w:tcPr>
            <w:tcW w:w="590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w:t>
            </w:r>
          </w:p>
        </w:tc>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22">
              <w:r>
                <w:rPr>
                  <w:rFonts w:ascii="Arial" w:cs="Arial" w:eastAsia="Arial" w:hAnsi="Arial"/>
                  <w:sz w:val="18"/>
                  <w:szCs w:val="18"/>
                  <w:color w:val="0000EE"/>
                  <w:w w:val="83"/>
                </w:rPr>
                <w:t>Reserved</w:t>
              </w:r>
            </w:hyperlink>
          </w:p>
        </w:tc>
        <w:tc>
          <w:tcPr>
            <w:tcW w:w="6980" w:type="dxa"/>
            <w:vAlign w:val="bottom"/>
            <w:gridSpan w:val="2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16A.</w:t>
            </w:r>
          </w:p>
        </w:tc>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Audit Committee Financial Expert</w:t>
              </w:r>
            </w:hyperlink>
          </w:p>
        </w:tc>
        <w:tc>
          <w:tcPr>
            <w:tcW w:w="520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16B.</w:t>
            </w:r>
          </w:p>
        </w:tc>
        <w:tc>
          <w:tcPr>
            <w:tcW w:w="7640" w:type="dxa"/>
            <w:vAlign w:val="bottom"/>
            <w:gridSpan w:val="2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Code of Ethics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7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16C.</w:t>
            </w:r>
          </w:p>
        </w:tc>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Principal Accountant Fees and Services</w:t>
              </w:r>
            </w:hyperlink>
          </w:p>
        </w:tc>
        <w:tc>
          <w:tcPr>
            <w:tcW w:w="484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16D.</w:t>
            </w:r>
          </w:p>
        </w:tc>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Exemptions from the Listing Standards for Audit Committees</w:t>
              </w:r>
            </w:hyperlink>
          </w:p>
        </w:tc>
        <w:tc>
          <w:tcPr>
            <w:tcW w:w="328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16E.</w:t>
            </w:r>
          </w:p>
        </w:tc>
        <w:tc>
          <w:tcPr>
            <w:tcW w:w="492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Purchases of Equity Securities by the Issuer and Affiliated Purchasers</w:t>
              </w:r>
            </w:hyperlink>
          </w:p>
        </w:tc>
        <w:tc>
          <w:tcPr>
            <w:tcW w:w="272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16F.</w:t>
            </w:r>
          </w:p>
        </w:tc>
        <w:tc>
          <w:tcPr>
            <w:tcW w:w="7640" w:type="dxa"/>
            <w:vAlign w:val="bottom"/>
            <w:gridSpan w:val="2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Change in Registrants’ Certifying Accountants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16G.</w:t>
            </w:r>
          </w:p>
        </w:tc>
        <w:tc>
          <w:tcPr>
            <w:tcW w:w="3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Corporate Governance</w:t>
              </w:r>
            </w:hyperlink>
          </w:p>
        </w:tc>
        <w:tc>
          <w:tcPr>
            <w:tcW w:w="43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III</w:t>
              </w:r>
            </w:hyperlink>
          </w:p>
        </w:tc>
        <w:tc>
          <w:tcPr>
            <w:tcW w:w="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340" w:type="dxa"/>
            <w:vAlign w:val="bottom"/>
            <w:gridSpan w:val="4"/>
          </w:tcPr>
          <w:p>
            <w:pPr>
              <w:ind w:left="440"/>
              <w:spacing w:after="0"/>
              <w:rPr>
                <w:sz w:val="20"/>
                <w:szCs w:val="20"/>
                <w:color w:val="auto"/>
              </w:rPr>
            </w:pPr>
            <w:r>
              <w:rPr>
                <w:rFonts w:ascii="Arial" w:cs="Arial" w:eastAsia="Arial" w:hAnsi="Arial"/>
                <w:sz w:val="18"/>
                <w:szCs w:val="18"/>
                <w:color w:val="auto"/>
              </w:rPr>
              <w:t>Item 17.</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6">
              <w:r>
                <w:rPr>
                  <w:rFonts w:ascii="Arial" w:cs="Arial" w:eastAsia="Arial" w:hAnsi="Arial"/>
                  <w:sz w:val="18"/>
                  <w:szCs w:val="18"/>
                  <w:color w:val="0000EE"/>
                  <w:w w:val="88"/>
                </w:rPr>
                <w:t>Financial Statements</w:t>
              </w:r>
            </w:hyperlink>
          </w:p>
        </w:tc>
        <w:tc>
          <w:tcPr>
            <w:tcW w:w="6140" w:type="dxa"/>
            <w:vAlign w:val="bottom"/>
            <w:gridSpan w:val="21"/>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26">
              <w:r>
                <w:rPr>
                  <w:rFonts w:ascii="Arial" w:cs="Arial" w:eastAsia="Arial" w:hAnsi="Arial"/>
                  <w:sz w:val="18"/>
                  <w:szCs w:val="18"/>
                  <w:color w:val="0000EE"/>
                  <w:w w:val="86"/>
                </w:rPr>
                <w:t>Financial Statements</w:t>
              </w:r>
            </w:hyperlink>
          </w:p>
        </w:tc>
        <w:tc>
          <w:tcPr>
            <w:tcW w:w="6160" w:type="dxa"/>
            <w:vAlign w:val="bottom"/>
            <w:gridSpan w:val="2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3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19.</w:t>
            </w: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Exhibits</w:t>
              </w:r>
            </w:hyperlink>
          </w:p>
        </w:tc>
        <w:tc>
          <w:tcPr>
            <w:tcW w:w="7040" w:type="dxa"/>
            <w:vAlign w:val="bottom"/>
            <w:gridSpan w:val="2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This annual report on Form 20-F includes our audited consolidated financial statements as of December 31, 2007 and 2008 and for the years ended December 31, 2006, 2007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32" w:lineRule="exact"/>
        <w:rPr>
          <w:sz w:val="20"/>
          <w:szCs w:val="20"/>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online game market will not continue to grow or that we will not be able to maintain our leading position in that market, which could occur if, for example, our new online games do not become as popular as management anticipates;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successful in our product diversification efforts, including our focus on item- and fee-based games and entry into strategic licensing arrangements;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changes in Chinese government regulation of the online game market that limit future growth of our revenue or causes revenue to decline;</w:t>
      </w:r>
    </w:p>
    <w:p>
      <w:pPr>
        <w:spacing w:after="0" w:line="113"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Internet advertising market in China will not continue to grow and will remain subject to intense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future public health problem in China, including avian influenza or severe acute respiratory syndrome, or SARS, or Influenza A (H1N1), or H1N1;</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uncertainties (including possible changes in the effective tax rates applicable to NetEase and its subsidiaries and affiliates), general competition and price pressures in the marketplace;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fluctuations in the value of the Renminbi with respect to other currencies could adversely affect our business and financial results;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current or future appointees to management are not effective in their respective positions;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undertake any obligation to update this forward-looking information, except as required under applicable law.</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2006, 2007 and 2008 and as of December 31, 2007 and 2008 have been derived from our audited consolidated financial statements for those years, which were prepared in accordance with generally accepted accounting principles in the United States, or U.S. GAAP, and should be read in conjunction with those statements, which are included in this annual report beginning on page F-1. The following data for the years ended December 31, 2004 and 2005 and as of December 31, 2004, 2005 and 2006 has also been derived from our audited consolidated financial statements for those years, which were prepared in accordance with U.S. GAAP and are not included in this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02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020" w:type="dxa"/>
            <w:vAlign w:val="bottom"/>
          </w:tcPr>
          <w:p>
            <w:pPr>
              <w:jc w:val="right"/>
              <w:ind w:right="275"/>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04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04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US$ (Note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7"/>
              </w:rPr>
              <w:t>(except per ordinary share and per ADS data)</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Online game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628,936,223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1,379,475,803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1,856,062,971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1,932,634,947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2,498,518,103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366,217,384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Advertising services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171,054,305</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241,200,444</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285,772,653</w:t>
            </w:r>
          </w:p>
        </w:tc>
        <w:tc>
          <w:tcPr>
            <w:tcW w:w="1040" w:type="dxa"/>
            <w:vAlign w:val="bottom"/>
          </w:tcPr>
          <w:p>
            <w:pPr>
              <w:jc w:val="right"/>
              <w:spacing w:after="0"/>
              <w:rPr>
                <w:sz w:val="20"/>
                <w:szCs w:val="20"/>
                <w:color w:val="auto"/>
              </w:rPr>
            </w:pPr>
            <w:r>
              <w:rPr>
                <w:rFonts w:ascii="Arial" w:cs="Arial" w:eastAsia="Arial" w:hAnsi="Arial"/>
                <w:sz w:val="18"/>
                <w:szCs w:val="18"/>
                <w:color w:val="auto"/>
              </w:rPr>
              <w:t>305,057,556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405,887,007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59,492,416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Wireless value-added services and others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158,310,317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73,742,136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75,406,121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68,018,461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71,718,938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10,512,120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958,300,845</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1,694,418,383</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2,217,241,745</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2,305,710,964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2,976,124,048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436,221,920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tax (expense)/benefit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(54,703,018)</w:t>
            </w:r>
          </w:p>
        </w:tc>
        <w:tc>
          <w:tcPr>
            <w:tcW w:w="12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(82,054,902)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(52,882,275)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(92,424,200)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108,460,101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15,897,413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903,597,827</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1,612,363,481</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2,164,359,470</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2,213,286,764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3,084,584,149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452,119,333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Online game services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(74,629,515)</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(137,301,493)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(178,676,915)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(187,411,229)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(268,574,306)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(39,365,966)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services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(54,056,435)</w:t>
            </w:r>
          </w:p>
        </w:tc>
        <w:tc>
          <w:tcPr>
            <w:tcW w:w="12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(78,589,395)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(125,183,293)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(143,676,057)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(208,907,875)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(30,620,429)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Wireless value-added services and others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(55,117,445)</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(59,346,085)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(77,437,973)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(84,365,760)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(82,123,181)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(12,037,110)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(183,803,395)</w:t>
            </w:r>
          </w:p>
        </w:tc>
        <w:tc>
          <w:tcPr>
            <w:tcW w:w="12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(275,236,973)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(381,298,181)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(415,453,046)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(559,605,362)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(82,023,505)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gridSpan w:val="2"/>
            <w:vMerge w:val="continue"/>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719,794,432</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1,337,126,508</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1,783,061,289</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1,797,833,718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2,524,978,787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370,095,828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(152,842,334)</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(152,192,422)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(170,142,691)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(235,318,304)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(221,551,138)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(32,473,600)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(101,631,070)</w:t>
            </w:r>
          </w:p>
        </w:tc>
        <w:tc>
          <w:tcPr>
            <w:tcW w:w="12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(117,942,605)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(179,879,602)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(176,178,740)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(181,841,322)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(26,653,180)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(34,362,806)</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(90,170,092)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(153,162,158)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(180,734,713)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(207,023,649)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(30,344,250)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Insurance claims settlement for the now-settled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class action litigation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16,553,200</w:t>
            </w:r>
          </w:p>
        </w:tc>
        <w:tc>
          <w:tcPr>
            <w:tcW w:w="12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(272,283,010)</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(360,305,119)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(503,184,451)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(592,231,757)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(610,416,109)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(89,471,030)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447,511,422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976,821,389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1,279,876,838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1,205,601,961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1,914,562,678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280,624,798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3,522,169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1,301,975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474,446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1,517,890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22,333,511</w:t>
            </w:r>
          </w:p>
        </w:tc>
        <w:tc>
          <w:tcPr>
            <w:tcW w:w="1020" w:type="dxa"/>
            <w:vAlign w:val="bottom"/>
          </w:tcPr>
          <w:p>
            <w:pPr>
              <w:jc w:val="right"/>
              <w:spacing w:after="0"/>
              <w:rPr>
                <w:sz w:val="20"/>
                <w:szCs w:val="20"/>
                <w:color w:val="auto"/>
              </w:rPr>
            </w:pPr>
            <w:r>
              <w:rPr>
                <w:rFonts w:ascii="Arial" w:cs="Arial" w:eastAsia="Arial" w:hAnsi="Arial"/>
                <w:sz w:val="18"/>
                <w:szCs w:val="18"/>
                <w:color w:val="auto"/>
              </w:rPr>
              <w:t>58,070,148</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94,364,852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112,599,994</w:t>
            </w:r>
          </w:p>
        </w:tc>
        <w:tc>
          <w:tcPr>
            <w:tcW w:w="1040" w:type="dxa"/>
            <w:vAlign w:val="bottom"/>
          </w:tcPr>
          <w:p>
            <w:pPr>
              <w:jc w:val="right"/>
              <w:spacing w:after="0"/>
              <w:rPr>
                <w:sz w:val="20"/>
                <w:szCs w:val="20"/>
                <w:color w:val="auto"/>
              </w:rPr>
            </w:pPr>
            <w:r>
              <w:rPr>
                <w:rFonts w:ascii="Arial" w:cs="Arial" w:eastAsia="Arial" w:hAnsi="Arial"/>
                <w:sz w:val="18"/>
                <w:szCs w:val="18"/>
                <w:color w:val="auto"/>
              </w:rPr>
              <w:t>144,805,368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21,224,678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2"/>
                <w:szCs w:val="12"/>
                <w:color w:val="auto"/>
              </w:rPr>
            </w:pPr>
          </w:p>
        </w:tc>
        <w:tc>
          <w:tcPr>
            <w:tcW w:w="1240" w:type="dxa"/>
            <w:vAlign w:val="bottom"/>
            <w:gridSpan w:val="2"/>
          </w:tcPr>
          <w:p>
            <w:pPr>
              <w:jc w:val="center"/>
              <w:ind w:left="54"/>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US$ (Note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(except per ordinary share and per ADS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(3,877,129)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Exchange loss</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(8,360,834)</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(958,435)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(50,891,094)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(167,101,510)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(24,492,709)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507,428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(540,628)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1,239,105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(1,084,240)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3,551,919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Profit before tax</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469,997,401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1,026,947,191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1,374,863,081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1,266,701,067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1,897,336,345</w:t>
            </w:r>
          </w:p>
        </w:tc>
        <w:tc>
          <w:tcPr>
            <w:tcW w:w="1080" w:type="dxa"/>
            <w:vAlign w:val="bottom"/>
          </w:tcPr>
          <w:p>
            <w:pPr>
              <w:jc w:val="right"/>
              <w:spacing w:after="0"/>
              <w:rPr>
                <w:sz w:val="20"/>
                <w:szCs w:val="20"/>
                <w:color w:val="auto"/>
              </w:rPr>
            </w:pPr>
            <w:r>
              <w:rPr>
                <w:rFonts w:ascii="Arial" w:cs="Arial" w:eastAsia="Arial" w:hAnsi="Arial"/>
                <w:sz w:val="18"/>
                <w:szCs w:val="18"/>
                <w:color w:val="auto"/>
              </w:rPr>
              <w:t>278,099,867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(28,576,719)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(94,957,022)</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(132,485,543)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(2,689,309)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(300,673,321)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(44,070,842)</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Profit after tax</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441,420,682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931,990,169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1,242,377,538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1,264,011,758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1,596,663,024</w:t>
            </w:r>
          </w:p>
        </w:tc>
        <w:tc>
          <w:tcPr>
            <w:tcW w:w="1080" w:type="dxa"/>
            <w:vAlign w:val="bottom"/>
          </w:tcPr>
          <w:p>
            <w:pPr>
              <w:jc w:val="right"/>
              <w:spacing w:after="0"/>
              <w:rPr>
                <w:sz w:val="20"/>
                <w:szCs w:val="20"/>
                <w:color w:val="auto"/>
              </w:rPr>
            </w:pPr>
            <w:r>
              <w:rPr>
                <w:rFonts w:ascii="Arial" w:cs="Arial" w:eastAsia="Arial" w:hAnsi="Arial"/>
                <w:sz w:val="18"/>
                <w:szCs w:val="18"/>
                <w:color w:val="auto"/>
              </w:rPr>
              <w:t>234,029,025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400,046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Net profit</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441,420,682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931,990,169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1,242,777,584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1,264,086,122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1,596,687,907</w:t>
            </w:r>
          </w:p>
        </w:tc>
        <w:tc>
          <w:tcPr>
            <w:tcW w:w="1080" w:type="dxa"/>
            <w:vAlign w:val="bottom"/>
          </w:tcPr>
          <w:p>
            <w:pPr>
              <w:jc w:val="right"/>
              <w:spacing w:after="0"/>
              <w:rPr>
                <w:sz w:val="20"/>
                <w:szCs w:val="20"/>
                <w:color w:val="auto"/>
              </w:rPr>
            </w:pPr>
            <w:r>
              <w:rPr>
                <w:rFonts w:ascii="Arial" w:cs="Arial" w:eastAsia="Arial" w:hAnsi="Arial"/>
                <w:sz w:val="18"/>
                <w:szCs w:val="18"/>
                <w:color w:val="auto"/>
              </w:rPr>
              <w:t>234,032,672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investments</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1,332,300</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441,420,682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931,990,169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1,242,777,584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1,265,418,422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1,596,687,907</w:t>
            </w:r>
          </w:p>
        </w:tc>
        <w:tc>
          <w:tcPr>
            <w:tcW w:w="1080" w:type="dxa"/>
            <w:vAlign w:val="bottom"/>
          </w:tcPr>
          <w:p>
            <w:pPr>
              <w:jc w:val="right"/>
              <w:spacing w:after="0"/>
              <w:rPr>
                <w:sz w:val="20"/>
                <w:szCs w:val="20"/>
                <w:color w:val="auto"/>
              </w:rPr>
            </w:pPr>
            <w:r>
              <w:rPr>
                <w:rFonts w:ascii="Arial" w:cs="Arial" w:eastAsia="Arial" w:hAnsi="Arial"/>
                <w:sz w:val="18"/>
                <w:szCs w:val="18"/>
                <w:color w:val="auto"/>
              </w:rPr>
              <w:t>234,032,672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ordinary share, 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Earnings per ordinary share, diluted</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gridSpan w:val="2"/>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ADS, basic (Note 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Earnings per ADS, diluted (Note 2)</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gridSpan w:val="2"/>
            <w:vMerge w:val="continue"/>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ordinary shares</w:t>
            </w: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basic</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3,157,841,781</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3,225,684,510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3,231,832,008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3,086,451,412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3,117,117,306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3,117,117,306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ADSs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outstanding, basic (Note 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126,313,671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129,027,380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129,273,280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123,458,056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124,684,692</w:t>
            </w:r>
          </w:p>
        </w:tc>
        <w:tc>
          <w:tcPr>
            <w:tcW w:w="1080" w:type="dxa"/>
            <w:vAlign w:val="bottom"/>
          </w:tcPr>
          <w:p>
            <w:pPr>
              <w:jc w:val="right"/>
              <w:spacing w:after="0"/>
              <w:rPr>
                <w:sz w:val="20"/>
                <w:szCs w:val="20"/>
                <w:color w:val="auto"/>
              </w:rPr>
            </w:pPr>
            <w:r>
              <w:rPr>
                <w:rFonts w:ascii="Arial" w:cs="Arial" w:eastAsia="Arial" w:hAnsi="Arial"/>
                <w:sz w:val="18"/>
                <w:szCs w:val="18"/>
                <w:color w:val="auto"/>
              </w:rPr>
              <w:t>124,684,692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Weighted average number of ordinary shares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diluted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3,491,430,437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3,565,412,019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3,498,405,110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3,307,538,379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3,234,214,324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3,234,214,324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ADSs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outstanding, diluted (Note 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139,657,217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142,616,481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139,936,204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132,301,535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129,368,573</w:t>
            </w:r>
          </w:p>
        </w:tc>
        <w:tc>
          <w:tcPr>
            <w:tcW w:w="1080" w:type="dxa"/>
            <w:vAlign w:val="bottom"/>
          </w:tcPr>
          <w:p>
            <w:pPr>
              <w:jc w:val="right"/>
              <w:spacing w:after="0"/>
              <w:rPr>
                <w:sz w:val="20"/>
                <w:szCs w:val="20"/>
                <w:color w:val="auto"/>
              </w:rPr>
            </w:pPr>
            <w:r>
              <w:rPr>
                <w:rFonts w:ascii="Arial" w:cs="Arial" w:eastAsia="Arial" w:hAnsi="Arial"/>
                <w:sz w:val="18"/>
                <w:szCs w:val="18"/>
                <w:color w:val="auto"/>
              </w:rPr>
              <w:t>129,368,573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 compensation cost included in: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revenues</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(16,614,309)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(14,890,378)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(13,678,836)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(2,004,959)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(21,147,343)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(14,357,336)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(8,564,177)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(55,340)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(13,835)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(37,360,433)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(33,887,323)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(23,586,590)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(3,457,177)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(26,164,591)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(32,293,138)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(22,119,058)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(55,340)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(13,835)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(101,286,676)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(95,428,175)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(67,948,661)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(9,959,495)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(60,142,252)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(92,608,975)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(142,513,502)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(71,515,551)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(133,329,185)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(19,542,570)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614,153,858</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1,104,789,431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1,596,108,793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1,379,902,442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2,017,799,188</w:t>
            </w:r>
          </w:p>
        </w:tc>
        <w:tc>
          <w:tcPr>
            <w:tcW w:w="1080" w:type="dxa"/>
            <w:vAlign w:val="bottom"/>
          </w:tcPr>
          <w:p>
            <w:pPr>
              <w:jc w:val="right"/>
              <w:spacing w:after="0"/>
              <w:rPr>
                <w:sz w:val="20"/>
                <w:szCs w:val="20"/>
                <w:color w:val="auto"/>
              </w:rPr>
            </w:pPr>
            <w:r>
              <w:rPr>
                <w:rFonts w:ascii="Arial" w:cs="Arial" w:eastAsia="Arial" w:hAnsi="Arial"/>
                <w:sz w:val="18"/>
                <w:szCs w:val="18"/>
                <w:color w:val="auto"/>
              </w:rPr>
              <w:t>295,756,567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105,834,484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(1,618,749,356)</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(1,218,242,458)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952,298,424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(3,409,258,149)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(499,708,045)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32,043,212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105,497,366</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(829,055,812)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(960,409,501)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(157,293,144)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(23,055,060)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4"/>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2"/>
                <w:szCs w:val="12"/>
                <w:color w:val="auto"/>
              </w:rPr>
            </w:pPr>
          </w:p>
        </w:tc>
        <w:tc>
          <w:tcPr>
            <w:tcW w:w="1240" w:type="dxa"/>
            <w:vAlign w:val="bottom"/>
            <w:gridSpan w:val="2"/>
          </w:tcPr>
          <w:p>
            <w:pPr>
              <w:jc w:val="center"/>
              <w:ind w:left="54"/>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US$ (Note 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2,123,891,537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1,685,744,081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1,206,476,526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2,482,820,821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793,407,922</w:t>
            </w:r>
          </w:p>
        </w:tc>
        <w:tc>
          <w:tcPr>
            <w:tcW w:w="1080" w:type="dxa"/>
            <w:vAlign w:val="bottom"/>
          </w:tcPr>
          <w:p>
            <w:pPr>
              <w:jc w:val="right"/>
              <w:spacing w:after="0"/>
              <w:rPr>
                <w:sz w:val="20"/>
                <w:szCs w:val="20"/>
                <w:color w:val="auto"/>
              </w:rPr>
            </w:pPr>
            <w:r>
              <w:rPr>
                <w:rFonts w:ascii="Arial" w:cs="Arial" w:eastAsia="Arial" w:hAnsi="Arial"/>
                <w:sz w:val="18"/>
                <w:szCs w:val="18"/>
                <w:color w:val="auto"/>
              </w:rPr>
              <w:t>116,292,843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1,691,976,255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2,731,396,687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1,675,813,944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4,820,000,100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706,485,907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77,303,013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126,341,533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224,207,833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183,471,666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258,787,534</w:t>
            </w:r>
          </w:p>
        </w:tc>
        <w:tc>
          <w:tcPr>
            <w:tcW w:w="1080" w:type="dxa"/>
            <w:vAlign w:val="bottom"/>
          </w:tcPr>
          <w:p>
            <w:pPr>
              <w:jc w:val="right"/>
              <w:spacing w:after="0"/>
              <w:rPr>
                <w:sz w:val="20"/>
                <w:szCs w:val="20"/>
                <w:color w:val="auto"/>
              </w:rPr>
            </w:pPr>
            <w:r>
              <w:rPr>
                <w:rFonts w:ascii="Arial" w:cs="Arial" w:eastAsia="Arial" w:hAnsi="Arial"/>
                <w:sz w:val="18"/>
                <w:szCs w:val="18"/>
                <w:color w:val="auto"/>
              </w:rPr>
              <w:t>37,931,482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2,450,140,398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3,624,985,519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4,373,707,830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4,685,659,381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6,345,893,303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930,141,929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257,495,300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415,479,050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676,408,475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1,276,825,952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829,048,062</w:t>
            </w:r>
          </w:p>
        </w:tc>
        <w:tc>
          <w:tcPr>
            <w:tcW w:w="1080" w:type="dxa"/>
            <w:vAlign w:val="bottom"/>
          </w:tcPr>
          <w:p>
            <w:pPr>
              <w:jc w:val="right"/>
              <w:spacing w:after="0"/>
              <w:rPr>
                <w:sz w:val="20"/>
                <w:szCs w:val="20"/>
                <w:color w:val="auto"/>
              </w:rPr>
            </w:pPr>
            <w:r>
              <w:rPr>
                <w:rFonts w:ascii="Arial" w:cs="Arial" w:eastAsia="Arial" w:hAnsi="Arial"/>
                <w:sz w:val="18"/>
                <w:szCs w:val="18"/>
                <w:color w:val="auto"/>
              </w:rPr>
              <w:t>121,516,756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839,399,578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818,413,108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791,631,174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Working capital (Note 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2,108,955,067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3,081,823,774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3,452,777,455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3,159,467,168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5,144,731,429</w:t>
            </w:r>
          </w:p>
        </w:tc>
        <w:tc>
          <w:tcPr>
            <w:tcW w:w="1080" w:type="dxa"/>
            <w:vAlign w:val="bottom"/>
          </w:tcPr>
          <w:p>
            <w:pPr>
              <w:jc w:val="right"/>
              <w:spacing w:after="0"/>
              <w:rPr>
                <w:sz w:val="20"/>
                <w:szCs w:val="20"/>
                <w:color w:val="auto"/>
              </w:rPr>
            </w:pPr>
            <w:r>
              <w:rPr>
                <w:rFonts w:ascii="Arial" w:cs="Arial" w:eastAsia="Arial" w:hAnsi="Arial"/>
                <w:sz w:val="18"/>
                <w:szCs w:val="18"/>
                <w:color w:val="auto"/>
              </w:rPr>
              <w:t>754,083,024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1,353,245,520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2,391,093,361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2,905,668,181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3,398,425,631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5,516,435,976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808,565,185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700" w:right="40" w:hanging="688"/>
        <w:spacing w:after="0" w:line="252" w:lineRule="auto"/>
        <w:tabs>
          <w:tab w:leader="none" w:pos="680" w:val="left"/>
        </w:tabs>
        <w:rPr>
          <w:sz w:val="20"/>
          <w:szCs w:val="20"/>
          <w:color w:val="auto"/>
        </w:rPr>
      </w:pPr>
      <w:r>
        <w:rPr>
          <w:rFonts w:ascii="Arial" w:cs="Arial" w:eastAsia="Arial" w:hAnsi="Arial"/>
          <w:sz w:val="18"/>
          <w:szCs w:val="18"/>
          <w:color w:val="auto"/>
        </w:rPr>
        <w:t>Note 1:</w:t>
        <w:tab/>
        <w:t>Translations of amounts from RMB into U.S. dollars for the convenience of the reader were calculated at the noon buying rate of US$1.00: RMB6.8225 on December 31, 2008 in The City of New York for cable transfers of RMB as certified for customs purposes by the Federal Reserve Bank of New York. No representation is made that the RMB amounts could have been, or could be, converted into United States dollars at that rate on December 31, 2008, or at any other rate.</w:t>
      </w:r>
    </w:p>
    <w:p>
      <w:pPr>
        <w:spacing w:after="0" w:line="1" w:lineRule="exact"/>
        <w:rPr>
          <w:sz w:val="20"/>
          <w:szCs w:val="20"/>
          <w:color w:val="auto"/>
        </w:rPr>
      </w:pPr>
    </w:p>
    <w:p>
      <w:pPr>
        <w:ind w:left="700" w:right="400" w:hanging="688"/>
        <w:spacing w:after="0" w:line="281" w:lineRule="auto"/>
        <w:tabs>
          <w:tab w:leader="none" w:pos="68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6"/>
          <w:szCs w:val="16"/>
          <w:color w:val="auto"/>
        </w:rPr>
        <w:t>Effective from March 27, 2006, the company changed its ADS to ordinary share ratio from one ADS for every 100 ordinary shares to one ADS for every 25 ordinary shares. Therefore, the basic and diluted earnings per ADS as well as the basic and diluted weighted average number of ADS outstanding for the two years ended December 31, 2004 and 2005 have been retroactively restated.</w:t>
      </w:r>
    </w:p>
    <w:p>
      <w:pPr>
        <w:spacing w:after="0" w:line="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5"/>
          <w:szCs w:val="15"/>
          <w:color w:val="auto"/>
        </w:rPr>
        <w:t>Working capital represents total current assets less total current liabilities.</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 currency of the United States. The conversion of Renminbi into U.S. dollars in this annual report is based on the noon buying rate in The City of New York for cable transfers of Renminbi as certified for customs purposes by the Federal Reserve Bank of New York. For your convenience, this annual report contains translations of some Renminbi or U.S. dollar amounts for 2008 at US$1.00: RMB6.8225, which was the prevailing rate on December 31, 2008. The prevailing rate on June 19, 2009 was US$1.00: RMB6.8360. We make no representation that any Renminbi or U.S. dollar amounts could have been, or could be, converted into U.S. dollars or Renminbi, as the case may be, at any particular rate, the rates stated below, or at all. The Chinese government imposes control over its foreign currency reserves in part through direct regulation of the conversion of Renminbi into foreign exchange and through restrictions on foreign trade.</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sets forth the average buying rate for Renminbi expressed as per one U.S. dollar for the years 2004, 2005, 2006, 2007 and 2008.</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253"/>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Renminbi Average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2005</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8.1826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2007</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7.5806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Determined by averaging the rates on the last business day of each month during the relevant period.</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the high and low exchange rates for Renminbi expressed as per one U.S. dollar during the past six months.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Month Ended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6.8842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January 31, 2009</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6.8403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2009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6.8470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6.8438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2009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6.8361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May 31, 2009</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6.8326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6.8176</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Capitalization and Indebtedness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800" w:hanging="452"/>
        <w:spacing w:after="0" w:line="369" w:lineRule="auto"/>
        <w:tabs>
          <w:tab w:leader="none" w:pos="44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0"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 continues to change, and our prospects may be difficult to evaluate based on historical performance.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Commencing with the launch of the NetEase websites in 1999 until 2001, the majority of our revenues came from online advertising. In 2001, we began focusing on wireless value-added services and, to a lesser extent other fee-based premium services, which grew to account for 69.4% of total revenues in 2002 but declined each year thereafter to 2.7% of total net revenues in 2008. In recent years, we have devoted significant resources to our online games business, which accounted for 35.7% of our total revenues in 2003 and grew to account for 84.6%, 84.4% and 85.2% of our total net revenues in 2006, 2007 and 2008, respectively. With the licensing of certain online games by Blizzard Entertainment Inc. (together with its affiliated companies, referred to as Blizzard in this annual report) to Shanghai EaseNet Network Technology Limited, or Shanghai EaseNet, for operation in the PRC in August 2008 and April 2009, we significantly expanded our commitment to operate online games licensed from third parties, although no revenue has been generated from such licensed online games as of the date of the filing of this annual report. The evolution of our business focus over the past few years from solely operating the NetEase websites and selling online advertisements to providing wireless value-added and other fee-based premium services to developing and distributing online games, as well as licensing online games from third parties, could make it difficult for you to evaluate our future performance based on historical results. We cannot assure you that we will be able to increase or maintain our revenues from online games or any other services.</w:t>
      </w:r>
    </w:p>
    <w:p>
      <w:pPr>
        <w:spacing w:after="0" w:line="121" w:lineRule="exact"/>
        <w:rPr>
          <w:sz w:val="20"/>
          <w:szCs w:val="20"/>
          <w:color w:val="auto"/>
        </w:rPr>
      </w:pPr>
    </w:p>
    <w:p>
      <w:pPr>
        <w:ind w:right="120"/>
        <w:spacing w:after="0" w:line="338" w:lineRule="auto"/>
        <w:rPr>
          <w:sz w:val="20"/>
          <w:szCs w:val="20"/>
          <w:color w:val="auto"/>
        </w:rPr>
      </w:pPr>
      <w:r>
        <w:rPr>
          <w:rFonts w:ascii="Arial" w:cs="Arial" w:eastAsia="Arial" w:hAnsi="Arial"/>
          <w:sz w:val="16"/>
          <w:szCs w:val="16"/>
          <w:b w:val="1"/>
          <w:bCs w:val="1"/>
          <w:color w:val="auto"/>
        </w:rPr>
        <w:t>Our business depends to a significant extent on two online games, which accounted for 84.6%, 81.4% and 73.5% of our total net revenues in 2006, 2007 and 2008, respectively. We may not be able to maintain the popularity of these games for a variety of reasons.</w:t>
      </w:r>
    </w:p>
    <w:p>
      <w:pPr>
        <w:spacing w:after="0" w:line="1"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Two of our in-house developed massively multi-player online role-playing games, known as MMORPGs, Westward Journey Online II (which was commercially launched in August 2002) and Fantasy Westward Journey (which was commercially launched in January 2004), contributed 84.6%, 81.4% and</w:t>
      </w:r>
    </w:p>
    <w:p>
      <w:pPr>
        <w:ind w:right="20"/>
        <w:spacing w:after="0" w:line="287" w:lineRule="auto"/>
        <w:rPr>
          <w:sz w:val="20"/>
          <w:szCs w:val="20"/>
          <w:color w:val="auto"/>
        </w:rPr>
      </w:pPr>
      <w:r>
        <w:rPr>
          <w:rFonts w:ascii="Arial" w:cs="Arial" w:eastAsia="Arial" w:hAnsi="Arial"/>
          <w:sz w:val="16"/>
          <w:szCs w:val="16"/>
          <w:color w:val="auto"/>
        </w:rPr>
        <w:t>73.5% of our total net revenues in 2006, 2007 and 2008, respectively. With the launch of our other new games as set forth in the next risk factor, the percentage of our total net revenues contributed by these two games has decreased from 2006 to 2008. Nevertheless,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we cannot at this time estimate the total life cycle of any of our games, particularly our more recently launched games. If we are unable to maintain the popularity of Westward Journey Online II, Fantasy Westward Journey, or our other existing online games or are unable to introduce new online games which are popular with online game users in China (as discussed in the next risk factor), our business and results of operations could be materially and adversely affected.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fail to develop and introduce new online games timely and successfully, we will not be able to compete effectively and our ability to generate revenues will suffer.</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in a highly competitive, quickly changing environment, and our future success depends not only on the popularity of our existing online games but also on our ability to develop and introduce new games that our customers and users choose to buy.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 The development of new games can be very difficult and requires high levels of innovation.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New technologies in online game programming or operations could render our current online titles or other online games that we develop in the future obsolete or unattractive to our subscribers, thereby limiting our ability to recover development costs and potentially adversely affecting our future revenues and profitability. In particular, the online game industry in China is transitioning from 2D to 3D games, with numerous new 3D game titles being launched in the market in recent years. In response to this trend, we have been devoting additional resources to developing or licensing 3D games and software components for such games, and we cannot assure you that such games will be successful. In particular, we have been devoting a significant portion of our research and development efforts to develop new games including fee-based and item-based games. Datang, our first 2.5D game, was commercially launched in July 2006, Westward Journey Online III, an enhanced version of our popular Westward Journey game series, was commercially launched in September 2007, and the open beta testing versions of our item-based online games, Tianxia II and Legend of Westward Journey, were launched in June and September 2008, respectively. We also launched an expansion pack for Tianxia II in September 2008. Further, we have other new games currently in development such as Datang II (Heroes of Tang Dynasty). Both Tianxia II and Datang II (Heroes of Tang Dynasty) have been in development for a significant period of time, in particular Tianxia II which was altered following unsatisfactory results from the initial beta testing in 2007. Nevertheless, with our continuous efforts, both the number of online players and consumption level of in-game items of Tianxia II have grown steadily since the commencement of its open beta testing in June 2008. This development involves significant cost, and we are not able to predict if or when we will commercially launch any of our new games and whether such games will ultimately become popular.</w:t>
      </w:r>
    </w:p>
    <w:p>
      <w:pPr>
        <w:spacing w:after="0" w:line="12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we are required to devote significant resources to the ongoing operations of our online games, such as staff costs related to our “Games Masters” which supervise the activities within our games.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demand for new games is difficult to forecast, in part due to the relative immaturity of the market and relatively short life cycles of Internet-based technologies. As we introduce and support additional games and as competition in the market for our games intensifies, we expect that it will become more difficult to forecast demand. In particular, competition in the online game market is growing as more and more online games are introduced by existing and new market participants.</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Substantially all of our online game revenues have been generated by games that use the pay-to-play revenue model, and we may be unable to effectively address ongoing or future market trends regarding new revenue models for online games in China.</w:t>
      </w:r>
    </w:p>
    <w:p>
      <w:pPr>
        <w:spacing w:after="0" w:line="4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Except for our casual games which have contributed an insignificant amount of our revenue since their launch in 2005, substantially all of our online game revenues have been generated by games that use the pay-to-play revenue model whereby players purchase our prepaid point cards to pay for playing time.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number of our competitors have been transitioning to an item-based revenue model where end users are able to play the basic functions of the online games for free and may choose to purchase in-game value-added services, including certain in-game items and premium features, which enhance the game experience. Currently, we are developing games that use the item-based revenue model, and the open beta testing versions of our item-based online games, Tianxia II and Legend of Westward Journey, were launched in June and September 2008, respectively. We cannot be certain that these or our future item-based online games will be popular or generate the revenue our management expects. Moreover, it is possible that users of our existing pay-to-play games find that the item-based games offered by our competitors provide a more enjoyable gaming experience in which case the popularity of our existing games could be materially adversely affected. If there is an overall shift in the online game market in China to an item-based or another revenue model, we may be unable to launch new games or new versions of existing games which effectively use such model in a timely manner or at all, and we may be required to make significant research and development and selling and marketing expenditures to develop and promote such games.</w:t>
      </w:r>
    </w:p>
    <w:p>
      <w:pPr>
        <w:spacing w:after="0" w:line="11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We may not be able to maintain a stable relationship with Blizzard, and we may experience difficulties in the operation of the online games licensed from it or its affiliates.</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August 2008 and April 2009, Blizzard agreed to license certain online games developed by it to Shanghai EaseNet for operation in the PRC, including StarCraft II and World of Warcraft. Shanghai EaseNet is a PRC company owned by William Lei Ding, our Chief Executive Officer, director and major shareholder, and has contractual arrangements with the joint venture established between Blizzard and us, and with us. For further details, see Item 4.B. “Business Overview – Our Services – Game Licensing and Joint Venture with Blizzard.” We lack experience in licensing online games from third parties and have limited experience working with Blizzard. If we are unable to maintain a stable relationship with Blizzard, or if Blizzard either establishes similar or more favorable relationships with our competitors in violation of its contractual arrangements with us or otherwise, we may not be able to ensure a smooth operation of these licensed online games, and Blizzard could terminate the license and joint venture agreements with us, which in either case could harm our operating results and business. Also, the benefits of our arrangements with Blizzard may take considerable time to develop, and we cannot be certain that such arrangements will produce its intended benefits.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behalf of Shanghai EaseNet as licensee of the games, we have paid to Blizzard initial license fees, with an additional initial license fee to be paid upon the commencement of the open beta testing and commercial release in the PRC of a localized version of Blizzard’s Battle.net platform. In addition, over the three-year terms of the licenses, Shanghai EaseNet is required to pay royalties and consultancy fees to Blizzard for the games, and it also has a minimum marketing expenditure commitment. Shanghai EaseNet is also obligated to provide funds for hardware to operate the games. 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believe that our current cash and cash equivalents and cash flow from operations will be sufficient to meet our foregoing obligations. To the extent our obligations exceed our cash resources, we may seek to sell additional equity or debt securities or to obtain a credit facility. The sale of additional equity or convertible debt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 unable to meet our foregoing obligations, our licensed games operation and financial condition could be adversely affected and our licenses with Blizzard could be terminated.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we cannot be certain that these licensed online games will be viewed by the regulatory authorities as complying with content restrictions, will be launched or re-launched as scheduled, or at all, will be attractive to users or will be able to compete with games operated by our competitors. In particular, StarCraft II has not been launched yet, and the relaunch of World of Warcraft by Shanghai EaseNet is also subject to certain risks as discussed in the following risk factor.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Any difficulties or delays in the transition of World of Warcraft from the prior licensee and operator of the game in the PRC, The9 Limited, or The9, to Shanghai EaseNet could adversely affect that game’s popularity and profitability.</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Following the expiration of Blizzard’s current license agreement with The9 for World of Warcraft in June 2009, World of Warcraft ceased operation during the transition period from The9 to Shanghai EaseNet. The relaunch of World of Warcraft is subject to a number of factors, some of which are beyond our control, including receipt of necessary governmental approvals including approval and a publication number from the PRC General Administration of Press and Publications. We cannot be certain of the duration of the transition period and if the transition will be completed satisfactorily. If such relaunch is significantly delayed, the game’s popularity and profitability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have an adverse effect on our business.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Strategic alliances with key players in the online game industry and other related industry sectors form part of our strategy to expand our portfolio of online games. For example, in August 2008 and April 2009, Blizzard agreed to license certain online games developed by it to Shanghai EaseNet for operation in the PRC, and we have formed a joint venture with Blizzard to provide technical services to Shanghai EaseNet. However, our ability to grow through future alliances, including through joint ventures, will depend on the availability of suitable partners at reasonable terms, our ability to compete effectively to attract 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limited experience in identifying, financing or completing strategic alliances.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A prolonged slowdown in the PRC economy may materially and adversely affect our results of operations, financial condition, prospects and future expansion plans.</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the second half of 2008, global credit and capital markets, particularly in the United States and Europe, have experienced difficult conditions. These challenging market conditions have resulted in reduced liquidity, greater volatility, widening of credit spreads, lack of price transparency in credit markets, a reduction in available financing and lack of market confidence. These factors, combined with declining business and consumer confidence and increased unemployment in the United States and elsewhere in the world, have precipitated a global economic slowdown, including a slowdown in the rate of economic growth in recent quarters in China. Given the dramatic change in the overall credit environment and economy, it is difficult to predict how long these conditions will exist and the extent to which we may be affected. The uncertainty and volatility of credit and capital markets and the overall slowdown in the PRC economy has had and may continue to have an adverse effect on our business. Furthermore, there can be no assurance that measures implemented by governments around the world to stabilize the credit and capital markets and new economic stimulus measures in China will improve market confidence and the overall credit environment and economy. As a result, prolonged disruptions to the global credit and capital markets and the global economy may materially and adversely affect the Chinese economy, consumer spending in China and our business, results of operations, financial condition, prospects and future expansion plans.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Reports of violence and theft related to online games may result in negative publicity or governmental response that could have a material and adverse impact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restrictions on the online game industry, which could in turn have a material and adverse effect on our business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Acts of cheating by users of online games could lessen the popularity of our online games, adversely affect our reputation and our results of operations.</w:t>
      </w:r>
    </w:p>
    <w:p>
      <w:pPr>
        <w:spacing w:after="0" w:line="1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 play in a manner that allowed them to cheat and disadvantage our other online game users which often has the effect of causing players to stop using the game and 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terms of our online games.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Illegal game servers could harm our business and reputation and materially and adversely affect our results of operations.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Several of our competitors have reported that some Internet cafés have installed illegal copies of such competitors’ games on the cafés’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supervise the operation of our online games and portal may expose us to potential claims by our users.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daily supervision of the operation of our online games and portal or during the investigation of users’ complaints, we may take actions to regulate the behavior of our users. For example, if we suspect a player of installing cheating program on our online games, we may freeze his game account or even ban the player from logging on to our games and portal. Such regulatory activities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10" w:lineRule="exact"/>
        <w:rPr>
          <w:sz w:val="20"/>
          <w:szCs w:val="20"/>
          <w:color w:val="auto"/>
        </w:rPr>
      </w:pPr>
    </w:p>
    <w:p>
      <w:pPr>
        <w:ind w:right="500"/>
        <w:spacing w:after="0" w:line="338" w:lineRule="auto"/>
        <w:rPr>
          <w:sz w:val="20"/>
          <w:szCs w:val="20"/>
          <w:color w:val="auto"/>
        </w:rPr>
      </w:pPr>
      <w:r>
        <w:rPr>
          <w:rFonts w:ascii="Arial" w:cs="Arial" w:eastAsia="Arial" w:hAnsi="Arial"/>
          <w:sz w:val="16"/>
          <w:szCs w:val="16"/>
          <w:b w:val="1"/>
          <w:bCs w:val="1"/>
          <w:color w:val="auto"/>
        </w:rPr>
        <w:t>We depend upon multiple printing companies and distributors to produce and deliver our prepaid point cards to the various points of sale. If such parties mishandle our cards or the related passcodes, our reputation and results of operations could be materially and adversely affected.</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appoint multiple printers and distributors throughout China to produce and deliver our prepaid point cards to the various points of sale. We generally have cards produced by individual printers in batches of thousands, or ten of thousands, of cards, with each card having an individual passcode which enables the purchaser to deposit the points on the card into their online user account to pay for game playing time, in-game items or our other fee-based services. In addition, before the cards are purchased by users of the NetEase websites, we activate them on our internal systems.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one instance in 2005, one of our printers created unauthorized duplicate batches of our cards with the same passcodes as the cards which we ordered. Because our internal system only allows a passcode for a particular card to be used once, a small number of customers were not able to use their cards because the passcode for the duplicate card had already been used. Although this incident had no material impact on our business or financial results, we have enhanced our efforts to ensure that our cards are produced and distributed in accordance with our instructions. In particular, we have focused our customer service team on quickly responding to customer complaints regarding our cards, both to maintain our reputation in the market and to identify any issues which may indicate a potential problem with a printer or distributor. We are also highly selective in our choice of such parties, and have begun activating our cards on our internal system as close as possible to the purchase of such cards by the end-user to prevent any duplicate cards. If, however, these efforts are unsuccessful and our printers or distributors mishandle our cards or the related passcodes, our reputation and results of operations could be materially and adversely affected.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We expect that a portion of our future revenues will continue to come from our advertising services, which represented approximately 12.0% of our total net revenues for 2008, but we may not be able to compete effectively in this market because it is relatively new and intensely competitive, in which case our ability to generate and maintain advertising revenue in the future could be adversely affected.</w:t>
      </w:r>
    </w:p>
    <w:p>
      <w:pPr>
        <w:spacing w:after="0" w:line="2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anticipate that the revenues generated by our online games will continue to constitute the major portion of our future revenues, we believe that we will continue to rely on advertising revenues as one of our primary revenue sources for the foreseeable future. Online advertising in China is still relatively new and many of our current and potential advertisers have limited experience with the Internet as an advertising medium, have not traditionally devoted a significant portion of their advertising expenditures or other available funds to Web-based advertising, and may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Changes in government policy could also restrict or curtail our online advertising services. For example, as a result of the enactment of a series of regulations, administrative instructions and policies by the PRC government to restrict online medical advertising since July 2006, we can only carry those advertisements which comply with the relevant regulations. Moreover, the acceptance of the Internet as a medium for advertising depends on the development of a measurement standard. No standards have been widely accepted for the measurement of the effectiveness of online advertising. Industry-wide standards may not develop sufficiently to support the Internet as an effective advertising medium. If these standards do not develop, advertisers may choose not to advertise on the Internet in general or through our portals or search engines.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the competition in the online advertising industry in China has intensified since Baidu.com, Inc., or Baidu, Tencent Inc., or Tencent, and Alibaba.com Limited, or Alibaba and other vertical Internet portals came into the market. The entry of additional, highly competitive Internet companies, whether domestic or international companies, into the Chinese market would further heighten competition for advertising spending in China.</w:t>
      </w:r>
    </w:p>
    <w:p>
      <w:pPr>
        <w:spacing w:after="0" w:line="107" w:lineRule="exact"/>
        <w:rPr>
          <w:sz w:val="20"/>
          <w:szCs w:val="20"/>
          <w:color w:val="auto"/>
        </w:rPr>
      </w:pPr>
    </w:p>
    <w:p>
      <w:pPr>
        <w:jc w:val="center"/>
        <w:ind w:left="420" w:right="280"/>
        <w:spacing w:after="0" w:line="440" w:lineRule="auto"/>
        <w:rPr>
          <w:sz w:val="20"/>
          <w:szCs w:val="20"/>
          <w:color w:val="auto"/>
        </w:rPr>
      </w:pPr>
      <w:r>
        <w:rPr>
          <w:rFonts w:ascii="Arial" w:cs="Arial" w:eastAsia="Arial" w:hAnsi="Arial"/>
          <w:sz w:val="18"/>
          <w:szCs w:val="18"/>
          <w:color w:val="auto"/>
        </w:rPr>
        <w:t>If the Internet does not become more widely accepted as a medium for advertising, our ability to generate increased revenue will be negatively affected. 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We experienced a decline in the rate of growth of our online games which appears to be a result of the outbreak of severe acute respiratory syndrome, or SARS, in 2003 and any recurrence of SARS, an outbreak of the H5N1 strain of bird flu (avian influenza), H1N1 or another widespread public health problem could further adversely affect our business and results of operations.</w:t>
      </w:r>
    </w:p>
    <w:p>
      <w:pPr>
        <w:spacing w:after="0" w:line="5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April and May 2003, we experienced a decline in the rate of growth of our online game services which we believe resulted from the closure of Internet cafés in Beijing and elsewhere to prevent the spread of SARS. Many users of our online game services can only access those services at Internet cafés. A renewed outbreak of SARS or another widespread public health problem in China where virtually all of our revenue is derived and in Beijing, Shanghai, Guangzhou and Hangzhou where most of our employees are located could have a negative effect on our operations.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there has been confirmed human cases of avian influenza in PRC, Vietnam, Iraq, Thailand, Indonesia, Turkey, Cambodia and other countries which have proven fatal in some instances. If such an outbreak or any other similar epidemic were to spread in the PRC, where our operations are located, it may adversely affect our business and operating results. Further, in April 2009, H1N1, a new strain of flu virus commonly referred to as “swine flu,” was first discovered in North America and quickly spread to other parts of the world, including China. If H1N1 continues to spread in China, where all of our operations are located, it may adversely affect our business and operating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may be impacted by a number of health-related factors, including, among other things: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quarantines or closures of some of our offices which would severely disrupt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sickness or death of our key officers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closure of Internet cafés and other public areas where people access the Internet;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general slowdown in the Chinese economy.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events or other unforeseen consequences of public health problems could adversely affect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 of our business is dependent on our ability to retain our existing key employees and to add and retain senior officers to our management.</w:t>
      </w:r>
    </w:p>
    <w:p>
      <w:pPr>
        <w:spacing w:after="0" w:line="13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revenues fluctuate significantly and may adversely impact the trading price of our American Depositary Shares, or ADSs, or any other securities which become publicly traded.</w:t>
      </w:r>
    </w:p>
    <w:p>
      <w:pPr>
        <w:spacing w:after="0" w:line="4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users to the NetEase websites in the increasingly competitive Internet market in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 our business strategies as planned;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update and develop our Internet applications, services, technologies and infrastructure.</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Historically, advertising revenue has followed the same general seasonal trend throughout each year with the first quarter of the year being the weakest quarter due to the Chinese New Year holiday and the traditional close of advertisers’ annual budgets and the third quarter as the strongest. Usage of our wireless value-added services and online games has generally increased around the Chinese New Year holiday and other Chinese holidays, in particular winter and summer school holidays during which school-aged users have more time to use such services and play games.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Changes in accounting rules for share-based compensation may adversely affect our operating results, our stock price and our competitiveness in the employee marketplace.</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future success depends to a large degree on our continuing ability to identify, develop, motivate and retain highly skilled personnel for all areas of our organization. We have a history of using employee stock options to align employees’ interest with the interests of our shareholders and encourage quality employees to join us and retain our quality employees by providing competitive compensation packages. On January 1, 2006, we adopted Statement of Financial Accounting Standards No. 123 (revised 2004), Share-Based Payment, or SFAS 123(R), which requires the measurement and recognition of compensation expense for all share-based compensation to be based on estimated fair values. As a result, our operating results contain a charge for share-based compensation expense related to employee stock options. For the years ended December 31, 2006, 2007 and 2008, we recorded share-based compensation cost of RMB101.3 million, RMB95.4 million and RMB67.9 million (US$10.0 million), respectively. This cost has been allocated to (i) cost of revenues, (ii) selling and marketing expenses,</w:t>
      </w:r>
    </w:p>
    <w:p>
      <w:pPr>
        <w:spacing w:after="0" w:line="5" w:lineRule="exact"/>
        <w:rPr>
          <w:sz w:val="20"/>
          <w:szCs w:val="20"/>
          <w:color w:val="auto"/>
        </w:rPr>
      </w:pPr>
    </w:p>
    <w:p>
      <w:pPr>
        <w:ind w:right="20" w:firstLine="8"/>
        <w:spacing w:after="0" w:line="253"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administrative expenses and (iv) research and development expenses, depending on the responsibilities of the relevant employees. The recognition of share-based compensation in our statement of operations has had and may continue to have a negative effect on our reported results and earnings per share, which could in turn negatively affect our stock price. On the other hand, if we alter our employee share incentive plan to minimize the share-based compensation expenses, it may limit our ability to continue to use share-based awards as a tool to attract and retain our employees, and it may adversely affect our operations.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establish and maintain relationships with content providers, we may not be able to attract traffic to the NetEase websites.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rely on a number of third party relationships to attract traffic and provide content in order to make the NetEase websites more attractive to users and advertisers. Most of our arrangements with content providers are short-term and may be terminated at the convenience of the other party. Some content providers have increased the fees they charge us for their content. This trend could increase our costs and operating expenses and could adversely affect our ability to obtain content at an economically acceptable cost. Moreover, our agreements with content providers are usually non-exclusive, although certain of our competitors have been entering into exclusive arrangements for certain content, particularly online video content. If we are not able to renew our agreements with content providers or our competitors obtain exclusive rights to content which we wish to offer on the NetEase websites, the attractiveness of our portal to users will be severely impaired. Also, if other Internet companies present the same or similar content in a superior manner, it would adversely affect our visitor traffic.</w:t>
      </w:r>
    </w:p>
    <w:p>
      <w:pPr>
        <w:spacing w:after="0" w:line="99" w:lineRule="exact"/>
        <w:rPr>
          <w:sz w:val="20"/>
          <w:szCs w:val="20"/>
          <w:color w:val="auto"/>
        </w:rPr>
      </w:pPr>
    </w:p>
    <w:p>
      <w:pPr>
        <w:ind w:right="540"/>
        <w:spacing w:after="0" w:line="338" w:lineRule="auto"/>
        <w:rPr>
          <w:sz w:val="20"/>
          <w:szCs w:val="20"/>
          <w:color w:val="auto"/>
        </w:rPr>
      </w:pPr>
      <w:r>
        <w:rPr>
          <w:rFonts w:ascii="Arial" w:cs="Arial" w:eastAsia="Arial" w:hAnsi="Arial"/>
          <w:sz w:val="16"/>
          <w:szCs w:val="16"/>
          <w:b w:val="1"/>
          <w:bCs w:val="1"/>
          <w:color w:val="auto"/>
        </w:rPr>
        <w:t>We expect that the increasing popularity of online video content among Internet users in China will increase our costs in future periods because it requires significant bandwidth to deliver and will likely necessitate our investments in new video streaming technology.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online video content is becoming increasingly popular among Internet users in China and that we will need to offer a wide range of video content on the NetEase websites to attract users. Although advances in video compression technology have allowed reductions in the bandwidth required to deliver video content, such content still requires significantly more bandwidth than the other forms of content we offer on the NetEase websites. If we are unable to pass on such increased costs to users, which we believe is unlikely for the foreseeable future, our costs will increase which could materially adversely affect our business and profitability. In addition, the technology for video content processing, transmission and high-speed data access systems is characterized by rapid developments and evolving industry standards. To enable users to access our video content quickly and reliably and remain competitive with other Internet portals in China and elsewhere, we anticipate that we will be required to invest in new video streaming technologies, including technologies developed by third parties, on a regular basis which will also increase our costs.</w:t>
      </w:r>
    </w:p>
    <w:p>
      <w:pPr>
        <w:spacing w:after="0" w:line="112"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b w:val="1"/>
          <w:bCs w:val="1"/>
          <w:color w:val="auto"/>
        </w:rPr>
        <w:t>We do not own Guangzhou NetEase Computer System Co., Ltd., or Guangzhou NetEase, Beijing Guangyitong Advertising Co., Ltd., or Guangyitong Advertising, or Shanghai EaseNet,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Guangzhou NetEase and Guangyitong Advertising are owned by shareholders whose interests may differ from ours and those of our shareholders because they own a larger percentage of Guangzhou NetEase and Guangyitong Advertising than of our company. Specifically, the business and operations of Guangzhou NetEase, as the operator of the NetEase websites and a provider of online games and wireless value-added and other fee-based premium services, and Guangyitong Advertising, as an advertising firm, are subject to Chinese laws and regulations that differ from the laws and regulations that govern the business and operations of NetEase. For example, Chinese laws and regulations require us to verify the content of third party advertising content we place on the NetEase websites, and we are partly dependent upon the conduct of Guangyitong Advertising, which is not directly subject to those laws and regulations, in order to ensure that we remain compliant with those laws and regulations. Guangzhou NetEase, Guangyitong Advertising or their ultimate shareholders could violate our arrangements with them by, among other things, failing to operate and maintain the NetEase websites or their various businesses in an acceptable manner, failing to remit revenue to us on a timely basis or at all or diverting customers or business opportunities from our company. In addition, the operation of the online games licensed by Blizzard is dependent on Shanghai EaseNet, which is owned by William Lei Ding, our Chief Executive Officer, director and major shareholder, and has contractual arrangements with the joint venture established between Blizzard and us, and with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interests of Mr. Ding and the joint venture may differ from ours and those of our shareholders. A violation of the foregoing agreements could disrupt our business and adversely affect our reputation in the market. If Guangzhou NetEase, Guangyitong Advertising, Shanghai EaseNet or their ultimate shareholders violate our agreements with them, we may have to resort to litigation to enforce our rights. This litigation could result in the disruption of our business, diversion of our resource and the incurrence of substantial costs.</w:t>
      </w:r>
    </w:p>
    <w:p>
      <w:pPr>
        <w:spacing w:after="0" w:line="13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Because our contractual arrangements with Guangzhou NetEase, Guangyitong Advertising and their ultimate shareholders do not detail the parties’ rights and obligations, our remedies for a breach of these arrangements are limited.</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 relationship with Guangzhou NetEase, Guangyitong Advertising and their ultimate shareholders is based on a number of contracts.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Guangyitong Advertising or their ultimate shareholders for breaching our agreements. Because we rely significantly on Guangzhou NetEase and Guangyitong Advertising for our business, the realization of any of these risks may disrupt our operations or cause degradation in the quality and service provided on, or a temporary or permanent shutdown of, the NetEase websites.</w:t>
      </w:r>
    </w:p>
    <w:p>
      <w:pPr>
        <w:spacing w:after="0" w:line="11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A majority of the share capital of Guangzhou NetEase and Guangyitong Advertising and the entire share capital of Shanghai EaseNet is held by our major shareholder, who may cause these agreements to be amended in a manner that is adverse to us.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major shareholder, William Lei Ding, holds the majority interest in Guangzhou NetEase and Guangyitong Advertising. As a result, Mr. Ding may be able to cause the agreements related to Guangzhou NetEase and Guangyitong Advertising to be amended in a manner that will be adverse to our company, or may be able to cause these agreements not to be renewed, even if their renewal would be beneficial for us. Prior to our initial public offering of ADSs in 2000, a number of these agreements were amended.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conduct our operations without the services provided by Guangzhou NetEase and Guangyitong Advertising.</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operations are currently dependent upon our commercial relationships with Guangzhou NetEase and Guangyitong Advertising, and we derive most of our revenues from these companies. A portion of our revenues under our contracts with these companies is based upon preliminary and tentative amounts that have been agreed upon in advance and is subject to adjustment at our company’s discretion by the end of each quarter. If these companies are unwilling or unable to perform the agreements which we have entered into with them, we may not be able to conduct our operations in the manner in which we currently plan. In addition, Guangzhou NetEase and Guangyitong Advertising may seek to renew these agreements on terms that are disadvantageous to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founder, Chief Executive Officer and director, William Lei Ding, beneficially owned approximately 43.8% as of March 31, 2009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3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arrangements with Guangzhou NetEase, Guangyitong Advertising and their respective shareholders may cause a transfer pricing adjustment and may be subject to scrutiny by the PRC tax authorities.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could face material and adverse tax consequences if the PRC tax authorities determine that our contracts with Guangzhou NetEase, Guangyitong Advertising and their respective shareholders were not entered into based on arm’s length negotiations. Although our contractual arrangements are similar to other companies conducting similar operations in China, if the PRC tax authorities determine that these contracts were not entered into on an arm’s length basis, they may adjust our income and expenses for PRC tax purposes in the form of a transfer pricing adjustment which may result in an increase in our taxes.</w:t>
      </w:r>
    </w:p>
    <w:p>
      <w:pPr>
        <w:spacing w:after="0" w:line="1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45"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Prior to January 1, 2008, foreign invested enterprises were generally subject to a national and local enterprise income tax, or EIT, at statutory rates of 30.0% and 3.0%, respectively, under the previous income tax law. Our subsidiaries, NetEase Information Technology (Beijing) Co., Ltd., or NetEase Beijing, Guangzhou NetEase Interactive Entertainment Limited, or Guangzhou Interactive, Guangzhou Boguan Telecommunication Limited, or Boguan, NetEase (Hangzhou) Network Co., Ltd., or NetEase Hangzhou, and NetEase Youdao Information Technology (Beijing) Limited (formerly named NetEase Yodao Information Technology (Beijing) Limited), or Youdao Information, and our VIE, Guangzhou NetEase, had been granted various preferential tax treatments because the local tax authorities had approved such companies as “High and New Technology Enterprises” or “Software Enterprises” or similar designations under the then applicable tax rules and regulations.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Effective as of January 1, 2008, the Chinese government adopted the Corporate Income Tax Law (“the new income tax law”), as further clarified by subsequent tax regulations implementing the new income tax law, which unified the EIT payable by domestic and foreign-invested enterprises at 25.0%. Preferential tax treatments continue to be granted to entities that are classified as “High and New Technology Enterprises Strongly Supported by the State” or conduct business in encouraged sectors, whether foreign invested enterprises or domestic companies, pursuant to which qualified enterprises can enjoy a reduced EIT rate of 15.0%.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Under the new income tax law, enterprises that were established and already enjoyed preferential tax treatments before March 16, 2007, other than companies qualifying as “High and New Technology Enterprises,” continue to enjoy such treatments (i) in the case of preferential tax rates, for a period of five years from January 1, 2008, or (ii) in the case of preferential tax exemption or reduction for a specified term, until the expiration of such term. Our subsidiaries, NetEase Beijing, Guangzhou Interactive, Boguan and NetEase Hangzhou, were included in the published High and New Technology Enterprises, or HNTEs, list of the Science and Technology Department/Commission issued in December 2008. These subsidiaries received their respective certificates dated December 2008 from the relevant tax authorities confirming their respective HNTE tax status for fiscal years 2008 to 2010. We cannot assure you that our subsidiaries will continue to maintain the qualifications of High and New Technology Enterprise after 2010. If our subsidiaries fail to maintain the qualification of High and New Technology Enterprise, their applicable EIT rate may increase to up to 25.0%, which could have a material adverse effect on our results of operations. We cannot assure you that we will be able to maintain our current effective tax rate in the future. In addition, Guangzhou Interactive was also qualified as a “Key Software Enterprise” in 2008 and enjoyed a preferential tax rate of 10.0% in 2008. NetEase Hangzhou was also recognized as a “Software Enterprise” in April 2007.</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Apart from its status as a “High and New Technology Enterprise,” our subsidiary, Boguan, enjoyed preferential tax status as a “Software Enterprise” and continues to be entitled to the preferential tax treatments currently enjoyed by it during the transition period so long as it qualifies as a “Software Enterprise.” Boguan paid its EIT at a rate of 12.5% for the first three quarters of 2008 on the understanding that when it was granted the HNTEs tax status in 2008, it would be entitled to a preferential tax rate of 7.5% based on the interpretation of the grandfather provisions under the new income tax law and the related implementation guidelines. This rate was calculated by applying the 50.0% reduction for Software Enterprises against the 15.0% preferred tax rate applicable to its HNTEs status. When Boguan was granted the HNTEs tax status in December 2008, the relevant local tax authority refunded the excess income tax paid which was computed on the basis of applying the preferred tax rate of 7.5%. Following the issuance of a new tax circular by the State Administration of Taxation in April 2009, the local tax authority notified Boguan in June 2009 that it was required to pay the income tax liability for 2008 at the rate of 12.5%. Accordingly, Boguan recorded an additional tax payable of RMB23.3 million in June 2009.</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Nevertheless, we believe the relevant tax rules are still not clear, and we will further discuss with the local tax authority to clarify whether Boguan is subject to EIT at a rate of 7.5% or 12.5%. See item 5.A. “Operating Results – Income Taxes.” The qualification as a “Software Enterprise” is subject to an annual assessment by the relevant government authorities in China. We cannot assure you that Boguan will continue to meet the qualifications or that the relevant government authority will not revoke its “Software Enterprise” status. Also, if there are further changes to the relevant income tax laws and their implementation, Boguan and our other subsidiaries may need to pay additional taxes which could have a material adverse effect on our results of operations.</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We may be treated as a resident enterprise for PRC tax purposes following the promulgation of the new income tax law on January 1, 2008, which may subject us to PRC income tax for our global income and withholding income tax for any dividends we pay to our non-PRC corporate shareholders on profits earned after January 1, 2008.</w:t>
      </w:r>
    </w:p>
    <w:p>
      <w:pPr>
        <w:spacing w:after="0" w:line="5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the new PRC income tax law, enterprises established outside of China whose “de facto management bodies” are located in China are considered “resident enterprises,” and will generally be subject to the uniform 25.0% enterprise income tax rate for their global income. Under the implementation rules of the new income tax law, “de facto management body” is defined as the body that has material and overall management and control over the business, personnel, accounts and properties of the enterprise.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Some of our management is currently located in the PRC. Accordingly, we may be considered a “resident enterprise” and may therefore be subject to the enterprise income tax of 25.0% of our global income and as a result, the amount of dividends we can pay to our shareholders could be reduced. We cannot confirm whether we will be considered a “resident enterprise” as the implementation rules are unclear at this time.</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the implementation rules of the new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A lower withholding income tax rate of 5.0% is applied if the “non-resident enterprises” are registered in Hong Kong or other jurisdictions that have a tax treaty arrangement with China. In addition, because we may be treated as a “resident enterprise,” any dividends paid to the corporate shareholders or shareholders appearing as corporate entities on the share registers of NetEase.com, Inc. which are considered “non-resident enterprises” may be subject to withholding income tax and the value of the investment in our shares or ADSs may be adversely and materially affected.</w:t>
      </w:r>
    </w:p>
    <w:p>
      <w:pPr>
        <w:spacing w:after="0" w:line="14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While we believe that we currently have adequate internal control procedures in place, we are still exposed to potential risks from legislation requiring companies to evaluate controls under Section 404 of the Sarbanes-Oxley Act of 2002.</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believe that we currently have adequate internal control procedures in place, we are still exposed to potential risks from legislation requiring companies to evaluate controls under Section 404 of the Sarbanes-Oxley Act of 2002. Under the supervision and with the participation of our management, we have evaluated our internal controls systems in order to allow management to report on, and our registered independent public accounting firm to attest to, our internal controls, as required by Section 404 of the Sarbanes-Oxley Act. We have performed the system and process evaluation and testing required in an effort to comply with the management certification and auditor attestation requirements of Section 404. As a result, we have incurred additional expenses and a diversion of management’s time. If we are not able to continue to meet the requirements of Section 404 in a timely manner or with adequate compliance, we might be subject to sanctions or investigation by regulatory authorities, such as the SEC or NASDAQ. Any such action could adversely affect our financial results and the market price of our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Both the continual accessibility of the NetEase websites and the performance and reliability of our technical infrastructure are critical to our reputation and the ability of the NetEase websites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appeal to users and advertisers. As the number of NetEase Web pages and traffic increase, we cannot assure you that we will be able to scale our systems proportionately. In addition, any system failures and electrical outages could materially and adversely impact our business.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and other events.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the performance and to prevent disruption of our services, we may have to make substantial investments to deploy additional servers.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Although we carry property insurance with low coverage limits, our coverage may not be adequate to compensate us for all losses, particularly with respect to loss of business and reputation, that may occur.</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fire, floods, droughts, typhoons, earthquakes and other natural disasters could result in material disruptions of our operations and adversely affect our revenues and profit. For example, a 8 Richter magnitude earthquake struck the City of Wenchuan in Sichuan province on May 12, 2008, and the PRC government declared May 19, 2008 to May 21, 2008 as national mourning days for the earthquake. In connection with the period of mourning, we and the other major online game operators in China suspended our game operations during those three days.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viruses may cause delays or interruptions on our systems and may reduce visitor traffic and harm our reputation.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Computer viruses may cause delays or other service interruptions on our systems. In addition, the inadvertent transmission of computer viruses could expose us to a material risk of loss or litigation and possible liability. We may be required to expend significant capital and other resources to protect the NetEase websites against the threat of such computer viruses and to alleviate any problems. Moreover, if a computer virus affecting our system is highly publicized, our reputation could be materially damaged and our visitor traffic may decrease.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hacking could damage our systems and reputation.</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Any compromise of security, such as computer hacking, could cause Internet usage to decline. “Hacking” involves efforts to gain unauthorized access to information or systems or to cause intentional malfunctions or loss or corruption of data, software, hardware or other computer equipment. Hackers, if successful, could misappropriate proprietary information or cause disruptions in our service. We may have to spend significant capital and human resources to rectify any damage to our system. In addition, we cannot assure you that any measures we take against computer hacking will be effective. A well publicized computer security breach could significantly damage our reputation and materially adversely affect our business. Although we have not experienced any hacking activity that allowed unauthorized access to any information stored on our network, caused any loss or corruption of data, software or other computer equipment, we have been subject to denial of service attacks that have caused portions of our network to be inaccessible for limited periods of time. In addition, we have had denial of service attacks and viruses or worms introduced into our network. Although we take a number of measures to ensure that our systems are secure and unaffected by security breaches, including ensuring that our servers are hosted at physically secure sites, limiting access to server ports, and using isolated intranets, passwords, and encryption technology, we cannot assure you that any measures we take against computer hacking will be effective.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pacing w:after="0" w:line="4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providers of bandwidth and server custody service fail to provide these services, our business could be materially curtailed.</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rely on affiliates of China Unicom (after its merger with China Netcom), China Telecom and CERNET to provide us with bandwidth and server custody service for Internet users to access the NetEase websites. If China Unicom, China Telecom, CERNET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held liable for information displayed on, retrieved from or linked to the NetEase websites.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content that is accessible on the NetEase websites such as content and materials posted by users on message boards, online communities, voting systems, e-mail or chat rooms that are offered on the NetEase websites.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3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displayed on, retrieved from or linked to the NetEase websites may subject us to claims of violating Chinese laws.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Violations or perceived violations of Chinese laws arising from information displayed on, retrieved from or linked to the NetEase websites could result in significant penalties, including a temporary or complete cessation of our business. China has enacted regulations governing Internet access and the distribution of news and other information. Furthermore, the Propaganda Department of the Chinese Communist Party has been given the responsibility to censor news published in China to ensure, supervise and control a particular political ideology. In addition, the PRC Ministry of Industries and Information Technology, or MII (prior to the PRC government restructuring in March 2008, its predecessor, the Ministry of Information Industry), has published implementing regulations that subject online information providers to potential liability for content included in their portals and the actions of subscribers and others using their systems, including liability for violation of PRC laws prohibiting the distribution of content deemed to be socially destabilizing. Furthermore, the MII may implement a requirement that users of blogs register under their real names. If such a regulation is implemented, our business may be negatively affected due to a decrease in the number of blog users.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Ministry of Public Security has from time to time prohibited the distribution over the Internet of information which it believes to be socially destabilizing. The Ministry of Public Security also has the authority to require any local Internet service provider to block any website maintained outside China at its sole discretion.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these pronouncements for content and materials posted or transmitted by users on message boards, virtual communities, chat rooms or e-mails. Furthermore, where the transmitted content clearly violates the laws of the PRC, we will be required to delete it. Moreover, if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the Chinese government takes any action to limit or eliminate the distribution of information through the NetEase websites, or to limit or regulate any current or future community functions available to users or otherwise block the NetEase websites, our business would be significantly harmed.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collected from our users may infringe on their privacy and may not be accurate.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collect demographic data, such as geographic location, income level and occupation, from our registered users in order to better understand users and their needs. We provide this data to online advertisers, on an anonymous aggregate basis, without disclosing personal details such as name and home address, to enable them to target specific demographic groups. If privacy concerns or regulatory restrictions prevent us from collecting this information or from selling demographically targeted advertising, the NetEase websites may be less attractive to advertisers.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addition, if privacy concerns or regulatory restrictions prevent us from collecting or using this data, the analysis of our target market and the developing trend of the subject online game may not be accurate. Further, we rely solely on the data provided by our users and do not verify the authenticity of such data. If the information that we collect is materially inaccurate or false, this may also adversely affect our implementation of the online game developing strategy.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rely on a combination of copyright, trademark and trade secrecy laws and contractual restrictions on disclosure to protect our intellectual property rights. Our efforts to protect our proprietary rights may not be effective to prevent unauthorized parties from copying or otherwise obtaining and using our technology. Monitoring unauthorized use of our services is difficult and costly, and we cannot be certain that the steps we take will effectively prevent misappropriation of our technology.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which could result in adverse U.S. federal income tax consequences to U.S. investors.</w:t>
      </w:r>
    </w:p>
    <w:p>
      <w:pPr>
        <w:spacing w:after="0" w:line="11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ordinary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 The same adverse U.S. federal income tax consequences will apply to U.S. investors who acquire our ordinary shares or ADSs during the current taxable year of 2009 or any subsequent taxable year if we are treated as a PFIC for that taxable year.</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75.0% or more of our gross income for such taxable year is passive income, or (b) 50.0% or more of the average percentage of our assets during such taxable year either produce passive income or are held for the production of passive income. For such purposes, if we directly or indirectly own 25.0% or more of the shares of another corporation, we generally will be treated as if we (a) held directly a proportionate share of the other corporation’s assets, and (b) received directly a proportionate share of the other corporation’s income.</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do not believe that we are currently a PFIC. However, because the PFIC determination is highly fact intensive and made at the end of each taxable year, there can be no assurance that we will not be a PFIC for the current or any future taxable year or that the IRS will not challenge our determination concerning our PFIC status. For further discussion of the adverse U.S. federal income tax consequences of our possible classification as a PFIC, see Item 10.E. “Additional Information – Taxation.”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subsidiaries are restricted from paying dividends to us, our primary internal source of funds would decrease.</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NetEase.com, Inc. is a holding company with no significant assets other than cash on hand and its equity interests in its directly and indirectly-owned subsidiaries, NetEase Beijing, NetEase Hong Kong, NetEase Interactive Entertainment Ltd., or NetEase Interactive, Boguan, Hong Kong NetEase Interactive, Youdao Information, Guangzhou Interactive, NetEase Hangzhou and Guangzhou NetEase Information Technology Limited, or Guangzhou Information. As a result, our primary internal source of funds is dividend payments from our subsidiaries. If these subsidiaries incur debt on their own behalf in the future, the instruments governing the debt may restrict their ability to pay dividends or make other distributions to us, which in turn would limit our ability to pay dividends on our ADSs. PRC tax authorities may also require us to amend our contractual arrangements with Guangzhou NetEase, Guangyitong Advertising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NetEase Beijing, Guangzhou Interactive, Boguan, Guangzhou Information and NetEase Hangzhou are also required to set aside a portion of their net income each year to fund certain reserve funds. These reserves are not distributable as cash dividends. Also see “— We may be treated as a resident enterprise for PRC tax purposes following the promulgation of the new income tax law on January 1, 2008, which may subject us to PRC income tax for our global income and withholding income tax for any dividends we pay to our non-PRC corporate shareholders on profits earned after January 1, 2008.” above for further details.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currently in a dispute concerning the purchase of certain property in Guangzhou and may not be able to resolve the dispute satisfactorily.</w:t>
      </w:r>
    </w:p>
    <w:p>
      <w:pPr>
        <w:spacing w:after="0" w:line="119"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We occupy a building in Guangzhou with floor space of approximately 20,000 square meters which is owned by a third party property developer, Haobang Industrial and Trading Company Limited, or Haobang. William Lei Ding, our Chief Executive Officer, director and major shareholder, entered into an agreement with Haobang to purchase the property and has paid a deposit, representing substantially all of the purchase price for the property, to Haobang. We requested Mr. Ding to initially purchase the property because we required the office space for our operations but Haobang was not able to issue proper title to it at the time. We also agreed with Mr. Ding that he would on-sell the property to our company at cost once the title and any other legal issues associated with the property were resolved. However, we believe that Haobang has breached its agreement with Mr. Ding by, among other reasons, not completing the registration for the transfer of the title of the property to Mr. Ding and creating a new mortgage on the property. We and Mr. Ding have been negotiating with Haobang regarding these breaches, however, these negotiations have been unsuccessful thus far. We and Mr. Ding have agreed that Mr. Ding would initiate legal action against Haobang at our cost to demand, among others, that it cause the mortgage to be discharged and complete the registration for the transfer of the title of the property to Mr. Ding.</w:t>
      </w:r>
    </w:p>
    <w:p>
      <w:pPr>
        <w:spacing w:after="0" w:line="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Ding is currently in arbitration proceedings with Haobang, and we deposited RMB82.0 million (US$12.0 million) with a court in Guangzhou as a security deposit in connection with the arbitration proceedings. The arbitration proceedings are currently in the preliminary stage. Mr. Ding has agreed to indemnify our company for any losses or expenses we may incur due to the absence of the title. Nevertheless, we are unsure as to how long the arbitration proceedings will last, how much cost will be incurred by us in connection with the arbitration proceedings, if the dispute can be resolved satisfactorily and to our benefit, or if we will ultimately be able to obtain title of the property. If we are unable to satisfactorily resolve the dispute, we may be required to vacate the property and possibly pay damages to Haobang, including for unpaid rent as noted below, which could materially and adversely affect our operations and our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From the date we commenced occupying the property in July 2006 until the present time, we have not paid any rent for the property. However, we can provide no assurance as to whether we will be subject to future demands for past or current rental payments. In addition, we have incurred expenses for various improvements to the property and installations in the aggregate amount of approximately RMB70.1 million (US$10.3 million) as of December 31, 2008. For further details, see Item 7.B. “Related Party Transactions – Purchase of Property in Guangzhou.”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9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20 years has significantly enhanced the protections afforded to foreign invested enterprises in China.</w:t>
      </w:r>
    </w:p>
    <w:p>
      <w:pPr>
        <w:spacing w:after="0" w:line="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3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of foreign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 in Renminbi exchange rates could adversely affect the value of our ADSs and any cash dividend declared on them.</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value of the Renminbi may fluctuate according to a number of factors. From 1994 to July 21, 2005, the conversion of Renminbi into foreign currencies, including US dollars, was based on exchange rates published by the People’s Bank of China, which was set daily based on the previous day’s interbank foreign exchange market rates in China and current exchange rates on the world financial markets. During that period, the official exchange rate for the conversion of Renminbi to US dollars was generally stable. However, on July 21, 2005, as a result of the Renminbi being re-pegged to a basket of currencies, the Renminbi was revalued and appreciated against the US dollar. On May 19, 2007, the People’s Bank of China announced a policy to expand the maximum daily floating range of the RMB trading prices against the U.S. dollar in the inter-bank spot foreign exchange market from 0.3% to 0.5%. With this increased floating range, the RMB’s value may appreciate or depreciate significantly against the U.S. dollar in the long term. However, under the current global financial and economic conditions, we are not able to predict with any certainty how the RMB will move vis-à-vis the U.S. dollar in the future. Our revenues are primarily denominated in Renminbi, and any fluctuation in the exchange rate of Renminbi may affect the value of, and dividends, if any, payable on, our ADSs in foreign currency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receive and use our revenues effectively.</w:t>
      </w:r>
    </w:p>
    <w:p>
      <w:pPr>
        <w:spacing w:after="0" w:line="96" w:lineRule="exact"/>
        <w:rPr>
          <w:sz w:val="20"/>
          <w:szCs w:val="20"/>
          <w:color w:val="auto"/>
        </w:rPr>
      </w:pPr>
    </w:p>
    <w:p>
      <w:pPr>
        <w:ind w:right="420" w:firstLine="456"/>
        <w:spacing w:after="0" w:line="254" w:lineRule="auto"/>
        <w:rPr>
          <w:sz w:val="20"/>
          <w:szCs w:val="20"/>
          <w:color w:val="auto"/>
        </w:rPr>
      </w:pPr>
      <w:r>
        <w:rPr>
          <w:rFonts w:ascii="Arial" w:cs="Arial" w:eastAsia="Arial" w:hAnsi="Arial"/>
          <w:sz w:val="18"/>
          <w:szCs w:val="18"/>
          <w:color w:val="auto"/>
        </w:rPr>
        <w:t>Because almost all of our future revenues may be in the form of Renminbi, any future restrictions on currency exchanges may limit our ability to use revenue generated in Renminbi to fund our business activities outside China or to make dividend payments in US dollars. Although the Chinese government introduced regulations in 1996 to allow greater convertibility of the Renminbi for current account transactions, significant restrictions still remain. Current account transactions include payments of dividends and trade and service-related foreign exchange transactions. As a result, our subsidiaries and affiliates in China may purchase foreign exchange for the payment of dividends to NetEase.com, Inc. and of license and content fees to offshore software and content partners.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contrast, capital account transactions, which include foreign direct investment and loans, must be approved by the State Administration for Foreign Exchange, or SAFE. We cannot be certain that the Chinese regulatory authorities will not impose more stringent restrictions on the convertibility of the Renminbi, especially with respect to foreign exchange transactions.</w:t>
      </w:r>
    </w:p>
    <w:p>
      <w:pPr>
        <w:spacing w:after="0" w:line="134" w:lineRule="exact"/>
        <w:rPr>
          <w:sz w:val="20"/>
          <w:szCs w:val="20"/>
          <w:color w:val="auto"/>
        </w:rPr>
      </w:pPr>
    </w:p>
    <w:p>
      <w:pPr>
        <w:spacing w:after="0" w:line="361" w:lineRule="auto"/>
        <w:rPr>
          <w:sz w:val="20"/>
          <w:szCs w:val="20"/>
          <w:color w:val="auto"/>
        </w:rPr>
      </w:pPr>
      <w:r>
        <w:rPr>
          <w:rFonts w:ascii="Arial" w:cs="Arial" w:eastAsia="Arial" w:hAnsi="Arial"/>
          <w:sz w:val="15"/>
          <w:szCs w:val="15"/>
          <w:b w:val="1"/>
          <w:bCs w:val="1"/>
          <w:color w:val="auto"/>
        </w:rPr>
        <w:t>All participants in our existing equity compensation plans who are PRC citizens may be required to register with SAFE. We may also face regulatory uncertainties that could restrict our ability to adopt additional equity compensation plans for our directors, employees and other parties under PRC law.</w:t>
      </w:r>
    </w:p>
    <w:p>
      <w:pPr>
        <w:ind w:right="20" w:firstLine="456"/>
        <w:spacing w:after="0" w:line="289" w:lineRule="auto"/>
        <w:rPr>
          <w:sz w:val="20"/>
          <w:szCs w:val="20"/>
          <w:color w:val="auto"/>
        </w:rPr>
      </w:pPr>
      <w:r>
        <w:rPr>
          <w:rFonts w:ascii="Arial" w:cs="Arial" w:eastAsia="Arial" w:hAnsi="Arial"/>
          <w:sz w:val="16"/>
          <w:szCs w:val="16"/>
          <w:color w:val="auto"/>
        </w:rPr>
        <w:t>On April 6, 2007, SAFE issued the “Operating Procedures for Administration of Domestic Individuals Participating in the Employee Stock Option Plan or Stock Option Plan of An Overseas Listed Company, Hui Zong Fa [2007] No. 78),” or Circular 78. It is not clear at this time whether Circular 78 covers only equity compensation plans which provide for the grant of stock options or any type of equity compensation plan, such as a plan which authorizes the grant of restricted share awards. For any plans which are so covered and are adopted by a non-PRC listed company such as our company after April 6, 2007, Circular 78 requires all participants who are PRC citizens to register with and obtain approvals from SAFE prior to their participation in the plan. In addition, Circular 78 also requires PRC citizens to register with SAFE and make the necessary applications and filings by July 5, 2007 if they participated in an overseas listed company’s covered equity compensation plan prior to April 6, 2007. We believe that the registration and approval requirements contemplated in Circular 78 will be burdensome and time consuming.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Circular 78 has not yet been made publicly available nor formally promulgated by SAFE, but it is our understanding that SAFE has begun enforcing its provisions. Accordingly, in compliance with Circular 78, we have registered with and obtained approvals from SAFE Beijing office for the participants of our equity compensation plan who are PRC citizens. Nonetheless, we cannot predict whether SAFE will continue to enforce this circular or adopt additional or different requirements with respect to equity compensation plans. Also, regardless of our measures taken in compliance with Circular 78, if it is determined that our equity compensation plans are subject to Circular 78, failure to comply with such provisions may subject us and the participants of our equity compensation plans who are PRC citizens to fines and legal sanctions and prevent us from being able to grant equity compensation to our personnel, which is currently a significant component of the compensation of many of our PRC employees. In that case, our business operations may be materially adversely affected.</w:t>
      </w:r>
    </w:p>
    <w:p>
      <w:pPr>
        <w:spacing w:after="0" w:line="9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new restrictions.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SAFE has adopted new regulations that require registration with, and approval from, Chinese government authorities in connection with direct or indirect offshore investment activities by Chinese residents.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now required to provide detailed information about its controlling shareholders and to certify whether it is directly or indirectly controlled by a domestic entity or resident.</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required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regulations may have a significant impact on our present and future structuring and investment. To comply with these regulations, our founder, Chief Executive Officer and director, William Lei Ding, has successfully filed with Guangdong Branch of SAFE information about NetEase.com, Inc. and other offshore companies in which he has direct or indirect shareholding. We intend to take all necessary measures for ensuring that all required applications and filings will be duly made and all other requirements will be met. We further intend to structure and execute our future offshore acquisitions in a manner consistent with the new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88" w:lineRule="exact"/>
        <w:rPr>
          <w:sz w:val="20"/>
          <w:szCs w:val="20"/>
          <w:color w:val="auto"/>
        </w:rPr>
      </w:pPr>
    </w:p>
    <w:p>
      <w:pPr>
        <w:ind w:right="3460"/>
        <w:spacing w:after="0" w:line="391" w:lineRule="auto"/>
        <w:rPr>
          <w:sz w:val="20"/>
          <w:szCs w:val="20"/>
          <w:color w:val="auto"/>
        </w:rPr>
      </w:pPr>
      <w:r>
        <w:rPr>
          <w:rFonts w:ascii="Arial" w:cs="Arial" w:eastAsia="Arial" w:hAnsi="Arial"/>
          <w:sz w:val="16"/>
          <w:szCs w:val="16"/>
          <w:b w:val="1"/>
          <w:bCs w:val="1"/>
          <w:color w:val="auto"/>
        </w:rPr>
        <w:t>RISKS RELATED TO THE TELECOMMUNICATIONS AND INTERNET INDUSTRIES IN CHINA Government regulation of the telecommunications and Internet industries may become more burdensome.</w:t>
      </w:r>
    </w:p>
    <w:p>
      <w:pPr>
        <w:spacing w:after="0" w:line="1"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Government regulation of the telecommunications and Internet industries is burdensome and may become more burdensome. New regulations could increase our costs of doing business and prevent us from efficiently delivering our services. These regulations may stop or slow down the expansion of our customer and user base and limit the access to the NetEase websites.</w:t>
      </w:r>
    </w:p>
    <w:p>
      <w:pPr>
        <w:spacing w:after="0" w:line="134"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Increased government regulation of the telecommunications and Internet industries in China may result in the Chinese government requiring us to obtain additional licenses or other governmental approvals to conduct our business which, if unattainable, may restrict our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telecommunications industry, including Internet content provider, or ICP, services and online games, is highly regulated by the Chinese government, the main relevant government authority being the MII. Prior to China’s entry into the World Trade Organization, or WTO, the Chinese government generally prohibited foreign investors from taking any equity ownership in or operating any telecommunications business. ICP services are classified as telecommunications value-added services and therefore fell within the scope of this prohibition. This prohibition was partially lifted following China’s entry into the WTO. Pursuant to the Administrative Rules for Foreign Investments in Telecommunications Enterprises promulgated by the State Council dated December 5, 2001, foreign investors are allowed to hold in the aggregate up to 50.0% of the total equity in any value-added telecommunications business in China. In addition, foreign and foreign invested enterprises are currently not able to apply for the required licenses for operating online games in China.</w:t>
      </w:r>
    </w:p>
    <w:p>
      <w:pPr>
        <w:spacing w:after="0" w:line="118"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To operate the NetEase websites in compliance with all the relevant ICP-related Chinese regulations, Guangzhou NetEase successfully obtained ICP licenses issued by the Guangdong Provincial Telecommunications Bureau in 2000. The ICP license of Guangzhou NetEase issued by the Guangzhou Provincial Telecommunications Bureau was replaced by the Value-Added Telecommunication Operating License issued by the MII in 2004. Guangzhou NetEase has also obtained the following licenses and registrations: a commercial website registration with the Beijing Municipal Administrative Bureau of Industry and Commerce, an audio-visual product operating license issued by Guangdong Culture Department to sell audio-visual products in Internet, an Internet publishing license issued by General Administration of Press and Publication, an Internet culture operating license for online game activities issued by the Ministry of Culture, or MOC, a license for online dissemination of drug-related information issued by Guangdong Food and Drug Administration, an internet news information service license issued by the State Council Information Office, a permit for the Network Transmission of Audiovisual Programs issued by the State Administration of Radio, Film and Television, a permit for the production of audiovisual programs issued by the Radio, Film and Television Administration of Guangdong and a license for the sale of security products for computer information systems issued by the Ministry of Public Security.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It has also received approvals for online dissemination of health information from the Department of Health of Guangdong Province and approvals for provision of online education-related information from the Department of Education of Guangdong Province. NetEase.com, Inc. relies exclusively on contractual arrangements with Guangzhou NetEase and its approvals to operate as an Internet content provider. In addition, to operate the online games licensed by Blizzard in compliance with all the relevant ICP-related Chinese regulations, Shanghai EaseNet obtained a Value-Added Telecommunications Business Operating License issued by Shanghai Provincial Telecommunications Bureau in October 2008 and an Internet Culture Operating License from MOC in October 2008. In addition, Shanghai EaseNet is currently in the process of obtaining an Internet Publishing License from the General Administration of Press and Publication, or GAPP.</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However, we cannot be certain that we or our affiliates will be granted any other additional license, permit or clearance we may need in the future. Moreover, we cannot be certain that any local or national ICP or telecommunications license requirements will not conflict with one another or that any given license will be deemed sufficient by the relevant governmental authorities for the provision of our services. The PRC began several years ago to regulate its Internet sector by making pronouncements or enacting regulations regarding the legality of foreign investment in the PRC Internet sector and the existence and enforcement of content restrictions on the Internet. We believe that our current ownership structure complies with all existing PRC laws, rules and regulations. There are, however, substantial uncertainties regarding the interpretation of current PRC Internet laws and regulations. The PRC government may issue new interpretations of the regulations regarding supervision of the Information industry from time to time. In July 2006, the MII issued a notice to strengthen management of foreign investment in and operation of value-added telecommunication services. The notice emphasizes that foreign investors who wish to engage in value-added telecommunication services must strictly follow the relevant rules and regulations on foreign investment in telecommunication sectors. The notice also prohibits domestic telecommunication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we are uncertain as to whether the Chinese government will reclassify our business as a media or retail company, due to our acceptance of fees for Internet advertising, online games and wireless value-added and other services as sources of revenues, or as a result of our current corporate structure. Such reclassification could subject us to penalties or fines or significant restrictions on our business. In addition, NetEase.com, Inc. may have difficulties enforcing its rights under the agreements with Guangzhou NetEase and Guangyitong Advertising if any of these parties breaches any of the agreements with them because NetEase.com, Inc. does not have approval from appropriate Chinese authorities to provide Internet content services, Internet advertising services or wireless value-added services. Future changes in Chinese government policies affecting the provision of information services, including the provision of online services, Internet access, e-commerce services and online advertising, may impose additional regulatory requirements on us or our service providers or otherwise harm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The PRC government has intensified its regulation of Internet cafés, which are currently one of the primary venues for our users to access the NetEase websites and our services, especially online games. Intensified government regulation of Internet cafés could restrict our ability to maintain or increase our revenues and expand our customer base.</w:t>
      </w:r>
    </w:p>
    <w:p>
      <w:pPr>
        <w:spacing w:after="0" w:line="5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April 2001, the PRC government began tightening its regulation and supervision of Internet cafés, at which many of our users access the NetEase websites and our services, especially online games. In particular, a large number of unlicensed Internet cafés have been closed. In addition, the PRC government has imposed higher capital and facility requirements for the establishment of Internet cafés. Furthermore, the PRC government’s policy, which encourages the development of a limited number of national and regional Internet cafe chains and discourages the establishment of independent Internet cafés, may slow down the growth of Internet cafés. In addition, in 2007 the State Administration of Industry and Commerce, one of the government agencies in charge of Internet cafe licensing, and other government agencies jointly issued a notice temporarily suspending the issuance of new Internet cafe licenses for a period of six months. So long as Internet cafés are one of the primary venues for our users to access the NetEase websites and our services, any reduction in the number, or any slowdown in the growth, of Internet cafés in China could limit our ability to maintain or increase our revenues and expand our customer base, thereby reducing our profitability and growth prospects.</w:t>
      </w:r>
    </w:p>
    <w:p>
      <w:pPr>
        <w:spacing w:after="0" w:line="11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Chinese government has taken steps to limit online game playing time for all minors. These and any other new restrictions may materially and adversely impact our business and results of operations.</w:t>
      </w:r>
    </w:p>
    <w:p>
      <w:pPr>
        <w:spacing w:after="0" w:line="4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As part of its anti-addiction online game policy, the Chinese government has taken several steps to discourage minors under the age of 18 from continuously playing online games once they exceed a set number of hours of continuous play. For example, in July 2005, the MOC and the MII jointly issued an opinion which requires online game operators to develop systems and software for identity certification, to implement anti-addiction modifications to game rules and to restrict players under eighteen years of age from playing certain games. Subsequently, in August 2005, GAPP proposed an online game anti-addiction system that would have reduced and eliminated experience points that a user can accumulate after three and five hours of consecutive playing, respectively. In March 2006, GAPP amended its proposal to require players to register with their real names and identity card numbers and to apply the anti-addiction system only to players under eighteen years of age. In April 2007, GAPP and several other government authorities jointly promulgated the </w:t>
      </w:r>
      <w:r>
        <w:rPr>
          <w:rFonts w:ascii="Arial" w:cs="Arial" w:eastAsia="Arial" w:hAnsi="Arial"/>
          <w:sz w:val="15"/>
          <w:szCs w:val="15"/>
          <w:i w:val="1"/>
          <w:iCs w:val="1"/>
          <w:color w:val="auto"/>
        </w:rPr>
        <w:t>Notice Concerning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Protection of Minors’ Physical and Mental Well-being and Implementation of Anti-addiction System on Online Games, </w:t>
      </w:r>
      <w:r>
        <w:rPr>
          <w:rFonts w:ascii="Arial" w:cs="Arial" w:eastAsia="Arial" w:hAnsi="Arial"/>
          <w:sz w:val="15"/>
          <w:szCs w:val="15"/>
          <w:color w:val="auto"/>
        </w:rPr>
        <w:t>or the Notice, which confirmed the real-name verification proposal and requires online game operators to develop and test their anti-addiction systems from April 2007 to July 2007, after which no online games can be registered or operated without an anti-addiction system in accordance with the Notice. Accordingly, we have implemented our anti-addiction system to comply with the Notice. Since its implementation, we have not experienced a significant negative impact on our business as a result of the Notice.</w:t>
      </w:r>
    </w:p>
    <w:p>
      <w:pPr>
        <w:spacing w:after="0" w:line="11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However, it has been reported in the Chinese media that the Chinese government has concerns about the social impact of online games, and it may impose additional regulatory restrictions on us, our customers or otherwise take actions that harm our business.</w:t>
      </w:r>
    </w:p>
    <w:p>
      <w:pPr>
        <w:spacing w:after="0" w:line="12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4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One of the features of our MMORPGs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The Chinese government has not enacted any laws regarding virtual assert property rights.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Chinese market for Internet content and services is intensely competitive and rapidly changing. Many companies offer competitive products or services including online games, Chinese language-based Web search, retrieval and navigation services, wireless value-added services and extensive Chinese language content, informational and community features and e-mail. In addition, as a consequence of China joining the WTO, the Chinese government has partially lifted restrictions on foreign-invested enterprises so that foreign investors may hold in the aggregate up to 50% of the total equity ownership in any value-added telecommunications business, including an Internet business, in China.</w:t>
      </w:r>
    </w:p>
    <w:p>
      <w:pPr>
        <w:spacing w:after="0" w:line="11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Currently, our competition comes from Chinese language-based Internet portal companies as well as US-based portal companies. Some of our current and potential competitors are much larger than we are, and currently offer, and could further develop or acquire, content and services that compete with the NetEase websites. We also face competition from online game developers and operators, Internet service providers, wireless value-added service providers, website operators and providers of Web browser software that incorporate search and retrieval features.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games revenues in the future. We believe that competition in the online advertising industry in China has intensified recently as new entrants have come into the market, such as Baidu, Tencent, Alibaba and other vertical Internet portals. Any of our present or future competitors may offer products and services that provide significant performance, price, creativity or other advantages over those offered by us and, therefore, achieve greater market acceptance than ours.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Any increased competition could reduce page views, make it difficult for us to attract and retain users, reduce or eliminate our market share, lower our profit margins and reduce our revenues.</w:t>
      </w: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e-commerce platforms and to provide online shopping mall and other e-commerce services in China through Guangzhou NetEase, a related party.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2001, we also began focusing on fee-based premium services and online entertainment services, including online games, wireless value-added services, premium e-mail services and other subscription-type services. We also developed our own proprietary Internet search engine, Youdao (formerly named Yodao), which was launched in December 2007 and is free of charge to users.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restructuring of our operations which is discussed below in Item 7.B. “Major Shareholders and Related Party Transactions—Related Party Transactions,” NetEase.com, Inc. was incorporated in the Cayman Islands on July 6, 1999, and it operates under the Cayman Islands Companies Law (2007 Revision). Our principal executive offices are located at 26/F, SP Tower D, Tsinghua Science Park Building 8, No.1 Zhongguancun East Road, Haidian District, Beijing, People’s Republic of China 100084. Our telephone number is (86-10) 8255-8163. Our agent for service of process in the United States is CT Corporation System, 111 Eighth Avenue, New York, New York 10011.</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principal capital expenditures for 2008 consisted mainly of office renovations, furniture and fixtures, computer equipment, software costs and construction in progress for a total of approximately RMB133.3 million (US$19.5 million). Our principal capital expenditures for 2006 and 2007 also consisted mainly of computer equipment as well as software for a total of RMB142.5 million and RMB71.5 million, respectively.</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of December 31, 2008, our subsidiary NetEase Hangzhou paid RMB27.8 million (US$4.1 million) for the purchase of the right to use approximately 56,000 square meters of land in Hangzhou. In June 2008, we received a subsidy from the local office of the PRC Ministry of Finance in Hangzhou of RMB15.0 million for the purchase of the land use right. We expect to spend a total of approximately RMB322.2 million (US$47.2 million) for the construction of buildings for a portion of our online game research and development team on such land. As of December 31, 2008, we had spent RMB111.7 million (US$16.4 million) for the construction work of the buildings. We expect to spend an additional RMB210.5 million (US$30.9 million) in 2009 and the following one to two years. Certain contracts have been signed for this expected spending and the related outstanding commitment as of December 31, 2008 was RMB94.6 million (US$13.9 million).</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made additional capital expenditures of approximately RMB23.0 million (US$3.4 million) from January 1, 2009 to March 31, 2009, principally for purchases of additional servers and computer equipment in order to accommodate the expected increase in usage of our online games and free email services and, to a lesser extent, for increased traffic on the NetEase websites, as well as for certain construction related to the Hangzhou property mentioned above. Our capital expenditure plans for server and computer equipment for the period from April 1, 2009 to December 31, 2009 have not yet been fixed, but we expect to spend an additional approximately RMB90.0 million (US$13.2 million), primarily for the same purposes. Certain contracts have been signed for this expected spending, and the related outstanding commitment as of December 31, 2008 was RMB4.2 million (US$0.6 million).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in connection with the licensing of certain online games by Blizzard to Shanghai EaseNet for operation in the PRC, on behalf of Shanghai EaseNet as licensee of the games, we have paid to Blizzard an aggregate of RMB232.0 million (US$34.0 million) as initial license fees as of May 31, 2009. Over the three-year terms of the licenses, Shanghai EaseNet is also required to pay royalties and consultancy fees to Blizzard for the games, and it also has a minimum marketing expenditure commitment. Shanghai EaseNet is also obligated to provide funds for hardware to operate the games. For further details, see Item 4.B. “Business Overview – Our Services – Game Licensing and Joint Venture with Blizzard.” Our capital expenditures in 2009 have been, and are expected to continue to be, funded by operating cash flows and our existing capital resources.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Through our subsidiaries and contracts with our affiliates Guangzhou NetEase, Guangyitong Advertising and Shanghai EaseNet and their respective shareholders, we operate a leading interactive online community in China and are a major provider of Chinese language content and services through our online games, Internet portal and wireless value-added services businesses.</w:t>
      </w:r>
    </w:p>
    <w:p>
      <w:pPr>
        <w:spacing w:after="0" w:line="14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generate revenues from fees we charge users of our online games and from selling advertisements on the NetEase websites, and to a much lesser extent, of wireless value-added and other fee-based premium services. Our basic service offerings on the NetEase websites are available without charge to our users.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leverage our portal traffic to generate revenues in online gaming and advertising services is a key component of our growth strategy.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 Services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online games business focuses on offering massively multi-player online games, more specifically role-playing games, to the Chinese market. These MMORPGs, as they are commonly known, are played over the Internet in “virtual worlds” that exist on networked game servers to which thousands of players simultaneously connect and interact. We develop and operate MMORPGs that are targeted at or localized to the Chinese market, and we strive to provide the highest quality game playing experience to our users. In addition, in August 2008 and April 2009 Blizzard agreed to license certain online games to Shanghai EaseNet for operation in the PRC, as discussed below under “Our Services – Game Licensing and Joint Venture with Blizzard”.</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pay for MMORPG playing time, players use our proprietary prepaid point system by purchasing physical point cards or virtual point cards online. We work with a wide range of distributors to distribute our point cards to gamers across China. Point card distribution channels include wholesalers, Internet cafés, software stores, supermarkets, bookstores and newspaper stands, as well as convenience stores mainly in Guangzhou Province, Shanghai and Beijing and in several second tier cities. In addition to this pay-to-play revenue model, the open beta version of our item-based online games, Tianxia II and Legend of Westward Journey, were launched in June and September 2008, respectively. We plan to launch other new games using the item-based revenue model in the second half of 2009.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developed an online casual game platform with various multi-player games.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NetEase websites provide Internet users with Chinese language online services centered around three core service categories—content, community and communication. Our wide range of content appeals to a broad audience group spanning all age groups. However, our services are particularly popular among younger audiences between the ages of 19 and 34. We are continually working to reinforce our leadership position through premium content and service development and innovation.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NetEase content channels provide news, information and online entertainment to the Chinese public. The websites consolidate and distribute content from more than one hundred international and domestic content providers. Content is distributed through various channels, including channels focusing on news, entertainment, sports, finance, information technology and automobiles.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NetEase websites provide a broad array of free and fee-based community and communication services, including e-mail, blogging, photos, instant messaging, matchmaking, alumni directories, clubs, e-cards, chat rooms and community forums.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In addition to the services described above, the NetEase websites provide other services to our users, including a website directory and web pages search service. Additionally, we developed our own proprietary Internet search engine, Youdao, which was launched in December 2007 and is free of charge to users.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Among the various free and fee-based services that we offer through our portal, we derived most of our revenue in 2008 from online games and advertising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Services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large and growing user base attracts well-known advertisers to our web sites. The various content channels and wide range of online services offered through our Internet portal forms an effective medium for our clients to conduct integrated marketing campaigns to the millions of loyal NetEase users. Our online advertising offerings include banner advertising, channel sponsorships, direct e-mail, interactive media-rich sites, sponsored special events, games, contests and other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Value-Added Services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offer a wide range of wireless value-added services, or WVAS, which allow users to receive news and other information, such as stock quotes and e-mails, download ringtones and logos for their mobile phones and participate in matchmaking communities and interactive games. Combining content from our Internet portal with mobile applications we have developed in-house, we can rapidly develop sophisticated WVAS.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conduct our business in China solely through our subsidiaries, NetEase Beijing, Youdao Information, Boguan, Guangzhou Interactive and NetEase Hangzhou.</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current Chinese regulations, there are restrictions on the percentage interest foreign or foreign-invested companies may have in Chinese companies providing value-added telecommunications services in China, which include the provision of Internet content, online games and wireless value-added services. In addition, the operation by foreign or foreign-invested companies of advertising businesses in China is subject to government approval.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order to comply with these restrictions and other Chinese rules and regulations, NetEase.com, Inc. and certain of its subsidiaries have entered into a series of contractual arrangements for the provision of such services with certain affiliated companies, namely Guangzhou NetEase and Guangyitong Advertising. Under the contracts, we provide our Internet and wireless value-added applications, services and technologies and advertising services to Guangzhou NetEase and Guangyitong Advertising and they operate the NetEase websites and the online advertising business. For more information on these agreements, see Item 7.B. “Major Shareholders and Related Party Transactions—Related Party Transactions.”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our agreements with Guangzhou NetEase, we have agreed to pay its operating costs. Under our agreements with Guangyitong Advertising, we have agreed to provide performance guarantees and guarantee loans for working capital purposes to the extent required by Guangyitong Advertising for its operations. Guangzhou NetEase and Guangyitong Advertising are each prohibited from incurring any debt without our prior approval.</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Guangzhou NetEase is 90% beneficially owned by our founder, Chief Executive Officer and major shareholder, William Lei Ding, and 10% owned by his brother, Bo Ding. Guangyitong Advertising is 80% owned by Guangzhou NetEase and 20% owned by Bo Ding. We do not have any direct ownership interest in Guangzhou NetEase or Guangyitong Advertising.</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result of our contractual arrangements with these two companies, we bear the risks of, and enjoy the rewards associated with, and therefore are the primary beneficiary of our investments in Guangzhou NetEase and Guangyitong Advertising, and we have begun to consolidate their results of operations in our historical consolidated financial statements commencing in the fiscal year 2004. See also Item 5 “Operating and Financial Review and Prospects.”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Any violations by Guangzhou NetEase or Guangyitong Advertising of our agreements with them could disrupt our operations, degrade our services or shut down our services. See Item 3.D. “Risk Factors” for a detailed discussion of the risks to NetEase.com, Inc. regarding its dependency on Guangzhou NetEase and Guangyitong Advertising.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August 2008 and April 2009, Blizzard agreed to license certain online games to Shanghai EaseNet for operation in the PRC. Shanghai EaseNet is a PRC company owned by William Lei Ding, our Chief Executive Officer, director and major shareholder and has contractual arrangement with the joint venture established between, and owned equally by, Blizzard and us, and with us. The joint venture was established concurrently with the licensing of the games in August 2008 and will provide technical services to Shanghai EaseNet.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diagram shows the group structure of our subsidiaries and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128905</wp:posOffset>
            </wp:positionV>
            <wp:extent cx="6089015" cy="5377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9015" cy="537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affiliated variable interest entities shown in the box above are controlled by NetEase.com, Inc. through contractual arrangements between it and its subsidiaries, on the one hand, and the affiliated variable interest entities and their shareholders, on the other hand.</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established two intermediate holding companies, NetEase Hong Kong and Hong Kong NetEase Interactive. In June 2008, we established Guangzhou NetEase Information Technology Limited, or Guangzhou Information. In April 2009, Hangzhou Leihuo Network Co., Ltd., or Hangzhou Leihuo was established. The shareholders of Hangzhou Leihuo are Chinese citizens who are employees of NetEase Hangzhou.</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27.0% equity interests in Youdao Information and Beijing NetEase Youdao Computer System Co., Ltd. (formerly named Beijing NetEase Yodao Computer System Co., Ltd.), or Youdao Computer, are Chinese citizens who are employees of Youdao Information. Youdao Computer obtained an ICP license in June 2008, and it hosts the website of www.youdao.com and owns and operates our own proprietary internet search engine, Youdao.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Massively Multi-player Online Role-Playing Games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launched our first MMORPG, Westward Journey Online, in December 2001 and began charging users for playing time beginning in January 2002. Subsequently, we launched Westward Journey Online II in August 2002 and our second in-house developed MMORPG, Fantasy Westward Journey, in January 2004. For the month of December 2008, peak concurrent users for this game reached over 1.8 million.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we developed a 3D item-based MMORPG named New Fly For Fun using certain graphics licensed from a South Korean company, and its open beta testing version was launched in October 2008. We commercially launched our first 2.5D game, Datang, in July 2006, and Westward Journey Online III, an enhanced version of our popular Westward Journey game series, in September 2007. The open beta testing versions of Tianxia II and Legend of Westward Journey, our item-based games, were launched in June and September 2008, respectively. We also launched an expansion pack of Tianxia II in September 2008, and both the number of online players and consumption level of in-game items have grown steadily since the commencement of its open beta testing in June 2008. In addition, we are in the process of developing a new version of Datang, Datang II (Heroes of Tang Dynasty), and several item-based games, but we cannot predict if or when such new versions will be commercially launched.</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month ended December 31, 2008, our time-based online games in the aggregate had 864,419 average concurrent users, or ACU. The following table sets forth the average number of concurrent users for each of our MMORPG game titles for the periods indicated: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ACU for the month ended</w:t>
            </w:r>
          </w:p>
        </w:tc>
      </w:tr>
      <w:tr>
        <w:trPr>
          <w:trHeight w:val="161"/>
        </w:trPr>
        <w:tc>
          <w:tcPr>
            <w:tcW w:w="36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Fantasy Westward Journey</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453,295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546,135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617,293</w:t>
            </w: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Westward Journey Online II</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174,209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153,748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198,925</w:t>
            </w:r>
          </w:p>
        </w:tc>
        <w:tc>
          <w:tcPr>
            <w:tcW w:w="2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Datang</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20" w:type="dxa"/>
            <w:vAlign w:val="bottom"/>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Westward Journey Online III</w:t>
            </w:r>
          </w:p>
        </w:tc>
        <w:tc>
          <w:tcPr>
            <w:tcW w:w="458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49,598</w:t>
            </w:r>
          </w:p>
        </w:tc>
        <w:tc>
          <w:tcPr>
            <w:tcW w:w="640" w:type="dxa"/>
            <w:vAlign w:val="bottom"/>
          </w:tcPr>
          <w:p>
            <w:pPr>
              <w:jc w:val="right"/>
              <w:spacing w:after="0"/>
              <w:rPr>
                <w:sz w:val="20"/>
                <w:szCs w:val="20"/>
                <w:color w:val="auto"/>
              </w:rPr>
            </w:pPr>
            <w:r>
              <w:rPr>
                <w:rFonts w:ascii="Arial" w:cs="Arial" w:eastAsia="Arial" w:hAnsi="Arial"/>
                <w:sz w:val="18"/>
                <w:szCs w:val="18"/>
                <w:color w:val="auto"/>
              </w:rPr>
              <w:t>43,770</w:t>
            </w:r>
          </w:p>
        </w:tc>
        <w:tc>
          <w:tcPr>
            <w:tcW w:w="20" w:type="dxa"/>
            <w:vAlign w:val="bottom"/>
          </w:tcPr>
          <w:p>
            <w:pPr>
              <w:spacing w:after="0"/>
              <w:rPr>
                <w:sz w:val="19"/>
                <w:szCs w:val="19"/>
                <w:color w:val="auto"/>
              </w:rPr>
            </w:pPr>
          </w:p>
        </w:tc>
      </w:tr>
      <w:tr>
        <w:trPr>
          <w:trHeight w:val="356"/>
        </w:trPr>
        <w:tc>
          <w:tcPr>
            <w:tcW w:w="3600" w:type="dxa"/>
            <w:vAlign w:val="bottom"/>
          </w:tcPr>
          <w:p>
            <w:pPr>
              <w:spacing w:after="0"/>
              <w:rPr>
                <w:sz w:val="24"/>
                <w:szCs w:val="24"/>
                <w:color w:val="auto"/>
              </w:rPr>
            </w:pPr>
          </w:p>
        </w:tc>
        <w:tc>
          <w:tcPr>
            <w:tcW w:w="4580" w:type="dxa"/>
            <w:vAlign w:val="bottom"/>
          </w:tcPr>
          <w:p>
            <w:pPr>
              <w:jc w:val="right"/>
              <w:ind w:right="2752"/>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MMORPG titles can be accessed from any location with an Internet connection by registered users of the NetEase websites. Users may enter our network with a password and a user-ID, after downloading our installation software or purchasing such software on a CD-ROM. Players of these games select a specific character to begin play. Over the course of play, these characters build up experience and enhanced game capabilities, wealth, weapons and other possessions, all of which may be carried over into subsequent gaming sessions. Players develop their characters according to choices they make within the construct of the game. Players also interact with computer operated characters as well as with other players that are playing on the same network server. Players are able to communicate with each other during the game through instant messaging or chatting features, allowing them to coordinate their activities with other players to form groups and achieve collective objectives.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Game play is monitored by game masters, who appear as game characters within the game world and provide assistance and guidance to players, as well as policing behavior of players in the game world to maintain an atmosphere of fun and fair play.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Game content and game-play features are expanded through the development of expansion packs, which are released periodically for each game and which contribute to the ongoing popularity of the game.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 Games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2005, we launched an online casual game platform which has various multi-player games such as billiards, card games and mahjong. Casual games are easier to play than MMORPGs and can be played to a conclusion within a short period of time. The basic versions of such games are available free-of-charge, and we sell virtual game enhancements, such as options for changing the appearance of the game-play or advanced tools, which players can use in the game, utilizing our prepaid point system. As of December 31, 2008, we had 31 casual games, including three advanced casual games that offer a greater variety to users (collectively, excluding the three advanced casual games, referred to as Popo Game).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Service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believe that providing strong, dependable customer support is a key component to success in the online games business. Our customer service center provides 24 hour-a-day customer service and technical support and can be contacted via telephone or e-mail. As of December 31, 2008, our company employed approximately 435 personnel in our call center as customer service specialists for our online games as well as for our other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User Fees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Users of Fantasy Westward Journey, Westward Journey Online II, Datang and Westward Journey Online III pay fees according to the amount of time they play the games, which is currently RMB0.40 (US$0.06) per hour for each game. For our recently launched item-based games, Tianxia II and Legend of Westward Journey, we charge users a separate fee for each virtual item purchased within the games.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introduction of our online games, we developed a prepaid point card to facilitate payment of fees for our online game services and, to a lesser extent, our other fee-based value-added services. Users can buy prepaid point cards at a variety of locations in China, including Internet cafés, convenience stores, software stores, bookstores and newspaper stands. Electronic point cards can also be purchased through credit cards or online e-sales systems through which players can directly credit their accounts at Internet cafés or computer stores. Each prepaid card contains an account number and a password. The points represented by these cards can then be transferred into users’ individual accounts on the NetEase websites and used to pay for our online services, primarily playing time for online games. We also utilize our point cards for the payment of virtual items as we launch item-based games for which playing time is free and players may purchase various virtual items to enhance their game-playing experience.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our online games accounted for 84.6%, 84.4% and 85.2% of total net revenues in 2006, 2007 and 2008,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 Licensing and Joint Venture with Blizzard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2008, Blizzard agreed to license to Shanghai EaseNet on an exclusive basis in the PRC three personal computer strategy games: StarCraft II,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sequel to Blizzard’s highly popular space-themed game, which is currently in development; Warcraft III: Reign of Chaos, a fantasy-themed game; and Warcraft</w:t>
      </w:r>
    </w:p>
    <w:p>
      <w:pPr>
        <w:spacing w:after="0" w:line="32" w:lineRule="exact"/>
        <w:rPr>
          <w:sz w:val="20"/>
          <w:szCs w:val="20"/>
          <w:color w:val="auto"/>
        </w:rPr>
      </w:pPr>
    </w:p>
    <w:p>
      <w:pPr>
        <w:ind w:right="80" w:firstLine="8"/>
        <w:spacing w:after="0" w:line="290" w:lineRule="auto"/>
        <w:tabs>
          <w:tab w:leader="none" w:pos="2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Frozen Throne, an expansion pack to Warcraft III: Reign of Chaos. Blizzard will also license on an exclusive basis its Battle.net platform which enables multiplayer interaction within these games and other online services. The term of the license will be three years, with an additional one year extension upon agreement of the parties, commencing from the commercial release of StarCraft II in the PRC. StarCraft II has not been launched yet. Blizzard is a leading developer and publisher of online games and a subsidiary of Activision Blizzard, Inc., which is a leading online game, personal computer, console and hand-held game publisher based in the U.S. Shanghai EaseNet is a PRC company owned by William Lei Ding, our Chief Executive Officer, director and major shareholder, and has contractual arrangements with the joint venture established between Blizzard and us which is discussed below, and with us.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behalf of Shanghai EaseNet as licensee of the above mentioned games, we have paid to Blizzard RMB27.5 million (US$4.0 million) as an initial license fee as of December 31, 2008, with an additional RMB40.9 million (US$6.0 million) to be paid as an initial license fee upon the commencement of open beta testing and commercial release in the PRC of a localized version of Blizzard’s Battle.net platform. In addition, Shanghai EaseNet has committed to pay royalties and consultancy fees to Blizzard and a minimum marketing expenditure and hardware support for the above-mentioned games in the aggregate of at least RMB592.8 million (US$86.9 million) over the three-year term of the license.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Blizzard has the right to terminate the license of the foregoing games under certain circumstances.</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Concurrently with the licensing of the foregoing games, we entered into arrangements to establish a joint venture with Blizzard. The joint venture will provide technical services to Shanghai EaseNet in return for a fee. Net profits of the joint venture will be shared equally between Blizzard and us, after the deduction of, among others, various fees and expenses payable to Blizzard and 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in April 2009 Blizzard agreed to license on an exclusive basis in the PRC World of Warcraft, one of the most popular MMORPGs worldwide, to Shanghai EaseNet, following the expiration of its current license agreement with The9 in June 2009. The term of the license will be three years, with an additional one year extension upon agreement of the parties, commencing from the commercial release of localized World of Warcraft in the PRC. World of Warcraft ceased operation during the transition period from the prior licensee and operator of the game in the PRC, The9, to Shanghai EaseNet.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Portal</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Internet portal business, which is conducted through the NetEase websites, offers Chinese Internet users a network of Chinese language-based online content channels, community and communication services, including e-mail, instant messaging, and blogging. We also offer other Web-based applications and services, including a full text Chinese language search engine and a Web directory, to enhance their Internet experience. Our Internet services are all designed with user friendly interfaces and easy to understand instructions.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website content and services attract a large number of visitors who generate page views, which form the audience for us to provide advertising services for advertisers on our websites.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Users</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NetEase websites have registered and unregistered users. Any user may visit the NetEase websites without registering. Both registered and unregistered users generate page views when they visit our website. Only registered users can use our personalized services such as our free e-mail system and instant messaging, and our fee-based premium services such as our premium e-mail and dating services. Additionally, when registering an account, NetEase users are asked to provide us with demographic and preference information that better allow us to identify and target audiences with relevant online advertising.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w:t>
      </w:r>
    </w:p>
    <w:p>
      <w:pPr>
        <w:spacing w:after="0" w:line="9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main homepage of the NetEase websites, www.163.com, provides a destination for Chinese Internet users to identify and access resources, services, content and information on the Internet. The NetEase websites aggregate, organize and deliver information to meet the needs of Internet users in China. Our media channels provide users with an efficient and easy way to explore and utilize a wealth of information and content organized around a variety of topics.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NetEase websites currently include various channels focusing on news, entertainment, sports, finance, information technology and automobiles.</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content distribution platform enables the NetEase websites to offer in-depth local content as well as a variety of locally relevant regional and international content. We do not produce our own content for the NetEase websites, but rather obtain content from our content partners. Our content partners display their content on one or more of the NetEase websites and media channels free of charge or in exchange for a share of revenue, a licensing fee, online advertising, access to original content produced by the NetEase user community or a combination of these arrangements. We distribute this content through our content distribution system to Guangzhou NetEase, which determines the appropriate content to publish on the NetEase websites and to distribute to users of our wireless value-added services. Our content alliances are generally non-exclusive.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believe that the breadth and relevance of our content offerings increases the number of visits our users make to the NetEase websites and the amount of time they spend on these sites. We adopt a significant amount of user-generated content from the community forums on the NetEase websites. We believe that this user-generated content is highly effective in maintaining user interest and ensuring repeat visits to the NetEase websites.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NetEase websites have established a large online community member base as a result of our leading online community technology. We launched what we believe to be one of the first online communities in China in December 1998. Users can register with us online to interact with other registered community members. We believe that as users become more involved with our online community, they will return to the NetEase websites frequently.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NetEase users can interact through a variety of community services. They include:</w:t>
      </w:r>
    </w:p>
    <w:p>
      <w:pPr>
        <w:spacing w:after="0" w:line="90" w:lineRule="exact"/>
        <w:rPr>
          <w:sz w:val="20"/>
          <w:szCs w:val="20"/>
          <w:color w:val="auto"/>
        </w:rPr>
      </w:pPr>
    </w:p>
    <w:p>
      <w:pPr>
        <w:ind w:left="900" w:right="100" w:hanging="325"/>
        <w:spacing w:after="0" w:line="289"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E-mail. </w:t>
      </w:r>
      <w:r>
        <w:rPr>
          <w:rFonts w:ascii="Arial" w:cs="Arial" w:eastAsia="Arial" w:hAnsi="Arial"/>
          <w:sz w:val="16"/>
          <w:szCs w:val="16"/>
          <w:color w:val="auto"/>
        </w:rPr>
        <w:t>We provide registered users with free and fee-based premium Web-based e-mail services which support both the Chinese and English</w:t>
      </w:r>
      <w:r>
        <w:rPr>
          <w:rFonts w:ascii="Arial" w:cs="Arial" w:eastAsia="Arial" w:hAnsi="Arial"/>
          <w:sz w:val="16"/>
          <w:szCs w:val="16"/>
          <w:i w:val="1"/>
          <w:iCs w:val="1"/>
          <w:color w:val="auto"/>
        </w:rPr>
        <w:t xml:space="preserve"> </w:t>
      </w:r>
      <w:r>
        <w:rPr>
          <w:rFonts w:ascii="Arial" w:cs="Arial" w:eastAsia="Arial" w:hAnsi="Arial"/>
          <w:sz w:val="16"/>
          <w:szCs w:val="16"/>
          <w:color w:val="auto"/>
        </w:rPr>
        <w:t>languages. Registered users can access and send e-mail through their Web browsers or through the POP3 and SMTP standards, which allow users to handle e-mails on their own e-mail applications without opening their browsers. The free Web-based e-mail service also includes free SPAM filters and anti-virus protection as well as the convenience of an address book to maintain user contact lists online. As of December 31, 2008, we had approximately 290 million registered free email users. We also offer value-added e-mail services for individuals, known as VIP, which provide fee-paying subscribers with the latest anti-virus and anti-SPAM filtering capabilities. The VIP e-mail service also includes enhanced security features as well as several convenient online and offline payment methods and 24-hour customer support. As of December 31, 2008, we had approximately 593,000 active VIP e-mail subscribers.</w:t>
      </w:r>
    </w:p>
    <w:p>
      <w:pPr>
        <w:spacing w:after="0" w:line="37" w:lineRule="exact"/>
        <w:rPr>
          <w:rFonts w:ascii="Arial" w:cs="Arial" w:eastAsia="Arial" w:hAnsi="Arial"/>
          <w:sz w:val="16"/>
          <w:szCs w:val="16"/>
          <w:color w:val="auto"/>
        </w:rPr>
      </w:pPr>
    </w:p>
    <w:p>
      <w:pPr>
        <w:ind w:left="900" w:right="30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Online Community Forums. </w:t>
      </w:r>
      <w:r>
        <w:rPr>
          <w:rFonts w:ascii="Arial" w:cs="Arial" w:eastAsia="Arial" w:hAnsi="Arial"/>
          <w:sz w:val="16"/>
          <w:szCs w:val="16"/>
          <w:color w:val="auto"/>
        </w:rPr>
        <w:t>We offer NetEase registered community members a variety of community forums where they can post messages and</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for viewing by other registered community members and other users. The NetEase online communities are hosted by volunteers, who are chosen by us based on their contributions to the communities. The NetEase community volunteers monitor our community forums and select appropriate articles for posting. In addition, these forums are also monitored by NetEase customer service personnel.</w:t>
      </w:r>
    </w:p>
    <w:p>
      <w:pPr>
        <w:spacing w:after="0" w:line="3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Instant Messaging. </w:t>
      </w:r>
      <w:r>
        <w:rPr>
          <w:rFonts w:ascii="Arial" w:cs="Arial" w:eastAsia="Arial" w:hAnsi="Arial"/>
          <w:sz w:val="16"/>
          <w:szCs w:val="16"/>
          <w:color w:val="auto"/>
        </w:rPr>
        <w:t>We offer NetEase registered users a communications platform to notify their online friends and other users with similar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they are online and to send and receive text messages seen by both parties nearly instantaneously, allowing NetEase registered users to participate in real-time dialogues. Users can access this service by downloading free software from the NetEase websites. During December 2008, we had approximately 73,000 peak concurrent users of our instant messaging service.</w:t>
      </w:r>
    </w:p>
    <w:p>
      <w:pPr>
        <w:spacing w:after="0" w:line="31"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Matchmaking and Others</w:t>
      </w:r>
      <w:r>
        <w:rPr>
          <w:rFonts w:ascii="Arial" w:cs="Arial" w:eastAsia="Arial" w:hAnsi="Arial"/>
          <w:sz w:val="18"/>
          <w:szCs w:val="18"/>
          <w:color w:val="auto"/>
        </w:rPr>
        <w:t>. We offer a large number of other community services including online matchmaking services, a dedicated dating center,</w:t>
      </w:r>
      <w:r>
        <w:rPr>
          <w:rFonts w:ascii="Arial" w:cs="Arial" w:eastAsia="Arial" w:hAnsi="Arial"/>
          <w:sz w:val="18"/>
          <w:szCs w:val="18"/>
          <w:i w:val="1"/>
          <w:iCs w:val="1"/>
          <w:color w:val="auto"/>
        </w:rPr>
        <w:t xml:space="preserve"> </w:t>
      </w:r>
      <w:r>
        <w:rPr>
          <w:rFonts w:ascii="Arial" w:cs="Arial" w:eastAsia="Arial" w:hAnsi="Arial"/>
          <w:sz w:val="18"/>
          <w:szCs w:val="18"/>
          <w:color w:val="auto"/>
        </w:rPr>
        <w:t>online greeting cards, chat rooms, alumni directories, photo album sharing, diary and blogging. Several of these services have significant subscriber bases. For example, our online matchmaking service had approximately 9.4 million accumulated registered accounts and approximately 45,000 subscribers as of December 31,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services described above, the NetEase websites provide other services to our users including web search, blog search, image search, news search, online dictionary, desktop dictionary, toolbar and RSS reader, which automatically retrieves syndicated web contents and customized set of search results. Our web search service was powered by the Google search engine until July 2007. Subsequently, our web search service was powered by our own proprietary Internet search engine, Youdao, which was officially launched in December 2007. The domain name of Youdao, www.youdao.com, is owned by Youdao Computer.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 on the Websites</w:t>
      </w:r>
    </w:p>
    <w:p>
      <w:pPr>
        <w:spacing w:after="0" w:line="90"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We provide advertising services for advertisers on our websites, utilizing many advertising formats and techniques. These include sponsorships of our channels, advertisements such as animated and interactive banners, floating buttons, text-links and other formats throughout our websites, advertising through targeted e-mail campaigns, interactive media-rich sites, and sponsored special events that integrate live events with online promotion and other media.</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Furthermore, we perform analyses of our registered users’ habits and preferences on a frequent basis and have used that information to tailor our advertising services. For example, we can deliver direct marketing advertisements via e-mail to users who fit within certain criteria based on their user profile. By developing user profiles and user behavior analyses, we intend to increase our ability to target specific user groups and thereby identify users who are attractive to online advertisers.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Revenues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Revenue generated by our Internet portal business consists mainly of fees we receive from our fee-based premium services and revenue earned from the sale of advertising space on the NetEase websites.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we price the services associated with our Internet portal as follows: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5580" w:type="dxa"/>
            <w:vAlign w:val="bottom"/>
          </w:tcPr>
          <w:p>
            <w:pPr>
              <w:spacing w:after="0"/>
              <w:rPr>
                <w:sz w:val="20"/>
                <w:szCs w:val="20"/>
                <w:color w:val="auto"/>
              </w:rPr>
            </w:pPr>
            <w:r>
              <w:rPr>
                <w:rFonts w:ascii="Arial" w:cs="Arial" w:eastAsia="Arial" w:hAnsi="Arial"/>
                <w:sz w:val="14"/>
                <w:szCs w:val="14"/>
                <w:b w:val="1"/>
                <w:bCs w:val="1"/>
                <w:color w:val="auto"/>
              </w:rPr>
              <w:t>Service</w:t>
            </w:r>
          </w:p>
        </w:tc>
        <w:tc>
          <w:tcPr>
            <w:tcW w:w="5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Pricing</w:t>
            </w:r>
          </w:p>
        </w:tc>
      </w:tr>
      <w:tr>
        <w:trPr>
          <w:trHeight w:val="216"/>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 Services, including:</w:t>
            </w:r>
          </w:p>
        </w:tc>
        <w:tc>
          <w:tcPr>
            <w:tcW w:w="2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Free of charge</w:t>
            </w:r>
          </w:p>
        </w:tc>
      </w:tr>
    </w:tbl>
    <w:p>
      <w:pPr>
        <w:spacing w:after="0" w:line="93" w:lineRule="exact"/>
        <w:rPr>
          <w:sz w:val="20"/>
          <w:szCs w:val="20"/>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content services (such as news, local information, finance and weather);</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chat rooms;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basic e-mail services;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basic personal ads;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basic matchmaking;</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basic alumni clubs;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photo album;</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diary;</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blogging;</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clubs;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dictionary;</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Electronic greeting cards;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instant messaging PC to PC;</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 directories;</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 searching (Youdao); and</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shopping mall.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Fee-Based Premium Services, including:</w:t>
      </w:r>
    </w:p>
    <w:p>
      <w:pPr>
        <w:spacing w:after="0" w:line="90" w:lineRule="exact"/>
        <w:rPr>
          <w:sz w:val="20"/>
          <w:szCs w:val="20"/>
          <w:color w:val="auto"/>
        </w:rPr>
      </w:pPr>
    </w:p>
    <w:p>
      <w:pPr>
        <w:ind w:left="440" w:hanging="20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premium e-mail services;</w:t>
      </w:r>
    </w:p>
    <w:p>
      <w:pPr>
        <w:spacing w:after="0" w:line="130" w:lineRule="exact"/>
        <w:rPr>
          <w:rFonts w:ascii="Arial" w:cs="Arial" w:eastAsia="Arial" w:hAnsi="Arial"/>
          <w:sz w:val="18"/>
          <w:szCs w:val="18"/>
          <w:color w:val="auto"/>
        </w:rPr>
      </w:pPr>
    </w:p>
    <w:p>
      <w:pPr>
        <w:ind w:left="440" w:hanging="202"/>
        <w:spacing w:after="0"/>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premium matchmaking and dating services; and</w:t>
      </w:r>
    </w:p>
    <w:p>
      <w:pPr>
        <w:spacing w:after="0" w:line="151" w:lineRule="exact"/>
        <w:rPr>
          <w:rFonts w:ascii="Arial" w:cs="Arial" w:eastAsia="Arial" w:hAnsi="Arial"/>
          <w:sz w:val="15"/>
          <w:szCs w:val="15"/>
          <w:color w:val="auto"/>
        </w:rPr>
      </w:pPr>
    </w:p>
    <w:p>
      <w:pPr>
        <w:ind w:left="440" w:hanging="20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premium alumni clubs.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Advertising Services, including:</w:t>
      </w:r>
    </w:p>
    <w:p>
      <w:pPr>
        <w:spacing w:after="0" w:line="117" w:lineRule="exact"/>
        <w:rPr>
          <w:sz w:val="20"/>
          <w:szCs w:val="20"/>
          <w:color w:val="auto"/>
        </w:rPr>
      </w:pPr>
    </w:p>
    <w:p>
      <w:pPr>
        <w:ind w:left="440" w:hanging="20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channel sponsorship;</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banner advertising;</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e-mail; and</w:t>
      </w:r>
    </w:p>
    <w:p>
      <w:pPr>
        <w:spacing w:after="0" w:line="117" w:lineRule="exact"/>
        <w:rPr>
          <w:rFonts w:ascii="Arial" w:cs="Arial" w:eastAsia="Arial" w:hAnsi="Arial"/>
          <w:sz w:val="18"/>
          <w:szCs w:val="18"/>
          <w:color w:val="auto"/>
        </w:rPr>
      </w:pPr>
    </w:p>
    <w:p>
      <w:pPr>
        <w:ind w:left="440" w:hanging="20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sponsored special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Monthly subscription basis (ranges from RMB6.0 (US$0.9) to RMB60.0 (US$8.8)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-2131060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440"/>
        <w:spacing w:after="0"/>
        <w:rPr>
          <w:sz w:val="20"/>
          <w:szCs w:val="20"/>
          <w:color w:val="auto"/>
        </w:rPr>
      </w:pPr>
      <w:r>
        <w:rPr>
          <w:rFonts w:ascii="Arial" w:cs="Arial" w:eastAsia="Arial" w:hAnsi="Arial"/>
          <w:sz w:val="15"/>
          <w:szCs w:val="15"/>
          <w:color w:val="auto"/>
        </w:rPr>
        <w:t>Varies depending on service (see below).</w:t>
      </w:r>
    </w:p>
    <w:p>
      <w:pPr>
        <w:spacing w:after="0" w:line="1502" w:lineRule="exact"/>
        <w:rPr>
          <w:sz w:val="20"/>
          <w:szCs w:val="20"/>
          <w:color w:val="auto"/>
        </w:rPr>
      </w:pPr>
    </w:p>
    <w:p>
      <w:pPr>
        <w:sectPr>
          <w:pgSz w:w="11900" w:h="16838" w:orient="portrait"/>
          <w:cols w:equalWidth="0" w:num="2">
            <w:col w:w="5320" w:space="720"/>
            <w:col w:w="5320"/>
          </w:cols>
          <w:pgMar w:left="240" w:top="459" w:right="299" w:bottom="1440" w:gutter="0" w:footer="0" w:header="0"/>
        </w:sectPr>
      </w:pPr>
    </w:p>
    <w:p>
      <w:pPr>
        <w:jc w:val="center"/>
        <w:ind w:right="100"/>
        <w:spacing w:after="0"/>
        <w:rPr>
          <w:sz w:val="20"/>
          <w:szCs w:val="20"/>
          <w:color w:val="auto"/>
        </w:rPr>
      </w:pPr>
      <w:r>
        <w:rPr>
          <w:rFonts w:ascii="Arial" w:cs="Arial" w:eastAsia="Arial" w:hAnsi="Arial"/>
          <w:sz w:val="16"/>
          <w:szCs w:val="16"/>
          <w:color w:val="auto"/>
        </w:rPr>
        <w:t>Pricing for our advertising services has varied based on a number of factors including the duration for which advertisements appear on the NetEase</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websites, how often such Web pages are viewed by users and the number of users that perform a specific action, such as registering onto an advertisers website.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Value-added Services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primary wireless value-added offering is short messaging services, or SMS, which allows mobile phone users to, among other things, send and receive text messages from the Internet. We offer a wide variety of SMS services in the form of individual messages and subscription packages which allow users, for example, to receive news and information such as daily news and e-mails, download ringtones and logos for their mobile phones and participate in matchmaking communities and interactive games. Internet-related services remained our most popular category of SMS services in terms of revenue, in particular e-mail-related services through which we notify subscribers via an SMS message that they have received an e-mail message in our premium VIP e-mail service. For an additional payment, we will also send subscribers the text of the e-mail message to their mobile phone via SMS.</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addition, we offer wireless application protocol, or WAP, services, which provide a browser-based platform to access and use sophisticated wireless value-added services, and multimedia messaging services, or MMS, which provide sophisticated, content-rich mobile messages. Both WAP and MMS services are available to mobile users with phones that are compatible with the advanced 2.5G mobile networks in China. We also offer interactive voice response services, or IVRS. IVRS allows users to access pre-recorded information from their mobile phones or interact with other users through voice chat simply by dialing specially designated IVRS phone numbers and responding to menu options. Our users can also order color ring-back tones, which enable users to customize the ringtone a caller hears. These ringtones can include voice recordings as well as pre-recorded music.</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Revenues from wireless value-added services and others accounted for 3.4%, 3.0% and 2.7% of total net revenues in 2006, 2007 and 2008, respectively. Nonetheless, we intend to continue promoting SMS and non-SMS wireless services which have a strong tie-in with the NetEase websites, such as matchmaking community, photo album sharing and e-mail.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sell game playing time to users of the MMORPGs that we operate largely in the form of prepaid point cards. We sell prepaid point cards to end users through over 2000 distributors as of December 31, 2008. These distributors arrange for our cards to be offered at various retail points in China including, notably, Internet cafés where many of the users of our online games access our system, and to a much lesser extent, directly over the Internet. Historically, we sold prepaid point cards to distributors at a 11.0%-14.0% discount off of their face value. We reduced the discount to 6.0%—12.0% in March 2009. For the distributors selling battle.net point cards, the discount is 9.0 % -12.0%.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Users can also purchase virtual prepaid cards online by debit cards or bank transfers, and receive the prepaid point information over the Internet.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126 sales professionals located in Beijing, Shanghai and Guangzhou as of December 31, 2008.</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online advertising on the NetEase websites is also sold through online advertising sales networks and advertising agencies. We believe that our focus on providing widely-used services that are designed to appeal to a broad base of Internet users attracts a variety of blue chip advertisers, ranging from technology products to consumer brands (including increasingly Chinese companies).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music awards, charity concerts and industry exhibitions.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the seasonality of our revenue, see Item 5 “Operating and Financial Review and Prospects—Revenue—Seasonality of Revenues.”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Our marketing campaigns consist of corporate branding and announcements about our services through outdoor, print and online advertisements.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a number of revenue sharing agreements with third party promoters of our online game titles. Pursuant to these agreements, promoters market our game titles to potential customers in specific locations, principally Internet cafés and university campuses, in return for a share of revenues we receive from new users they recruit.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plan to continue investing in various forms of marketing to further build awareness of our brand.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wireless applications, services and technologies for the Chinese market.</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wireless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major area of focus is the development of our proprietary online games and localizing licensed games, and we plan to continue this focus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we had 634 programmers, network engineers and graphic designers dedicated to online game research and development.</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our game development activities, we occasionally license specific game technologies which we incorporate into our in-house developed MMORPGs.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TECHNOLOGY</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infrastructure and technology have been designed for reliability, scalability and flexibility and are administered by our technical staff. The NetEase websites are made available primarily through network servers co-located in the facilities of China Unicom’s Beijing affiliate and China Telecom’s Beijing and Changzhou affiliates. As of December 31, 2008, there were approximately 12,000 of such co-located servers, operating with Web server software from Apache and Netscape. As of December 31, 2008, we had leased dedicated lines with a total of approximately 40.9 gigabits per second capacity substantially from China Unicom’s Beijing, Guangzhou, Changzhou and Hangzhou affiliates, China Telecom’s Beijing, Changzhou and Hangzhou affiliates, and CERNET.</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license the “Dart Enterprise” system from a third party licensor which provides the functions of sales planning, targeting, trafficking, inventory management and reporting tools for our advertising services, and we have also developed our own advertisement tracking system.</w:t>
      </w:r>
    </w:p>
    <w:p>
      <w:pPr>
        <w:spacing w:after="0" w:line="8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 party products to enhance our Internet media services in the future.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 number of companies offer competitive products or services in China, our main operating market. These include Perfect World Company Limited, or Perfect World, Giant Interactive Group Inc, or Giant, Shanda Interactive Entertainment Limited, or Shanda, The9 Limited, or The9, Sina Corporation, or Sina, Sohu.com, Inc., or Sohu, Tom Online Inc., or Tom.com, 263.net, Linktone Ltd., or Linktone, Tencent, Chinadotcom Corporation, or Chinadotcom, Baidu, 21cn.com and Changyou.com Limited, or Changyou.</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Specifically, we are encountering competition from companies offering MMORPGs and casual games that target the China market, such as Perfect World, Giant, Shanda, Softworld, Softstar Entertainment Inc., Actoz Soft Co., Ltd., NCsoft Corporation, The9, 9you, Kingsoft Corporation Limited, or Kingsoft, Waei International Digital Entertainment Co., Ltd. We face competition from other websites that offer online content and online community services, including Sina, Sohu, Tom.com, Tencent, 263.net, Baidu, 21cn.com and Alibaba.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believe that competition in the online advertising industry in China has intensified as new entrants have come into the market such as Baidu, Tencent and other vertical Internet portals. In addition, we face potential competition from US-based portals such as Yahoo!, Yahoo! Chinese and MSN which are currently increasing their Chinese language service offerings or have announced an intention to do so. We expect that China’s entry into the WTO in 2001, and the resulting gradual opening of its telecommunications sector, may facilitate more foreign participation in the Chinese Internet market by companies such as Yahoo!, Google and Microsoft.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Finally, we face competition from websites that operate outside our market and offer content in the English language, which may be attractive to a portion of Chinese Internet users.</w:t>
      </w:r>
    </w:p>
    <w:p>
      <w:pPr>
        <w:spacing w:after="0" w:line="118"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We also compete with traditional forms of media for advertising-related revenue. There can be no assurance that we will be able to compete successfully against our current or future competitors or that competition will not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Chinese government has enacted an extensive regulatory scheme governing the operation of Internet-related businesses, such as telecommunications, Internet information services, international connection to computer information networks, information security and censorship. In addition to MII, the various services of the PRC Internet industry are regulated by various governmental authorities, such as the State Administration for Industry and Commerce, or SAIC, the State Council Information Office, or SCIO, the General Administration for Press and Publication, or GAPP, the Ministry of Education, or MOE, the Ministry of Health, or MOH, the State Food and Drug Administration, or SFDA, the MOC, the State Administration of Radio, Film and Television, or SARFT, the Ministry of Commerce and the Ministry of Public Security.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September 2000, China’s State Council promulgated the Telecommunications Regulations of the People’s Republic of China, or the Telecom Regulations.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2001, in order to comply with China’s commitments with respect to its entry into the WTO, the State Council promulgated the Regulation for the Administration of Foreign-invested Telecommunications Enterprises, or the FITE Regulations. The FITE Regulations set forth detailed requirements with respect to capitalization, investor qualifications and application procedures in connection with the establishment of a foreign invested telecom enterprise. Pursuant to the FITE Regulations, foreign investors may now hold an aggregate of no more than 50% of the total equity in any value-added telecommunications business in China.</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Regulations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Internet Information Services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Measures for the Administration of Internet Information Services, or the ICP Measures, issued by the State Council went into effect on September 25, 2000.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ICP-related Chinese regulations, Guangzhou NetEase successfully obtained an ICP license issued by the Guangdong Provincial Telecommunications Bureau. Subsequently, Guangzhou NetEase obtained a Value-Added Telecom Business Operating License from the Guangdong Provincial Telecommunications Bureau, which replaced its ICP license and authorizes Guangzhou NetEase to provide Internet content services. Guangzhou NetEase obtained an Inter-Provincial Value-Added Telecommunications Business Operating License from MII, which specifically authorizes it to provide Internet content services on a national basis. Also, Shanghai EaseNet obtained a Value-Added Telecommunications Business Operating License issued by Shanghai Provincial Telecommunications Bureau.</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Regulations for the Administration of Internet Bulletin Board Services, which was issued by MII on October 8, 2000, provide that any ICP operator engaged in providing online bulletin board services is subject to a special approval and filing process with the relevant government telecommunications authorities. Guangzhou NetEase has obtained a permit to operate its bulletin board services.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Provisional Regulations for the Administration of Website Operation of News Publications, which were jointly issued by SCIO and MII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November 6, 2000, stipulate that non-news organizations may not publish news items produced by themselves and require the websites of non-news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be approved by SCIO after securing permission from SCIO at the provincial level. On September 25, 2005, the Regulations for the Administration of Internet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News Information Services were promulgated jointly by SCIO and MII. The regulations require that any ICP operator that is a non-news organization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engaged in Internet news information services must obtain approval for those services from SCIO. Guangzhou NetEase has obtained an Internet News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Service License from SCIO.</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27, 2002, MII and GAPP jointly promulgated the Provisional Measures for the Administration of Internet Publishing, which require Internet publishers to secure approval from GAPP.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etc. that have already been formally published or works that have been made public in other media) and subsequently post the same on the Internet or transmit the same to users via the Internet for browsing, use or downloading by the public. Guangzhou NetEase has obtained a license from GAPP to engage in Internet publishing. Also, Shanghai EaseNet is in the process of obtaining a license from GAPP to engage in Internet publishing.</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According to the Measures for the Administration of Internet Medical and Health Information Services, which were issued by MOH on January 8, 2001, websites publishing medical and health information must gain approval from local health administrations. In compliance with the above regulation, Guangzhou NetEase has secured an approval for publishing medical and health information through a formal reply issued by the Guangdong Health Administration.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Provisional Measures for the Administration of Educational Websites and Online Education School were released by MOE on July 5, 2000. This regulation requires that educational websites, which include websites publishing education-related information, must obtain an approval from the relevant administrative department regulating education. In a formal reply issued by the Guangdong Education Administration, Guangzhou NetEase has been approved to operate educational websites.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the Measures for the Administration of Internet E-mail Services, or the Internet E-mail Measures, which were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 or administrative regulation. Guangzhou NetEase has obtained an Inter-Provincial Value-Added Telecommunications Business Operating License.</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SARFT and MII jointly issued the Regulations for the Administration of Internet Audiovisual Program Services, or the Audiovisual Regulations, on December 20, 2007, which require that online audio and video service providers must obtain a permit from SARFT in accordance with the Audiovisual Regulations. Guangzhou NetEase has obtained the Permit for the Network Transmission of Audiovisual Programs issued by SARFT.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Security and Censorship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Law of the People’s Republic of China on the Preservation of State Secrets (1988) and its Implementation Rules (1990).</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Law of the People’s Republic of China on the Preservation of State Security (1993) and its Implementation Rules (1994).</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Rules of the People’s Republic of China for Protecting the Security of Computer Information Systems (1994).</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Administrative Regulations for the Protection of Secrecy on Computer Information System Connected to International Networks (1997).</w:t>
      </w:r>
    </w:p>
    <w:p>
      <w:pPr>
        <w:spacing w:after="0" w:line="113" w:lineRule="exact"/>
        <w:rPr>
          <w:rFonts w:ascii="Arial" w:cs="Arial" w:eastAsia="Arial" w:hAnsi="Arial"/>
          <w:sz w:val="16"/>
          <w:szCs w:val="16"/>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Regulations for the Protection of State Secrets for Computer Information Systems on the Internet (2000).</w:t>
      </w:r>
    </w:p>
    <w:p>
      <w:pPr>
        <w:spacing w:after="0" w:line="90" w:lineRule="exact"/>
        <w:rPr>
          <w:rFonts w:ascii="Arial" w:cs="Arial" w:eastAsia="Arial" w:hAnsi="Arial"/>
          <w:sz w:val="18"/>
          <w:szCs w:val="18"/>
          <w:i w:val="1"/>
          <w:iCs w:val="1"/>
          <w:color w:val="auto"/>
        </w:rPr>
      </w:pPr>
    </w:p>
    <w:p>
      <w:pPr>
        <w:ind w:left="900" w:right="260" w:hanging="325"/>
        <w:spacing w:after="0" w:line="332" w:lineRule="auto"/>
        <w:tabs>
          <w:tab w:leader="none" w:pos="90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4" w:lineRule="exact"/>
        <w:rPr>
          <w:rFonts w:ascii="Arial" w:cs="Arial" w:eastAsia="Arial" w:hAnsi="Arial"/>
          <w:sz w:val="16"/>
          <w:szCs w:val="16"/>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Detailed Implementation Rules for the Administration of Commercial Website Filings for the Record (2000).</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Decision of the Standing Committee of the National People’s Congress Regarding the Safeguarding of Internet Security(2002).</w:t>
      </w:r>
    </w:p>
    <w:p>
      <w:pPr>
        <w:spacing w:after="0" w:line="113" w:lineRule="exact"/>
        <w:rPr>
          <w:rFonts w:ascii="Arial" w:cs="Arial" w:eastAsia="Arial" w:hAnsi="Arial"/>
          <w:sz w:val="16"/>
          <w:szCs w:val="16"/>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Provisions on the Technical Measures for the Protection of the Security of the Internet (2005).</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Administrative Regulations for the Classified Protection of Information Security (2007).</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opposes the fundamental principles set forth in China’s Constitution;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24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Failure to comply with these content censorship requirements may result in the revocation of licenses and the closing down of the concerned websites. To ensure compliance with these regulatory requirements, Guangzhou NetEase has taken all reasonable steps to avoid displaying any of the prohibited contents on the NetEase websites. In addition, it is mandatory for Internet companies in the PRC to complete security-filing procedures and regularly update information security and censorship systems for their websites with the local public security bureau. Guangzhou NetEase has obtained a Filing and Registration Certificate for Computer Information System Connected to International Networks issued by Guangzhou Public Security Bureau.</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According to the Detailed Implementation Rules for the Administration of Commercial Website Filings for the Record, websites should register their names with the Beijing Municipal Administration of Industry and Commerce, or BAIC, and obtain electronic registration marks, which should be placed at their homepages. Guangzhou NetEase has registered the NetEase websites with BAIC and subsequently placed the electronic registration mark on its homepage.</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June 23,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and its bureaus at provincial level. Guangzhou NetEase has followed the requirements and filed its classification with the Guangzhou Public Security Bureau.</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Measures for the Administration of Software Products, which were issued by MII on October 27, 2000, classify online games products as software products, and a software registration certificate issued by the MII is required for the operation and sales of each online game. In compliance with this regulation, all of our online games, including Westward Journey Online II, Fantasy Westward Journey, Datang, Tianxia II, New Fly For Fun, Westward Journey Online III, Legend of Westward Journey and Popo Game have been registered with MII and its offices at the provincial level.</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the Provisional Regulations for the Administration of Online Culture promulgated by MOC in May 2003, online game operators are required to obtain an Internet Culture Operating License from MOC, which Guangzhou NetEase and Shanghai EaseNet have received. In 2004, MOC promulgated the Notice Regarding the Strengthening of Network Games Censorship, which provides that imported online games must be reviewed and approved by MOC before they can be put into public testing or operation. Shanghai EaseNet is in the process of obtaining MOC approval for World of Warcraft.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In addition, for imported online games, the relevant license agreements for such games are regarded as technology import contracts and, accordingly, must be registered with the Ministry of Commerce. Shanghai EaseNet has registered the license agreement for StarCraft II and World of Warcraft with the local office of the Ministry of Commerce. Such license agreements also need to be registered with the State Copyright Bureau, otherwise the licensee cannot remit licensing fees out of China to the foreign game licensor. Shanghai EaseNet has registered the license agreement for World of Warcraft with the State Copyright Bureau.</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publication of online games also requires approval from GAPP in accordance with the Provisional Rules for the Administration of Internet Publishing jointly promulgated by GAPP and MII on June 27, 2002. Guangzhou NetEase has received such approval. In addition, in April 2007, GAPP and several other government authorities jointly promulgated the </w:t>
      </w:r>
      <w:r>
        <w:rPr>
          <w:rFonts w:ascii="Arial" w:cs="Arial" w:eastAsia="Arial" w:hAnsi="Arial"/>
          <w:sz w:val="16"/>
          <w:szCs w:val="16"/>
          <w:i w:val="1"/>
          <w:iCs w:val="1"/>
          <w:color w:val="auto"/>
        </w:rPr>
        <w:t xml:space="preserve">Notice Concerning the Protection of Minors’ Physical and Mental Well-being and Implementation of Anti-addiction System on Online Games </w:t>
      </w:r>
      <w:r>
        <w:rPr>
          <w:rFonts w:ascii="Arial" w:cs="Arial" w:eastAsia="Arial" w:hAnsi="Arial"/>
          <w:sz w:val="16"/>
          <w:szCs w:val="16"/>
          <w:color w:val="auto"/>
        </w:rPr>
        <w:t>(the “Notice”), which confirms the real-name verification scheme and anti-addiction system standard made by GAPP in</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years and requires online game operators to develop and test their anti-addiction systems from April 2007 to July 2007, after which no online games can be registered or operated without an anti-addiction system in accordance with the Notice. Accordingly, we have implemented our anti-addiction system to comply with the Notice in July 2007. Since its implementation, we have not experienced a significant negative impact of the Notice on our business.</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According to the Guidelines for the Filing for Recordation of Domestic Online Games issued by MOC in 2005, domestic online games operating in China must be filed for recordation with MOC before they can be put into operation. Our in-house developed online games, including Westward Journey Online II, Fantasy Westward Journey, Datang, Westward Journey III and Popo Game have successfully finished the recordation process.</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Regulations for the Administration of Audio and Video Products, which was released by the State Council on December 25, 2001, require that the publication, production, duplication, importation, wholesale, retail and renting of the audio and video products are subject to a license issued by competent authorities. Guangzhou NetEase has obtained such license from Guangdong Culture Administration.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Measures for the Administration of Telecommunications Business Operating Licenses issued by MII on December 26, 2001 differentiated telecom licenses into two types: license for basic telecom services and license for value-added telecom services. Geographically, a telecom license can be granted for intra-provincial or inter-provincial activities.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April 2004, MII issued the Notice on Certain Issues Regarding the Regulation of Short Message Services, or the SMS Notice, which required all SMS providers to obtain a relevant operating license within 30 days after the issuance of the notice, otherwise, the mobile operators in China will immediately cease to provide connection services to such provider. Guangzhou NetEase has obtained an Inter-Provincial Value-Added Telecommunications Business Operating License from MII, and has completed the requisite registrations with the local offices of MII in 31 provinces.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Advertising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Regulations for the Administration of Advertising and its Detailed Implementation Rules were both promulgated by the State Council and SAIC, which took effect on December 1, 1987 and January 1, 2005, respectively. According to these regulations</w:t>
      </w:r>
      <w:r>
        <w:rPr>
          <w:rFonts w:ascii="Arial" w:cs="Arial" w:eastAsia="Arial" w:hAnsi="Arial"/>
          <w:sz w:val="18"/>
          <w:szCs w:val="18"/>
          <w:b w:val="1"/>
          <w:bCs w:val="1"/>
          <w:color w:val="auto"/>
        </w:rPr>
        <w:t>,</w:t>
      </w:r>
      <w:r>
        <w:rPr>
          <w:rFonts w:ascii="Arial" w:cs="Arial" w:eastAsia="Arial" w:hAnsi="Arial"/>
          <w:sz w:val="18"/>
          <w:szCs w:val="18"/>
          <w:color w:val="auto"/>
        </w:rPr>
        <w:t xml:space="preserve"> websites engaged in advertising must apply for a business license to conduct such business. In compliance with such regulations, Guangyitong Advertising, which operates our online advertising business through a series of agreements with Guangzhou NetEase, and Guangzhou NetEase have obtained a business license to carry out the design, production, agency and release of advertisements.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rely on a combination of copyright, trademark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full legal rights over and have registered a number of domain names, including:</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www.netease.com;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www.163.com;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www.yeah.net;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www.126.com;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www.netease.net;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www.188.com</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Guangzhou NetEase and NetEase Beijing have successfully registered numerous trademarks with China’s Trademark Office, including marks incorporating the words “NetEase” and “Yeah” in English and for marks for “NetEase” as written in Chinese in traditional and simplified Chinese characters. In addition, they have registered trademarks involving Chinese characters and phrases that have meanings relating to our Web pages, products and services, including our dating and friends matching services, chat services, online gaming and our search engine.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in the United States.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we have registered our Westward Journey Online II, Fantasy Westward Journey, Tianxia II, Datang, Westward Journey III, Legend of Westward Journey, New Fly For Fun and Popo Game with the State Copyright Bureau of China. Moreover, we have filed some patent applications with the State Intellectual Property Office of China and have obtained Certificate of Design Patent for the Password Protection Device and Certificate of Invention Patent for certain technology related to the search engine developed by Youdao Information from the State Intellectual Property Office.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the technology that enables on-line community, personalization and e-commerce services on those sites. We license content from various freelance providers and other content providers.</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Many parties are actively developing community, online game, e-commerce, search and related Web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and online direct marketing.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23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organizational structure is set forth above under “— Our Organizational Structure.”</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principal executive offices are currently located at 26/F, SP Tower D, Tsinghua Science Park Building 8, No.1 Zhongguancun East Road, Haidian District, Beijing, People’s Republic of China 100084. We lease our principal executive offices at an effective annual rent of approximately RMB6.0 million (US$0.9 million) in 2008, including management fees, for 4,354 square meters under a lease that expired in May 2009 and was renewed and will expire in May 2011. In addition, our principal executive offices also occupy 1,336 and 1,116 square meters starting from March and May 2009, respectively with an effective annual rent including management fees of approximately RMB2.9 million (US$0.4 million) and RMB2.4 million (US$0.4 million) under leases that expire in September 2010 and November 2010. We also occupy 2,197 square meters under leases in Beijing that expire in July 2009 and July 2011. In Hangzhou, we occupy 4,746 square meters under leases that expire in May and June 2010 and have also purchased land use rights for approximately 56,000 square meters of land as described in “– History and Development of the Company” above. In Guangzhou, we occupy 3,253 square meters under leases that expire in March 2011. We also occupy a building in Guangzhou with total floor area of 20,000 square meters. We currently do not have a lease for such property but have accrued imputed rent for it. For more information on this property, see Item 5 “Operating and Financial Review and Prospects” and Item 7.B. “Major Shareholder and Related Party Transactions – Related Party Transactions.” In Shanghai, we occupy 4,061 square meters under leases that expire in December 2009 and June 2013. We believe that we will be able to obtain adequate facilities, principally through the leasing and acquisition of appropriate properties, to accommodate our future expansion plans.</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December 31, 2008, we leased dedicated lines with a total capacity of approximately 40.9 gigabits per second substantially from various affiliates of China Unicom, China Telecom and CERNET. We lease such capacity pursuant to short term contracts. Our bandwidth fees were approximately RMB71.3 million (US$10.5million) for the year ended December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Securities Exchange Act of 1934, as amended, or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234" w:lineRule="exact"/>
        <w:rPr>
          <w:sz w:val="20"/>
          <w:szCs w:val="20"/>
          <w:color w:val="auto"/>
        </w:rPr>
      </w:pPr>
    </w:p>
    <w:p>
      <w:pPr>
        <w:ind w:right="9060" w:firstLine="8"/>
        <w:spacing w:after="0" w:line="347" w:lineRule="auto"/>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NetEase is a leading Internet technology company in China. Our innovative online games, communities and personalized premium services, which allow registered users to interact with other community members, have established a large and stable user base for the NetEase websites which are operated by our affiliate. As of December 31, 2008, we had registered an accumulated total of approximately 972 million accounts.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year ended December 31, 2008, we continued to develop our online games and advertising business. We also provide wireless value-added and other fee-based premium services, but we expect that revenue from such services will remain a relatively small part of our total revenue for the foreseeable future. In addition, in August 2008 and April 2009, Blizzard agreed to license certain online games to Shanghai EaseNet for operation in the PRC.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achieved a net profit of RMB1,596.7 million (US$234.0 million) for 2008 and generated positive operating cash flows of RMB2,017.8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(US$295.8 million) during the year. We recorded retained earnings of RMB2,338.1 million, RMB3,225.8 million and RMB4,739.1 million (US$694.6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2006, 2007 and 2008,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NetEase.com, Inc. was incorporated in the Cayman Islands on July 6, 1999 as an Internet technology company in China. In 2007, we established two intermediate holding companies, namely NetEase Hong Kong and Hong Kong NetEase Interactive. Guangzhou Interactive and NetEase Hangzhou became wholly owned subsidiaries of Hong Kong NetEase Interactive in December 2007 and January 2008, respectively. NetEase Beijing, Boguan and Youdao Information became subsidiaries of NetEase Hong Kong in December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NetEase Beijing, Guangzhou Interactive, Boguan, Youdao Information, NetEase Hangzhou and Guangzhou Information were established in China on August 30, 1999, October 15, 2002, December 8, 2003, March 21, 2006, June 2, 2006 and June 24, 2008, respectively.</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NetEase.com, Inc. conducts its business in China through its subsidiaries. Under current Chinese regulations, there are restrictions on the percentage interest foreign or foreign-invested companies may have in Chinese companies providing value-added telecommunications services in China, which include the provision of Internet content, online games and wireless value-added services such as SMS. In addition, the operation by foreign or foreign-invested companies of advertising businesses in China is subject to government approval. In order to comply with these restrictions and other Chinese rules and regulations, NetEase.com, Inc. and certain of its subsidiaries have entered into a series of contractual arrangements for the provision of such services with certain affiliated companies, namely Guangzhou NetEase, Guangyitong Advertising and Guangzhou Ling Yi Electronics Technology Limited, or Ling Yi (until it was dissolved in August 2007). These affiliated companies are considered “variable interest entities” for accounting purposes (see “—Basis of Presentation” below), and are referred to collectively in this section as “VIEs.” The revenue earned by the VIEs largely flows through to NetEase.com, Inc. and its subsidiaries pursuant to such contractual arrangements. Based on these agreements, NetEase Beijing, NetEase Hangzhou, Guangzhou Interactive and Boguan provide technical consulting and related services to the VIEs.</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Guangzhou NetEase is a limited liability company organized under the laws of China and is 90.0% owned by William Lei Ding, our Chief Executive Officer, director and major shareholder. Guangzhou NetEase has been approved by the Chinese authorities to operate as an Internet content provider and operates the NetEase websites. Guangzhou NetEase’s 80.0% owned subsidiary, Guangyitong Advertising, is licensed by the Chinese authorities to operate an advertising business and engages in Internet-related advertising design, production and dissemination. Ling Yi, which was formed in October 2003 and dissolved in August 2007, was also a limited liability company organized under the laws of China and was 90.0% owned by our major shareholder. Ling Yi was approved to operate as an Internet content provider. For the years ended December 31, 2005, 2006 and 2007 until its dissolution in August 2007, Ling Yi earned revenue relating to WAP services and MMS, which represented a small portion of our wireless value-added services revenue.</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September 2007, Guangzhou NetEase and three Chinese citizens incorporated a domestic enterprise, Youdao Computer, for the purpose of applying for an ICP license under the applicable Chinese telecommunication laws to operate our own proprietary internet search engine, Youdao.</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2008 and April 2009, Blizzard agreed to license certain online games to Shanghai EaseNet for operation in the PRC. Shanghai EaseNet is a PRC company owned by William Lei Ding, our Chief Executive Officer, director and major shareholder and has contractual arrangement with the joint venture established between, and owned equally by, Blizzard and us, and with us. The joint venture was established concurrently with the licensing of the games in August 2008 and will provide technical services to Shanghai EaseNet. Shanghai EaseNet is considered our VIE for accounting purposes (see “- Basis of Presentation” below).</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Future changes in Chinese government policies affecting the provision of information services, including the provision of online services, Internet access, e-commerce services and online advertising, may impose additional regulatory requirements on us or our service providers or otherwise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17, 2003, the Financial Accounting Standards Board issued FASB Interpretation No. 46: Consolidation of Variable Interest Entities, an interpretation of ARB 51, or FIN 46, which was subsequently amended by a revised interpretation, or FIN 46-R. These interpretations address financial reporting for entities over which control is achieved through a means other than voting rights. According to the requirements of FIN 46 and FIN 46-R, we have evaluated our relationships with the previously unconsolidated affiliated companies, Guangzhou NetEase and Guangyitong Advertising, as well as Ling Yi (which was dissolved in August 2007). We have concluded that Guangzhou NetEase, Guangyitong Advertising and Ling Yi are VIEs, and NetEase.com, Inc. is the primary beneficiary of these affiliated companies. Accordingly, we adopted the provisions of FIN 46 and consolidated Guangzhou NetEase and Guangyitong Advertising on a prospective basis from January 1, 2004 and Ling Yi from May 17, 2004 until its dissolution in August 2007. In addition, according to the assessment under FIN 46-R, we have concluded that Shanghai EaseNet is also our VIE and have consolidated Shanghai EaseNet into our financial statements as of and for the year ended December 31, 2008. Also, NetEase.com, Inc. is the primary beneficiary of the companies comprising our joint venture with Blizzard, namely, StormNet Information Technology (Hong Kong) Limited, or StormNet IT Hong Kong, and StormNet Information Technology (Shanghai) Limited, or StormNet IT Shanghai. Accordingly, we have consolidated these two companies into our financial statements as of and for the year ended December 31, 2008.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generate our revenues from the provision of online games services, advertising services and wireless value-added services and others. Through our predecessor company, in mid-1998, we changed our business model from a software developer to an Internet technology company. In July 1999, we began to offer e-commerce platforms and to provide online auction services in China through Guangzhou NetEase. In 2001, we also began focusing on fee-based premium services and online entertainment services, including online games, wireless value-added services, premium e-mail services and other subscription-type services.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customer individually accounted for greater than 10.0% of our total revenues for the years ended December 31, 2006, 2007 and 2008.</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 all our online game services revenues from customers through the sale of prepaid point cards. Customers can purchase physical prepaid point cards in different locations in China, including Internet cafés, software stores, convenience stores and bookstores, or can purchase prepaid points from vendors who register the points in our system. Customers can also purchase virtual prepaid cards online by debit cards or bank transfers, and receive the prepaid point information over the Internet. Customers can use the points to play our online games, either to pay for playing time or to purchase virtual items within the games in the case of our new games, Tianxia II and Legend of Westward Journey, and use our other fee-based services. We recognize revenues from the sale of prepaid points as the points are used by customers.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August 2008 and April 2009, Blizzard agreed to license certain online games to Shanghai EaseNet for operation in the PRC as discussed in “Business Overview – Our Services – Game Licensing and Joint Venture with Blizzard”. As these games had not yet been commercially launched, no revenue was generated from them in 2008.</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that we will face increasing competition as online game providers in China and abroad expand their presence in the Chinese market or enter it for the first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derive most of our advertising services revenue from fees we earn from advertisements placed on the NetEase websites. Approximately 92.6%, 97.7% and 99.6% of our total advertising revenue was derived from brand advertising for the years ended December 31, 2006, 2007 and 2008, respectively, with the remainder generated from advertisers in our search engine business.</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 online businesses using paid search services to advertise or market their businesses and products. Accordingly, we believe that the growth rate for paid search-related advertising in the China market may increase at a faster rate than online brand advertising, although search-related advertising is still at its initial stage in China and developing from a much smaller base.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derive a portion of our wireless value-added services and others revenues from providing to our customers value-added services through SMS. Our online fee-based premium services, supplied to registered users of the NetEase websites, include premium e-mail, premium matchmaking and dating services and premium alumni clubs.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Seasonality of Revenues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Historically, advertising revenues have followed the same general seasonal trend throughout each year with the first quarter of the year being the weakest quarter due to the Chinese New Year holiday and the traditional close of advertisers’ annual budgets and the third quarter as the strongest. Usage of our online games and wireless value-added services has generally increased around the Chinese New Year holiday and other Chinese holidays, in particular winter and summer school holidays.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Cost of revenues for our online games services consist primarily of business tax payable on intra-group revenues, staff costs (in particular remuneration to employees known as the “Game Masters” who are responsible for the daily co-ordination and regulation of the activities inside our games’ virtual worlds), revenue sharing expenses paid to Internet data centers, or IDC, for the rental of servers, and printing costs for our prepaid point cards.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cost of revenues for our online games services include that portion of bandwidth and server custody fees and depreciation and amortization of computers and software which are attributable to our online games business. Our subsidiaries and VIEs have network servers co-located in facilities owned by China Telecom’s and China Unicom’s affiliates, for which we pay custody fees to China Telecom and China Unicom.</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Cost of revenues related to our advertising services consists primarily of business tax payable on intra-group revenues, staff costs for editors of the various content channels for the NetEase websites and content fees paid to content providers for the NetEase websites as well as that portion of bandwidth and server custody fees, depreciation and amortization of computers and software which are attributable to the provision of advertising services.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Cost of revenues related to our wireless value-added services and others consists primarily of staff costs (principally compensation expenses for editorial professionals) and content fees, as well as that portion of bandwidth and server custody fees, depreciation and amortization of computers and software which are attributable to the provision of wireless value-added and other services. It also includes business tax payable on intra-group revenues. We pay content fees to third party partners for the right to use proprietary content developed by them, such as ringtones and logos. We also pay content fees to newspaper and magazine publishers for the right to use their proprietary content, such as headline news and articles.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include selling and marketing expenses, general and administrative expenses and research and development expenses.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 Expenses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Selling and marketing expenses consist primarily of salary and welfare expenses, compensation costs for our sales and marketing staff, and marketing and advertising expenses payable to third party vendors.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 General and administrative expenses also included imputed rent for a building in Guangzhou occupied by us since July 2006. We recorded an imputed rental expense on our financial statements which was calculated based on the estimated rental value of the property and totaling RMB9.4 million (US$1.4 million) in 2008. For additional information on this property, see Item 7.B. “Related Party Transactions—Purchase of Property in Guangzhou.”</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Research and development expenses consist principally of salary and welfare expenses, compensation costs for our research and development professionals and licensing and training fees paid to a third party developer of a 3D game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Under our 2000 Stock Option Plan, we grant options to our employees, directors, consultants and certain members of our senior management under that plan. The vesting periods for these options generally range from two years to four years. In addition, certain of the options granted were cancelled as a result of the resignation of these personnel.</w:t>
      </w:r>
    </w:p>
    <w:p>
      <w:pPr>
        <w:spacing w:after="0" w:line="140"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For the years ended December 31, 2006, 2007 and 2008, we recorded share-based compensation cost of approximately RMB101.3 million, RMB95.4 million and RMB67.9 million (US$10.0 million), respectively. This cost has been allocated to (i) cost of revenues, (ii) selling and marketing expenses, (iii) general and administrative expenses and (iv) research and development expenses, depending on the responsibilities of the relevant employees.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2008, total unrecognized compensation cost related to unvested awards not yet recognized related to the stock option plan, adjusted for estimated forfeitures, was US$9.1 million (RMB63.2 million) and is expected to be recognized through the remaining vesting period of each grant. As of December 31, 2008, the weighted average remaining vesting period was 1.82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the current laws of the Cayman Islands, we are not subject to tax on income or capital gain. Additionally, upon payments of dividends to our shareholders, no Cayman Islands withholding tax will be imposed.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NetEase Interactive is exempted from income tax on its foreign-derived income in the BVI. There are no withholding taxes in the BVI.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Hong Kong NetEase Interactive, NetEase Hong Kong and StormNet IT Hong Kong are subject to 17.5% and 16.5% income tax for 2007 and 2008, respectively, on their taxable income generated from operations in Hong Kong. The payment of dividends by Hong Kong NetEase Interactive, NetEase Hong Kong and StormNet IT Hong Kong are not subject to any Hong Kong withholding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January 1, 2008, foreign-invested enterprises were generally subject to a national and local enterprise income tax, at statutory rates of 30% and 3% respectively, under the previous income tax law. Effective as of January 1, 2008, the Chinese government adopted a new income tax law, as further clarified by subsequent tax regulations implementing the new income tax law, which unified enterprise income tax payable by domestic and foreign-invested enterprises at 25.0%. For further details, see Item 3.D. “Risk Factors – Our business benefits from certain PRC government incentives. Expiration of, or changes to, these incentives and PRC tax laws could have a material adverse effect on our operation results.”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NetEase Beijing was recognized as an “Advanced Technology Enterprise” and entitled to a reduced EIT rate of 10.0% for 2006 to 2007 and a full exemption from the local income tax for 2006 and 2007. Based on the HNTEs status granted under the new income tax law, NetEase Beijing will enjoy the preferential tax rate of 15.0% from 2008 to 2010.</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Guangzhou Interactive was recognized as a “Software Enterprise” and a “High and New Technology Enterprise” respectively under the previous income tax law and subject to a reduced EIT rate of 7.5% from 2005 to 2007. In 2006, Guangzhou Interactive received tax-exemption from the local tax rate of 3.0% from 2005 to 2007. In addition to the HNTEs status granted under the new income tax law, Guangzhou Interactive was qualified as “Key Software Enterprise” in 2008 and it therefore enjoyed a preferential tax rate of 10.0% for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Boguan was recognized as a “Software Enterprise” in September 2005 under the previous income tax law. It was exempted from EIT on its profits for 2006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2007 and is subject to a 50.0% reduction in EIT from 2008 to 2010. Boguan was subject to a 3.0% local income tax rate for 2006, and it was exempted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3.0% local income tax for 2007. In addition, Boguan was granted the HNTEs tax status and enjoys preferential tax rate of 15.0% from 2008 to 2010. Boguan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its EIT at a rate of 12.5% for the first three quarters of 2008 on the understanding that when it was granted the HNTEs tax status in 2008, it would be entitled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preferential tax rate of 7.5% based on the interpretation of the grandfather provisions under the new income tax law and the related 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guidelines. This rate was calculated by applying the 50.0% reduction for Software Enterprises against the 15.0% preferred tax rate applicable to its HNTEs status.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When Boguan was granted the HNTEs tax status in December 2008, the relevant local tax authority refunded the excess income tax paid which was computed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basis of applying the preferred tax rate of 7.5%. Following the issuance of a new tax circular by the State Administration of Taxation in April 2009, the local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authority notified Boguan in June 2009 to pay the income tax liability for 2008 at the rate of 12.5%. The decision is based on the interpretation of the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circular issued by the State Administration of Taxation in April 2009 that the 50% reduction for Software Enterprises is made against the uniform EIT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instead of the 15% preferred tax rate applicable to Boguan’s HNTEs status. As such, Boguan recorded an additional tax payable of RMB23.3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(US$3.4 million) in June 2009. Nevertheless, we believe the relevant tax rules are still not clear, and we will further discuss with the local tax authority to clarify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whether Boguan is subject to EIT at a rate of 7.5% or 12.5%.</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NetEase Hangzhou was recognized as a “Software Enterprise” in April 2007 and as a “High and New Technology Enterprise” in September 2007 under the previous income tax law. It was exempted from EIT on its profits from 2007 and 2008. It was subject to a 3.0% local income tax rate for 2007. Based on the HNTEs status granted under the new income tax law in December 2008, NetEase Hangzhou will enjoy the preferential tax rate of 15.0% from 2008 to 2010.</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Youdao Information was recognized as a “High and New Technology Enterprise” under the previous income tax law in May 2007. According to an approval granted by the Haidian State Tax Bureau in August 2007, Youdao Information was entitled to a full exemption from EIT in 2007. The applicable tax rate for Youdao Information is 25.0% in 2008 in accordance with the new income tax law.</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Guangyitong Advertising, Ling Yi (dissolved in August 2007) and Youdao Computer (formed in September 2007) were subject to EIT at an overall income tax rate of 33.0% under the previous income tax law. Guangzhou NetEase was recognized as a “High and New Technology Enterprise” under the previous income tax law in December 2004. Hence, Guangzhou NetEase was subject to a reduced income tax rate of 15.0% from 2004 to 2007. Effective January 1, 2008, Guangyitong Advertising, Guangzhou NetEase, Shanghai EaseNet and StormNet IT Shanghai are subject to EIT at the uniform rate of 25.0% under the new income tax law. Youdao Computer was subject to an EIT rate of 20.0% in 2008 under the new income tax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 2007, we adopted Financial Interpretation No. 48 “Accounting for Uncertainty in Income Taxes – An Interpretation of FASB Statement No. 109”, or FIN 48, issued by the FASB in June 2006 which clarifies the accounting for uncertainty in income taxes recognized in an enterprise’s financial statements. In connection with such adoption, we did not have any adjustment to the opening balance of retained earnings as of January 1, 2007, and as of December 31, 2007 and 2008, we did not have any significant unrecognized uncertain tax positions. For the years ended December 31, 2007 and 2008, we did not have any interest and penalties associated with our tax positions.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Taxes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our revenues generally ranges from 3.0% to 5.0%. We are also subject to cultural development fee on the provision of advertising services in China. The applicable tax rate is 3.0% of the advertising services revenue.</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December 2007, Guangzhou NetEase received an approval from the Guangzhou local tax authority allowing it to deduct the service fees paid to its cooperative partners from its gross wireless value-added services revenue in deriving the amount of business tax payable in accordance with the relevant rules, implemented with retroactive effect from January 1, 2003. As a result, Guangzhou NetEase received a business tax refund in June 2008 of approximately RMB146.8 million (US$21.5 million) for the excess amount paid in previous years. Guangzhou NetEase has calculated its business taxes on this basis from January 1, 2008, subject to any change of policy by the local tax authority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44"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 Regarding 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provide online games services through Guangzhou NetEase. Regarding the revenue recognition for our online games, we sell prepaid point cards and online points to the end users who may use the points on such cards for online game services provided by us. Proceeds received from the sales of prepaid point cards and online points are initially recorded as deferred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earn revenue through providing online game services to players under two types of revenue models: a time-based revenue model and an item-based revenue model. For time-based model, revenue is recognized based upon the actual usage of the game playing time by players. For the item-based model, the basic game play functions are free of charge, and players are charged for purchases of in-game items. Revenues from the sales of in-game items are recognized when the items are consumed by the customers or over the estimated lives of the in-game items. In-game items have different life patterns: one-time use, limited life and permanent life. Revenues from the sales of one-time use in-game items are recognized upon consumption. Limited life items are either limited by the number of use, say 10 times or limited by time, says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based on the estimated lives of the in-game items. 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life in-game items. However, given the relatively short operating history of our item-based games, our estimate of the period that game players typically play our games may not accurately reflect the estimated lives of the permanent life in-game items. We have adopted a policy of assessing the estimated lives of the permanent life in-game items on a quarterly basis. All paying users’ data collected since the launch of the games are used to perform the relevant assessments. Historical behavior patterns of these paying users during the period between their first log-on date and last log-on date are used to estimate the lives of the permanent life in-game items.</w:t>
      </w:r>
    </w:p>
    <w:p>
      <w:pPr>
        <w:spacing w:after="0" w:line="12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we believe our estimates to be reasonable based on available game player information, we may revise such estimates in the future as we continue to gain more operating history and data of our item-based games. Any adjustments arising from changes in estimates of the lives of the permanent in-game items will be applied prospectively as such changes are resulted from new information indicating a change in the game player behavior patterns. Any changes in our estimate of lives of the permanent in-game items may result in our revenues being recognized on a basis different from prior periods and may cause our operating results to fluctuate.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derive advertising fees principally from short-term advertising contracts. With respect to the advertising contracts that do not include a fixed delivery pattern for the advertising services, revenues are generally deferred until completion of the contracts. For the advertising contracts with a fixed delivery pattern, revenues are recognized ratably over the period in which the advertisement is displayed and only if collection of the resulting receivables is probable.</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obligations may include guarantees of a minimum number of impressions or times that an advertisement appears in pages viewed by users. To the extent that minimum guaranteed impressions are not met within the contractual time period, we defer recognition of the corresponding revenues until the remaining guaranteed impression levels are achieved. In addition, we occasionally enter into “cost per action”, or CPA, advertising contracts whereby revenue is received by us when an online user performs a specific action such as purchasing a product from or registering with the advertiser. Revenue for CPA contracts is recognized when the specific action is completed.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recognize costs to develop our online game products in accordance with SFAS No. 86, “Accounting for Costs of Computer Software to be Sold, Leased or Otherwise Marketed.” Costs incurred for the development of online game products prior to the establishment of technological feasibility are expensed when incurred. Once an online game has reached technological feasibility with a proven ability to operate in the Chinese market, all subsequent online game development costs are capitalized until that game is marketed. Technical feasibility is evaluated on a product-by-product basis, but typically encompasses both technical design and game design documentation. The costs incurred for development of online game products are not capitalized because the period before the date when technical feasibility is reached and the time when the game is marketed is short historically and the development cost incurred in the period is insignificant. All online game development costs have been expensed when incurred for the years ended December 31, 2006, 2007 and 2008.</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recognize website and internally used software development costs in accordance with Statement of Position No. 98-1, “Accounting for the Costs of Computer Software Developed or Obtained for Internal Use.” Accordingly, we expense all costs that are incurred in connection with the planning and implementation phases of development and costs that are associated with repair or maintenance of the existing websites and software. Direct costs incurred to develop the software during the application development stage that can provide future benefits are capitalized.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depreciate our computer equipment, software and other assets (other than leasehold improvements) on a straight-line basis over their estimated useful lives, which range from two years to fifteen years. We depreciate leasehold improvements, which are included in our operating expenses, on a straight-line basis over the lesser of the relevant lease term or their estimated useful lives.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Allowances for Doubtful Accounts</w:t>
      </w:r>
    </w:p>
    <w:p>
      <w:pPr>
        <w:spacing w:after="0" w:line="9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We maintain allowances for doubtful accounts receivable based on various information, including aging analysis of accounts receivable balances, historical bad debt rates, repayment patterns and credit worthiness of customers, industry trend analysis and general and industry-specific economic and market conditions. We have adopted a general provisioning policy for doubtful debts for our trade receivable balances. We provide for 80.0%, in the case of direct customers, and</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50.0% in the case of advertising agents, of the outstanding trade receivable balances overdue for more than six months. We provide for 100.0% in the case of all parties for outstanding trade receivable balances overdue for more than one year. In addition to the general provisions for trade receivables, we also make specific bad debt provisions for bad debts if there is strong evidence showing that the debts are likely to be irrecoverable.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Effective January 1, 2006, we adopted the fair value recognition provisions of SFAS No. 123 (revised 2004), “Stock-Based Payment” (“SFAS 123R”), which revises SFAS 123, “Accounting-Based Compensation” (“SFAS 123”) and supersedes Accounting Principles Board Opinion No. 25, “Accounting for Stock Issued to Employees” (“APB 25”). Under the fair value recognition provisions of SFAS 123R, we are required to measure the cost of employee services received in exchange for stock-based compensation measured at the grant date fair value of the award.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recognize the stock-based compensation costs, net of a forfeiture rate, on a straight-line basis over the requisite service period of the award, which is the vesting term (generally three to four years for stock options).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adopted the Black-Scholes option pricing model to determine the fair value of stock options under SFAS 123R. We elected to implement SFAS 123R using the modified-prospective method, with no restatement of prior results. Under the modified prospective method, the valuation provisions of SFAS 123R applied to new grants and to grants that were outstanding as of the effective date. Estimated compensation expense for grants that were outstanding as of the effective date is recognized over the remaining service period using the compensation cost estimated for the SFAS 123R pro forma disclosures. SFAS 123R requires forfeitures to be estimated at the time of grant and revised, if necessary, in subsequent periods if actual forfeitures differ from those estimates.</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Forfeitures were estimated based on our weighted average historical forfeiture rate to date. Differences between actual and estimated forfeitures are expensed in the period that the differences occur. Prior to the adoption of SFAS 123R, we accounted for forfeitures as they occurred.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assumptions are based on our historical experience and expectation of future development. The assumptions used in calculating the fair value of share-based awards and related share-based compensation expenses represent management’s best estimates, but these estimates involve inherent uncertainties and the application of management judgment. As a result, if factors change or different assumptions are used, our share-based compensation expense could be materially different for any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28, 2006, our board of directors approved a share repurchase program for up to US$100 million worth of our issued and outstanding ADSs for a period not to exceed six months. Pursuant to this program, approximately 3.6 million of our issued and outstanding ADSs were repurchased for an aggregate purchase consideration of US$60.1 million (including transaction costs) in open-market transactions when the share repurchase program ended on February 27, 2007.</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March 13, 2007, our board of directors approved a share repurchase program for up to US$100 million worth of our issued and outstanding ADSs for a period not to exceed three months. Pursuant to this program, approximately 5.3 million of our issued and outstanding ADSs were repurchased for an aggregate purchase consideration of US$95.7 million (including transaction costs) in open-market transactions. The share repurchase program ended on June 12, 2007.</w:t>
      </w:r>
    </w:p>
    <w:p>
      <w:pPr>
        <w:spacing w:after="0" w:line="88"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On July 2, 2007, our board of directors approved a share repurchase program of up to US$120 million worth of our issued and outstanding ADSs for a period not to exceed 12 months. Pursuant to this program, approximately 2.8 million of our issued and outstanding ADSs were repurchased for an aggregate purchase consideration of US$46.4 million (including transaction costs) in open-market transactions. The share repurchase program ended on July 1, 2008.</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September 12, 2008, our board of directors approved a share repurchase program of up to US$100 million worth of our issued and outstanding ADSs for a period not to exceed 12 months. As of December 31, 2008, approximately 0.7 million of our issued and outstanding ADSs were repurchased for an aggregate purchase consideration of approximately US$13.1 million (including transaction costs). There have been no share repurchases from January 2009 up to the date of this annual report. The share repurchase program will end on September 11,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details of the ADS repurchases conducted in 2008, see the share repurchase table in Item 16.E. “Purchase of Equity Securities by the Issuer and Affiliated Purchasers.”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funded all of the foregoing repurchases from available working capital.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sets forth a summary of our audited consolidated statements of operations for the periods indicated both in Renminbi and as a percentage of total 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8"/>
              </w:rPr>
              <w:t>For the Year Ended December 31,</w:t>
            </w: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Online game services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1,856,062,971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1,932,634,947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2,498,518,103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Advertising services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285,772,653</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305,057,556</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405,887,007</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Wireless value-added services and others</w:t>
            </w:r>
          </w:p>
        </w:tc>
        <w:tc>
          <w:tcPr>
            <w:tcW w:w="15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75,406,121</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68,018,461</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71,718,938</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2,217,241,745</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2,305,710,964</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2,976,124,048</w:t>
            </w:r>
          </w:p>
        </w:tc>
        <w:tc>
          <w:tcPr>
            <w:tcW w:w="2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tax (expense)/benefit</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(52,882,275)</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(92,424,200)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108,460,101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2,164,359,470</w:t>
            </w: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2,213,286,764</w:t>
            </w:r>
          </w:p>
        </w:tc>
        <w:tc>
          <w:tcPr>
            <w:tcW w:w="2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3,084,584,149</w:t>
            </w: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Online game services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(178,676,915)</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(187,411,229)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(268,574,306)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services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(125,183,293)</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(143,676,057)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(208,907,875)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Wireless value-added services and others</w:t>
            </w:r>
          </w:p>
        </w:tc>
        <w:tc>
          <w:tcPr>
            <w:tcW w:w="1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(77,437,973)</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(84,365,760)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(82,123,181)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(381,298,181)</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(17.2)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(415,453,046)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(18.0)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(559,605,362)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(18.8)</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1,783,061,289</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1,797,833,718</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2,524,978,787</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(170,142,691)</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(7.7)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(235,318,304)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(221,551,138)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(179,879,602)</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(176,178,740)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(181,841,322)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(153,162,158)</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(180,734,713)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(207,023,649)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(503,184,451)</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(22.7)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(592,231,757)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(610,416,109)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(20.5)</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5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1,279,876,838</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1,205,601,961</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1,914,562,678</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340,721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474,446</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1,517,890</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94,364,852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112,599,994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144,805,368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Exchange losses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(958,435)</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(50,891,094)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(167,101,510)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1,239,105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(1,084,240)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3,551,919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Profit before tax</w:t>
            </w:r>
          </w:p>
        </w:tc>
        <w:tc>
          <w:tcPr>
            <w:tcW w:w="15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1,374,863,081</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1,266,701,067</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1,897,336,345</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(132,485,543)</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(2,689,309)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(300,673,321)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Profit after tax</w:t>
            </w:r>
          </w:p>
        </w:tc>
        <w:tc>
          <w:tcPr>
            <w:tcW w:w="15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1,242,377,538</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1,264,011,758</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1,596,663,024</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400,046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Net profit</w:t>
            </w:r>
          </w:p>
        </w:tc>
        <w:tc>
          <w:tcPr>
            <w:tcW w:w="15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1,242,777,584</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1,264,086,122</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1,596,687,907</w:t>
            </w:r>
          </w:p>
        </w:tc>
        <w:tc>
          <w:tcPr>
            <w:tcW w:w="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investments</w:t>
            </w:r>
          </w:p>
        </w:tc>
        <w:tc>
          <w:tcPr>
            <w:tcW w:w="15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1,332,300</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1,242,777,584</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1,265,418,422</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1,596,687,907</w:t>
            </w:r>
          </w:p>
        </w:tc>
        <w:tc>
          <w:tcPr>
            <w:tcW w:w="2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 compensation cost included in:</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revenues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(16,614,309)</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(0.7)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(14,890,378)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(13,678,836)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(21,147,343)</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(14,357,336)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(8,564,177)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(37,360,433)</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(33,887,323)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(23,586,590)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(26,164,591)</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(32,293,138)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(22,119,058)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 to Year Ended December 31,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Total net revenues increased by 39.4% to RMB3,084.6 million (US$452.1 million) in 2008 from RMB2,213.3 million in 2007. Net revenues from online games services, advertising services, and wireless value-added services and others constituted 85.2%, 12.1% and 2.7%, respectively, of our total net revenues in 2008. This compares with 84.4%, 12.6% and 3.0%, respectively, in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revenues from online games services increased by 40.7% to RMB2,629.2 million (US$385.4 million) in 2008 from RMB1,868.9 million in 2007. This increase was mainly due to the continued growth in the number of users and average playing time per user of our in-house developed MMORPG, Fantasy Westward Journey. The number of peak concurrent players for Fantasy Westward Journey increased to approximately 1,809,000 in December 2008 from 1,519,000 in December 2007, and the number of average concurrent users for Fantasy Westward Journey increased to approximately 617,000 in December 2008 from approximately 546,000 in December 2007. The continued growth in popularity of Fantasy Westward Journey throughout 2008 was mainly attributable to new designs and features introduced during the year, together with the successful launching of a series of in-game marketing events and new expansion pack for the game in the year. In addition, revenue of Westward Journey Online II increased during the year. The number of peak concurrent players for Westward Journey Online II increased to approximately 575,000 in December 2008 from approximately 367,000 in December 2007, and the number of average concurrent players for Westward Journey Online II increased to approximately 198,000 in December 2008 from approximately 153,000 in December 2007. In addition, the open beta testing versions of our 3D item-based online games, Tianxia II and Legend of Westward Journey, were launched in June and September 2008, respectively, which contributed a modest portion of revenue for the year. Revenue from Westward Journey Online III increased slightly as well upon its commercial launch in September 2007.</w:t>
      </w:r>
    </w:p>
    <w:p>
      <w:pPr>
        <w:spacing w:after="0" w:line="12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receipt of a business tax refund of RMB146.8 million in June 2008, of which RMB133.9 million is allocated to the online game segment resulted in lower business tax expenses for online games service in 2008. Please see the discussion under “—Business Tax”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Net revenues from advertising services increased by 33.1% to RMB371.4 million (US$54.4 million) in 2008 from RMB279.1 million in 2007, primarily due to the overall expansion of China’s online advertising market.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Average net revenue per traditional advertiser (i.e., customers which do not advertise through our search services) increased to approximately RMB900,000 (US$132,000) in 2008 from RMB623,000 in 2007. The number of traditional advertisers using the NetEase websites decreased to 411 in 2008 from 438 in 2007, with revenues from our top ten advertisers comprising 29.4% of our total advertising services revenues in 2008 as compared to 27.9% in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revenues from wireless value-added services and others increased by 28.7% to RMB84.0 million (US$12.3 million) in 2008 from RMB65.3 million in 2007. This increase was primarily driven by the receipt of a business tax refund of RMB146.8 million in June 2008, of which RMB12.9 million is allocated to the wireless value-added service and others segment and resulted in lower business tax expenses for wireless value-added service and others segment in 2008. Please see the discussion under “—Business Tax” above.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revenues from other value-added services increased as a result of our continuing enhancements to such services and integration of other value-added services and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cost of revenues increased by 34.7% to RMB559.6 million (US$82.0 million) in 2008 from RMB415.5 million in 2007. The year-over-year increase was mainly due to an increase in staff-related cost, business tax on intra-group revenue, cost of third party content and technology cost. In 2008, costs relating to online games services, advertising services and wireless value-added services and others represented 48.0%, 37.3% and 14.7% of total cost of revenues, respectively, as compared with 45.1%, 34.6% and 20.3% of the cost of revenues, respectively, in 2007.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revenues from our online games services increased by 43.3% to RMB268.6 million (US$39.4 million) in 2008 from RMB187.4 million in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cost of revenues in 2008 was primarily due to a combination of the following factors:</w:t>
      </w:r>
    </w:p>
    <w:p>
      <w:pPr>
        <w:spacing w:after="0" w:line="84" w:lineRule="exact"/>
        <w:rPr>
          <w:sz w:val="20"/>
          <w:szCs w:val="20"/>
          <w:color w:val="auto"/>
        </w:rPr>
      </w:pPr>
    </w:p>
    <w:p>
      <w:pPr>
        <w:ind w:left="900" w:right="4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Staff-related costs increased by RMB57.9 million to RMB89.1 million (US$13.1 million) in 2008 from RMB31.2 million in 2007, mainly as a result of an increase in the level of salaries and bonuses and an increase in the number of employees. The number of full time employees in our online games department increased to 1,553 as of December 31, 2008 from 1,208 as of December 31, 2007.</w:t>
      </w:r>
    </w:p>
    <w:p>
      <w:pPr>
        <w:spacing w:after="0" w:line="25" w:lineRule="exact"/>
        <w:rPr>
          <w:rFonts w:ascii="Arial" w:cs="Arial" w:eastAsia="Arial" w:hAnsi="Arial"/>
          <w:sz w:val="16"/>
          <w:szCs w:val="16"/>
          <w:color w:val="auto"/>
        </w:rPr>
      </w:pPr>
    </w:p>
    <w:p>
      <w:pPr>
        <w:ind w:left="900" w:right="42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tax payable on intra-group revenues related to online games from our VIEs increased by RMB23.4 million to RMB116.8 million (US$17.1million) in 2008 from RMB93.4 million in 2007 due to continued growth in the popularity of Fantasy Westward Journey, Westward Journey Online II and Westward Journey Online III and, to a lesser extent, due to the launch of the open beta testing versions of our item-based online games, Tianxia II and Legend of Westward Journey, in June and September 2008,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revenues from our advertising services increased by 45.4% to RMB208.9 million (US$30.6 million) in 2008 from RMB143.7 million in 2007. The increases in cost of revenues in 2008 were primarily due to a combination of the following factors:</w:t>
      </w:r>
    </w:p>
    <w:p>
      <w:pPr>
        <w:spacing w:after="0" w:line="51" w:lineRule="exact"/>
        <w:rPr>
          <w:sz w:val="20"/>
          <w:szCs w:val="20"/>
          <w:color w:val="auto"/>
        </w:rPr>
      </w:pPr>
    </w:p>
    <w:p>
      <w:pPr>
        <w:ind w:left="900" w:right="2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third party content for the NetEase websites increased by RMB37.6 million to RMB56.5 million (US$8.3 million) in 2008 from RMB18.9 million in 2007 as the 2008 Olympic Games caused an increase in the prices for content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Staff-related costs increased by RMB22.1 million to RMB78.9 million (US$11.6 million) in 2008 from RMB56.8 million in 2007, mainly as a result of an increase in salaries and other compensation payments, such as bonuses and welfare benefits, and also due to an expansion of the number of editors of the various content channels (mostly working on 2008 Olympic Games related assignments) for the NetEase websites to 550 as of December 31, 2008 from 386 as of December 31, 2007.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Cost of revenues from our wireless value-added services and others decreased by 2.7% to RMB82.1 million (US$12.0 million) in 2008 from RMB84.4 million in 2007. This decrease in cost of revenues in 2008 was primarily due to a combination of the following factors:</w:t>
      </w:r>
    </w:p>
    <w:p>
      <w:pPr>
        <w:spacing w:after="0" w:line="51" w:lineRule="exact"/>
        <w:rPr>
          <w:sz w:val="20"/>
          <w:szCs w:val="20"/>
          <w:color w:val="auto"/>
        </w:rPr>
      </w:pPr>
    </w:p>
    <w:p>
      <w:pPr>
        <w:ind w:left="900" w:right="120" w:hanging="325"/>
        <w:spacing w:after="0" w:line="35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Depreciation and amortization costs of computers and software decreased by RMB7.1 million to RMB35.8 million (US$5.3 million) in 2008 from RMB42.9 million in 2007, mainly because our various free services such as e-mail and photo related servers became fully depreciated during 2008.</w:t>
      </w:r>
    </w:p>
    <w:p>
      <w:pPr>
        <w:ind w:left="900" w:right="2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Staff-related cost decreased by RMB3.3 million to RMB6.2 million (US$0.9 million) in 2008 from RMB9.5 million in 2007, mainly due to the decrease in salaries and other compensation payments, such as bonus and welfare benefits of RMB2.2 million (US$0.3 million) and a decrease in share-based compensation cost of RMB1.1 million (US$0.2 million) in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decreases were partially offset by the following factors:</w:t>
      </w:r>
    </w:p>
    <w:p>
      <w:pPr>
        <w:spacing w:after="0" w:line="90" w:lineRule="exact"/>
        <w:rPr>
          <w:sz w:val="20"/>
          <w:szCs w:val="20"/>
          <w:color w:val="auto"/>
        </w:rPr>
      </w:pPr>
    </w:p>
    <w:p>
      <w:pPr>
        <w:ind w:left="900" w:right="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tax payable by us on intra-group revenue related to wireless and other value-added services from our VIEs increased by RMB2.9 million in 2008 as a result of a 28.7% increase in net revenue in 2008 compared to 2007.</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accessory products sold in 2008 increased by RMB2.6 million to RMB4.0 million (US$0.6 million) from RMB1.4 million in 2007 due to increased market demand during 2008.</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Bandwidth and server custody fees increased by RMB2.4 million to RMB29.6 million (US$4.3 million) in 2008 from RMB27.2 million in 2007, as a result of an increase in bandwidth usage by our free email service in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profit increased by 40.4% to RMB2,525.0 million (US$370.1 million) in 2008 from RMB1,797.8 million in 2007.</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table sets forth the audited consolidated gross profits and gross profit margins of our business activities for the periods indicated. The gross profit margins in 2007 and 2008 were calculated by dividing our gross profits over our net revenues for the corresponding type of services. The net revenues are before netting-off the business taxes payable by us on intra-group revenues from our VIEs, which are recorded under cost of revenues.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90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w w:val="87"/>
              </w:rPr>
              <w:t>For the 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102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02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8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6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Pr>
          <w:p>
            <w:pPr>
              <w:spacing w:after="0"/>
              <w:rPr>
                <w:sz w:val="12"/>
                <w:szCs w:val="12"/>
                <w:color w:val="auto"/>
              </w:rPr>
            </w:pPr>
          </w:p>
        </w:tc>
        <w:tc>
          <w:tcPr>
            <w:tcW w:w="88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Online game services</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1,681,446,765</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2,360,610,078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346,003,676</w:t>
            </w: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Advertising services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135,451,607</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162,478,816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23,815,143</w:t>
            </w: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Wireless value-added services and others</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(19,064,654)</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1,889,893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277,009</w:t>
            </w:r>
          </w:p>
        </w:tc>
      </w:tr>
      <w:tr>
        <w:trPr>
          <w:trHeight w:val="27"/>
        </w:trPr>
        <w:tc>
          <w:tcPr>
            <w:tcW w:w="7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1,797,833,718</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2,524,978,787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370,095,828</w:t>
            </w:r>
          </w:p>
        </w:tc>
      </w:tr>
      <w:tr>
        <w:trPr>
          <w:trHeight w:val="20"/>
        </w:trPr>
        <w:tc>
          <w:tcPr>
            <w:tcW w:w="7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20"/>
                <w:szCs w:val="20"/>
                <w:color w:val="auto"/>
              </w:rPr>
            </w:pPr>
            <w:r>
              <w:rPr>
                <w:rFonts w:ascii="Arial" w:cs="Arial" w:eastAsia="Arial" w:hAnsi="Arial"/>
                <w:sz w:val="18"/>
                <w:szCs w:val="18"/>
                <w:b w:val="1"/>
                <w:bCs w:val="1"/>
                <w:color w:val="auto"/>
              </w:rPr>
              <w:t>Gross profit (loss) margin:</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Online game services</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Advertising services</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48.5%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43.7%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Wireless value-added services and others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Total gross profit margin</w:t>
            </w: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81.2%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slight decrease in gross profit margin for online game services in 2008 was mainly due to the increased cost of revenues which outpaced the increase in net revenues. Higher cost of revenues was mainly the result of increased headcount and higher level of salaries and bonuses paid to the employees in our online game business in 2008, and increased business tax payable on intra-group revenues related to online games from our VIEs driven by a 40.7% increase in net revenue in 2008.</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decrease in gross profit margin for advertising services was mainly due to the increase in salaries and other benefits paid to content editors and the increased cost of third party content in relation to the 2008 Olympic Games.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gross profit margin for wireless value-added services and others increased significantly in 2008 as compared to the gross loss margin in 2007 as a result of an increase in net revenues primarily due to the receipt of business tax refund in June 2008, plus a general decrease in cost of revenues mainly driven by decreased depreciation expenses as some servers associated with our various free e-mail and photo services became fully depreciated during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Total operating expenses increased by 3.1% to RMB610.4 million (US$89.5 million) in 2008 from RMB592.2 million in 2007. The increase was driven primarily by the increase in both general and administrative expenses and research and development expenses, partially offset by a decrease in selling and marketing expenses.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General and administrative expenses increased by 3.2% to RMB181.8 million (US$26.7 million) in 2008 from RMB176.2 million in 2007, primarily due to a combination of the following factors:</w:t>
      </w:r>
    </w:p>
    <w:p>
      <w:pPr>
        <w:spacing w:after="0" w:line="51" w:lineRule="exact"/>
        <w:rPr>
          <w:sz w:val="20"/>
          <w:szCs w:val="20"/>
          <w:color w:val="auto"/>
        </w:rPr>
      </w:pPr>
    </w:p>
    <w:p>
      <w:pPr>
        <w:ind w:left="5620" w:right="2440" w:hanging="5045"/>
        <w:spacing w:after="0" w:line="440" w:lineRule="auto"/>
        <w:tabs>
          <w:tab w:leader="none" w:pos="8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allowance for bad and doubtful debts of approximately RMB14.0 million (US$2.0 million) in 2008. 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rental expenses of RMB3.3 million (US$0.5 million) in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were partially offset by the following factors:</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share-based compensation cost of RMB10.3 million (US$1.5 million).</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depreciation expenses of RMB2.6 million (US$0.4 million) due to the fact that fewer fixed assets were purchased in 2008 compared to 2007 by general and administrative departments and certain fixed assets were fully depreciated during 2008.</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Research and development expenses increased by 14.5% to RMB207.0 million (US$30.3 million) in 2008 from RMB180.7 million in 2007, primarily due to a combination of the following factors:</w:t>
      </w:r>
    </w:p>
    <w:p>
      <w:pPr>
        <w:spacing w:after="0" w:line="51" w:lineRule="exact"/>
        <w:rPr>
          <w:sz w:val="20"/>
          <w:szCs w:val="20"/>
          <w:color w:val="auto"/>
        </w:rPr>
      </w:pPr>
    </w:p>
    <w:p>
      <w:pPr>
        <w:ind w:left="90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in staff-related costs of approximately RMB27.5 million (US$4.0 million) in 2008, mainly as a result of increased headcount of program developers in our online games department, with higher salaries and other benefits paid to our research and development team during 2008. The above increase was partially offset by a decrease in share-based compensation cost of RMB10.3 million (US$1.5 million).</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depreciation and amortization by RMB3.5 million (US$0.5 million) in 2008, mostly related to additional servers purchased to support Youdao search engine development and enhancement of new and existing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Licensing fees of RMB1.9 million (US$0.3 million) related to a new 3D game engine acquired in 2008.</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Selling and marketing expenses decreased by 5.9% to RMB221.6 million (US$32.5 million) in 2008 from RMB235.3 million in 2007, primarily due to a combination of the following factors:</w:t>
      </w:r>
    </w:p>
    <w:p>
      <w:pPr>
        <w:spacing w:after="0" w:line="51" w:lineRule="exact"/>
        <w:rPr>
          <w:sz w:val="20"/>
          <w:szCs w:val="20"/>
          <w:color w:val="auto"/>
        </w:rPr>
      </w:pPr>
    </w:p>
    <w:p>
      <w:pPr>
        <w:ind w:left="900" w:right="1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marketing costs of approximately RMB43.6 million (US$6.4 million) in 2008 resulting from reduced advertising and marketing promotion related to Westward Journey Online III and reduced marketing spending on Fantasy Westward Journey, Westward Journey Online II and Popo Game in 2008.</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meeting fees, travel and transportation expenses of approximately RMB8.6 million (US$1.3 million) by advertising sales, content and online games departments due to tightened controls in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decreases were partially offset by the following factors:</w:t>
      </w:r>
    </w:p>
    <w:p>
      <w:pPr>
        <w:spacing w:after="0" w:line="90" w:lineRule="exact"/>
        <w:rPr>
          <w:sz w:val="20"/>
          <w:szCs w:val="20"/>
          <w:color w:val="auto"/>
        </w:rPr>
      </w:pPr>
    </w:p>
    <w:p>
      <w:pPr>
        <w:ind w:left="900" w:right="66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in staff-related costs of our sales team of approximately RMB11.8 million (US$1.7 million) in 2008 due to increases in average headcount in our advertising and an increase in salaries and bonuses in online game departments in 2008.</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labor cost of approximately RMB25.1 million (US$3.7 million) associated with the expansion of regional game promotion activities in China during 2008.</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2008, the gross accounts receivable balance before any allowance for bad and doubtful accounts was RMB250.9 million (US$36.8 million). After providing for doubtful accounts in the amount of RMB19.9 million (US$2.9 million), the net balance of accounts receivable was RMB231.0 million (US$33.9 million) as of December 31, 2008. The allowance for doubtful accounts consisted of general provisions of RMB13.1 million (US$1.9 million) and specific provisions of RMB6.8 million (US$1.0 million).</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periodically review our general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2008, we had two customers with a receivable balance exceeding 10.0% of the total accounts receivable balance. The approximate total accounts receivable of each such customer outstanding as of December 31, 2008 (and percentage of our total accounts receivable balances) were RMB36.1 million (US$5.3 million) or 14.4% and RMB30.9 million (US$4.5 million) or 12.3%,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income in 2008 mainly consisted of interest income after deducting foreign exchange loss. Interest income increased to RMB144.8 million (US$21.2 million) in 2008 from RMB112.6 million in 2007, mainly due to an increase in bank deposits. The cash for such deposits was generated largely from our operations. We did not incur interest expense in 2008 and 2007. In 2008, we recognized a foreign exchange loss of RMB167.1 million (US$24.5 million) primarily due to the increase in translation loss related to our bank deposits denominated in US dollars and Euros, resulting from the depreciation in the exchange rates of the US dollar and/or the Euro against the Renminbi during the year. In 2007, we recognized an exchange loss of RMB50.9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increased significantly to RMB300.7 million (US$44.1 million) in 2008 from RMB2.7 million in 2007. Our effective tax rate in 2008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15.8% as compared with 0.2% in 2007. The lower effective income tax rate in 2007 was mainly due to the receipt of an investment incentive tax refund and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resulting from the increased deferred tax assets which were booked under applicable accounting standards at the new statutory income tax rate.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income tax rate of 15.8% in 2008 reflects the preferred tax rates applicable to certain of our subsidiaries under the new income tax laws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1,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foregoing, net profit increased by 26.3% to RMB1,596.7 million (US$234.0 million) in 2008 from RMB1,264.1 million in 2007.</w:t>
      </w:r>
    </w:p>
    <w:p>
      <w:pPr>
        <w:spacing w:after="0" w:line="269" w:lineRule="exact"/>
        <w:rPr>
          <w:sz w:val="20"/>
          <w:szCs w:val="20"/>
          <w:color w:val="auto"/>
        </w:rPr>
      </w:pPr>
    </w:p>
    <w:p>
      <w:pPr>
        <w:ind w:right="5620"/>
        <w:spacing w:after="0" w:line="347" w:lineRule="auto"/>
        <w:rPr>
          <w:sz w:val="20"/>
          <w:szCs w:val="20"/>
          <w:color w:val="auto"/>
        </w:rPr>
      </w:pPr>
      <w:r>
        <w:rPr>
          <w:rFonts w:ascii="Arial" w:cs="Arial" w:eastAsia="Arial" w:hAnsi="Arial"/>
          <w:sz w:val="18"/>
          <w:szCs w:val="18"/>
          <w:b w:val="1"/>
          <w:bCs w:val="1"/>
          <w:color w:val="auto"/>
        </w:rPr>
        <w:t>Year Ended December 31, 2007 Compared to Year Ended December 31, 2006 Revenues</w:t>
      </w:r>
    </w:p>
    <w:p>
      <w:pPr>
        <w:spacing w:after="0" w:line="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Total net revenues increased by 2.3% to RMB2,213.3 million in 2007 from RMB2,164.4 million in 2006. Net revenues from online games services, advertising services, and wireless value-added services and others constituted 84.4%, 12.6% and 3.0%, respectively, of our total net revenues in 2007. This compares with 84.6%, 12.1% and 3.3%, respectively, in 2006.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revenues from online games services increased by 2.1% to RMB1,868.9 million in 2007 from RMB1,830.3 million in 2006. The number of peak concurrent players for Fantasy Westward Journey increased to approximately 1,519,000 in December 2007 from 1,335,000 in December 2006, and the number of average concurrent users for Fantasy Westward Journey increased to approximately 546,000 in December 2007 from approximately 453,000 in December 2006. The continued growth in popularity of Fantasy Westward Journey throughout 2007 was mainly attributable to the successful launching of new expansion packs for the game in the year. In addition, the number of peak concurrent players for Westward Journey Online III reached approximately 117,000 in December 2007, and the number of average concurrent users for Westward Journey Online III achieved approximately 49,000 in December 2007. This increase was offset in part by reduced revenues from our other principal online game, Westward Journey Online II. The number of peak concurrent players for Westward Journey Online II decreased to approximately 367,000 in December 2007 from approximately 440,000 in December 2006, and the number of average concurrent players for Westward Journey Online II decreased to approximately 153,000 in December 2007 from approximately 174,000 in December 2006.</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revenues from advertising services increased by 6.7% to RMB279.1 million in 2007 from RMB261.5 million in 2006, primarily due to the overall expansion of China’s online advertising market.</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Average net revenue per traditional advertiser (i.e., customers which do not advertise through our search services) increased to approximately RMB623,000 in 2007 from RMB590,000 in 2006. The number of traditional advertisers using the NetEase websites increased to 438 in 2007 from 410 in 2006, with revenues from our top ten advertisers comprising 27.9% of our total advertising services revenues in 2007 as compared to 37.3% in 2006.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Net revenues from wireless value-added services and others decreased by 10.1% to RMB65.3 million in 2007 from RMB72.6 million in 2006. This decrease was primarily due to reduced revenues from SMS services resulting from our reduced marketing promotion of our SMS business and under-performing SMS products. The decrease was offset in part by increased revenues from our other value-added services as a result of our continuing enhancements to such services and integration of other value-added services and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cost of revenues increased by 9.0% to RMB415.5 million in 2007 from RMB381.3 million in 2006. The year-over-year increase was mainly due to an increase in depreciation cost, staff-related cost, business tax on intra-group revenue, cost of third party content and technology cost. In 2007, costs relating to online games services, advertising services and wireless value-added services and others represented 45.1%, 34.6% and 20.3% of total cost of revenues, respectively, as compared with 46.9%, 32.8% and 20.3% of the cost of revenues, respectively, in 2006.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Online Games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Cost of revenues from our online games services increased by 4.9% to RMB187.4 million in 2007 from RMB178.7 million in 2006. This increase in cost of revenues in 2007 was primarily due to a combination of the following factors:</w:t>
      </w:r>
    </w:p>
    <w:p>
      <w:pPr>
        <w:spacing w:after="0" w:line="51" w:lineRule="exact"/>
        <w:rPr>
          <w:sz w:val="20"/>
          <w:szCs w:val="20"/>
          <w:color w:val="auto"/>
        </w:rPr>
      </w:pPr>
    </w:p>
    <w:p>
      <w:pPr>
        <w:ind w:left="900" w:right="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Staff-related costs increased by RMB9.9 million to RMB31.2 million in 2007 from RMB21.3 million in 2006, mainly as a result of an increase in the level of salaries and bonuses as well as an increase in the number of employees. The number of full time employees in our online games department increased to 1,208 as of December 31, 2007 from 1,052 as of December 31, 2006.</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tax payable on intra-group revenues related to online games from our VIEs increased by RMB3.6 million to RMB93.4 million in 2007 from RMB89.8 million in 2006 due to continued growth in the popularity of Fantasy Westward Journey and the commercial launch of Westward Journey Online III in September 2007.</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Depreciation and amortization costs of computers and software increased by RMB0.5 million to RMB8.9 million in 2007 from RMB8.4 million in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were partially offset by the following factors:</w:t>
      </w:r>
    </w:p>
    <w:p>
      <w:pPr>
        <w:spacing w:after="0" w:line="90" w:lineRule="exact"/>
        <w:rPr>
          <w:sz w:val="20"/>
          <w:szCs w:val="20"/>
          <w:color w:val="auto"/>
        </w:rPr>
      </w:pPr>
    </w:p>
    <w:p>
      <w:pPr>
        <w:ind w:left="900" w:right="1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Bandwidth and server custody fees decreased by RMB2.3 million to RMB19.3 million in 2007 from RMB21.6 million in 2006 due to the fact that reductions in fee rates charged by the service providers more than offset an increase in bandwidth usage caused by the rising volume of online game services.</w:t>
      </w:r>
    </w:p>
    <w:p>
      <w:pPr>
        <w:spacing w:after="0" w:line="59"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Printing cost for prepaid point cards decreased by RMB1.7 million to RMB9.4 million in 2007 from RMB11.1 million in 2006, as a result of the reduced consumption of physical point cards in 2007 compared to 2006.</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sharing expenses decreased by RMB1.5 million to RMB15.1 million in 2007 from RMB16.6 million in 2006 due to reduced business cooperation with the internet data centers in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Services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Cost of revenues from our advertising services increased by 14.8% to RMB143.7 million in 2007 from RMB125.2 million in 2006. The increase in cost of revenues in 2007 was primarily due to a combination of the following factors:</w:t>
      </w:r>
    </w:p>
    <w:p>
      <w:pPr>
        <w:spacing w:after="0" w:line="51" w:lineRule="exact"/>
        <w:rPr>
          <w:sz w:val="20"/>
          <w:szCs w:val="20"/>
          <w:color w:val="auto"/>
        </w:rPr>
      </w:pPr>
    </w:p>
    <w:p>
      <w:pPr>
        <w:ind w:left="900" w:right="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third party content for the NetEase websites increased by RMB7.5 million to RMB18.9 million in 2007 from RMB11.4 million in 2006, as a result of our efforts to improve the range and quality of the content we offer on those sites.</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Depreciation and amortization costs of computers and software increased by RMB4.7 million to RMB20.0 million in 2007 from RMB15.3 million in 2006, mainly due to additional servers purchased during the year to satisfy our ongoing business capacity requirements and to provide capacity for our newly launched search engine service, Youdao, in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Staff-related costs increased by RMB3.9 million to RMB56.8 million in 2007 from RMB52.9 million in 2006, mainly as a result of an increase in salaries and other compensation payments, such as bonuses and welfare benefits, and also due to an expansion of the number of editors of the various content channels for the NetEase websites to 386 as of December 31, 2007 from 293 as of December 31, 2006.</w:t>
      </w:r>
    </w:p>
    <w:p>
      <w:pPr>
        <w:spacing w:after="0" w:line="25"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Bandwidth and server custody fees increased by RMB1.9 million to RMB25.1 million in 2007 from RMB23.2 million in 2006, as a result of an increase in bandwidth usage for supporting the continuous growth of traffic on the NetEase websites.</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Business tax payable by us on intra-group revenues related to advertising services from our VIEs increased by RMB0.8 million to RMB13.4 million in 2007 from RMB12.6 million in 2006, primarily due to increased demand for advertising spaces on the NetEase websites.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Wireless Value-Added Services and Others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Cost of revenues from our wireless value-added services and others increased 9.0% to RMB84.4 million in 2007 from RMB77.4 million in 2006. This increase in cost of revenues in 2007 was primarily due to a combination of the following factors:</w:t>
      </w:r>
    </w:p>
    <w:p>
      <w:pPr>
        <w:spacing w:after="0" w:line="51" w:lineRule="exact"/>
        <w:rPr>
          <w:sz w:val="20"/>
          <w:szCs w:val="20"/>
          <w:color w:val="auto"/>
        </w:rPr>
      </w:pPr>
    </w:p>
    <w:p>
      <w:pPr>
        <w:ind w:left="900" w:right="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costs of computers and software increased by RMB7.7 million to RMB42.9 million in 2007 from RMB35.2 million in 2006, mainly due to additional servers purchased during the year to meet the increase in demand for our various free services such as e-mail and album.</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Bandwidth and server custody fees increased by RMB3.5 million to RMB27.2 million in 2007 from RMB23.7 million in 2006, as a result of an increase in bandwidth usage.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increases were partially offset by the fact that staff-related costs decreased by RMB4.9 million to RMB9.5 million in 2007 from RMB14.4 million in 2006, as a result of decreased headcount due to the reorganization of our SMS business in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profit increased by 0.8% to RMB1,797.8 million in 2007 from RMB1,783.1 million in 2006.</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table sets forth the audited consolidated gross profits and gross profit margins of our business activities for the periods indicated. The gross profit margins in 2006 and 2007 were calculated by dividing our gross profits over our net revenues for the corresponding type of services. The net revenues are before netting-off the business taxes payable by us on intra-group revenues from our VIEs, which are recorded under cost of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2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4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Online game services</w:t>
            </w:r>
          </w:p>
        </w:tc>
        <w:tc>
          <w:tcPr>
            <w:tcW w:w="5680" w:type="dxa"/>
            <w:vAlign w:val="bottom"/>
            <w:gridSpan w:val="3"/>
          </w:tcPr>
          <w:p>
            <w:pPr>
              <w:jc w:val="right"/>
              <w:ind w:right="480"/>
              <w:spacing w:after="0"/>
              <w:rPr>
                <w:sz w:val="20"/>
                <w:szCs w:val="20"/>
                <w:color w:val="auto"/>
              </w:rPr>
            </w:pPr>
            <w:r>
              <w:rPr>
                <w:rFonts w:ascii="Arial" w:cs="Arial" w:eastAsia="Arial" w:hAnsi="Arial"/>
                <w:sz w:val="18"/>
                <w:szCs w:val="18"/>
                <w:color w:val="auto"/>
              </w:rPr>
              <w:t>1,651,616,697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1,681,446,765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Advertising services</w:t>
            </w:r>
          </w:p>
        </w:tc>
        <w:tc>
          <w:tcPr>
            <w:tcW w:w="5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136,298,684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135,451,607</w:t>
            </w: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Wireless value-added services and others</w:t>
            </w:r>
          </w:p>
        </w:tc>
        <w:tc>
          <w:tcPr>
            <w:tcW w:w="41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(4,854,092)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(19,064,654)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4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1,783,061,289</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1,797,833,718</w:t>
            </w:r>
          </w:p>
        </w:tc>
        <w:tc>
          <w:tcPr>
            <w:tcW w:w="0" w:type="dxa"/>
            <w:vAlign w:val="bottom"/>
          </w:tcPr>
          <w:p>
            <w:pPr>
              <w:spacing w:after="0"/>
              <w:rPr>
                <w:sz w:val="1"/>
                <w:szCs w:val="1"/>
                <w:color w:val="auto"/>
              </w:rPr>
            </w:pPr>
          </w:p>
        </w:tc>
      </w:tr>
      <w:tr>
        <w:trPr>
          <w:trHeight w:val="330"/>
        </w:trPr>
        <w:tc>
          <w:tcPr>
            <w:tcW w:w="4480" w:type="dxa"/>
            <w:vAlign w:val="bottom"/>
          </w:tcPr>
          <w:p>
            <w:pPr>
              <w:spacing w:after="0"/>
              <w:rPr>
                <w:sz w:val="20"/>
                <w:szCs w:val="20"/>
                <w:color w:val="auto"/>
              </w:rPr>
            </w:pPr>
            <w:r>
              <w:rPr>
                <w:rFonts w:ascii="Arial" w:cs="Arial" w:eastAsia="Arial" w:hAnsi="Arial"/>
                <w:sz w:val="18"/>
                <w:szCs w:val="18"/>
                <w:b w:val="1"/>
                <w:bCs w:val="1"/>
                <w:color w:val="auto"/>
              </w:rPr>
              <w:t>Gross profit (loss) margin:</w:t>
            </w:r>
          </w:p>
        </w:tc>
        <w:tc>
          <w:tcPr>
            <w:tcW w:w="4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Online game services</w:t>
            </w:r>
          </w:p>
        </w:tc>
        <w:tc>
          <w:tcPr>
            <w:tcW w:w="5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Advertising services</w:t>
            </w:r>
          </w:p>
        </w:tc>
        <w:tc>
          <w:tcPr>
            <w:tcW w:w="5680" w:type="dxa"/>
            <w:vAlign w:val="bottom"/>
            <w:gridSpan w:val="3"/>
          </w:tcPr>
          <w:p>
            <w:pPr>
              <w:jc w:val="right"/>
              <w:ind w:right="340"/>
              <w:spacing w:after="0"/>
              <w:rPr>
                <w:sz w:val="20"/>
                <w:szCs w:val="20"/>
                <w:color w:val="auto"/>
              </w:rPr>
            </w:pPr>
            <w:r>
              <w:rPr>
                <w:rFonts w:ascii="Arial" w:cs="Arial" w:eastAsia="Arial" w:hAnsi="Arial"/>
                <w:sz w:val="18"/>
                <w:szCs w:val="18"/>
                <w:color w:val="auto"/>
              </w:rPr>
              <w:t>52.1%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Wireless value-added services and others</w:t>
            </w:r>
          </w:p>
        </w:tc>
        <w:tc>
          <w:tcPr>
            <w:tcW w:w="4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40"/>
              <w:spacing w:after="0"/>
              <w:rPr>
                <w:sz w:val="20"/>
                <w:szCs w:val="20"/>
                <w:color w:val="auto"/>
              </w:rPr>
            </w:pPr>
            <w:r>
              <w:rPr>
                <w:rFonts w:ascii="Arial" w:cs="Arial" w:eastAsia="Arial" w:hAnsi="Arial"/>
                <w:sz w:val="18"/>
                <w:szCs w:val="18"/>
                <w:color w:val="auto"/>
              </w:rPr>
              <w:t>Total gross profit margin</w:t>
            </w:r>
          </w:p>
        </w:tc>
        <w:tc>
          <w:tcPr>
            <w:tcW w:w="4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418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82.4%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372"/>
        </w:trPr>
        <w:tc>
          <w:tcPr>
            <w:tcW w:w="4480" w:type="dxa"/>
            <w:vAlign w:val="bottom"/>
          </w:tcPr>
          <w:p>
            <w:pPr>
              <w:spacing w:after="0"/>
              <w:rPr>
                <w:sz w:val="24"/>
                <w:szCs w:val="24"/>
                <w:color w:val="auto"/>
              </w:rPr>
            </w:pPr>
          </w:p>
        </w:tc>
        <w:tc>
          <w:tcPr>
            <w:tcW w:w="4180" w:type="dxa"/>
            <w:vAlign w:val="bottom"/>
          </w:tcPr>
          <w:p>
            <w:pPr>
              <w:jc w:val="right"/>
              <w:ind w:right="2772"/>
              <w:spacing w:after="0"/>
              <w:rPr>
                <w:sz w:val="20"/>
                <w:szCs w:val="20"/>
                <w:color w:val="auto"/>
              </w:rPr>
            </w:pPr>
            <w:r>
              <w:rPr>
                <w:rFonts w:ascii="Arial" w:cs="Arial" w:eastAsia="Arial" w:hAnsi="Arial"/>
                <w:sz w:val="18"/>
                <w:szCs w:val="18"/>
                <w:color w:val="auto"/>
              </w:rPr>
              <w:t>73</w:t>
            </w:r>
          </w:p>
        </w:tc>
        <w:tc>
          <w:tcPr>
            <w:tcW w:w="10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slight decrease in gross profit margin for online game services in 2007 was mainly due to the increased cost of revenues which outpaced the increase in net revenues. Higher cost of revenues was mainly the result of increased headcount and higher level of salaries and bonuses paid to the employees in our online game business in 2007.</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decrease in gross profit margin for advertising services was mainly due to the increase in salaries and other benefits paid to content editors and the increased costs associated with our online advertising business, such as cost of third party content, server depreciation charges and bandwidth and server custody fees for the purpose of maintaining and increasing the traffic of the NetEase websites.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gross loss margin for wireless value-added services and others increased significantly in 2007 compared to 2006 as a result of an increase in the cost of revenues, including server depreciation costs and bandwidth and server custody fees, associated with our various free e-mail and photo album services. The increase in cost of revenue was offset in part by reduced salaries and revenue sharing expenses as a result of the reorganization of our SMS business in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Total operating expenses increased by 17.7% to RMB592.2 million in 2007 from RMB503.2 million in 2006. Operating expenses as a percentage of total net revenue increased from 23.2% in 2006 to 26.8% in 2007. The increase was driven primarily by the increase in both selling and marketing expenses and research and development expenses.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Selling and marketing expenses increased by 38.3% to RMB235.3 million in 2007 from RMB170.1 million in 2006, primarily due to a combination of the following factors:</w:t>
      </w:r>
    </w:p>
    <w:p>
      <w:pPr>
        <w:spacing w:after="0" w:line="51" w:lineRule="exact"/>
        <w:rPr>
          <w:sz w:val="20"/>
          <w:szCs w:val="20"/>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marketing costs of approximately RMB47.2 million for advertising and marketing promotion of Westward Journey Online III, Fantasy Westward Journey and Tianxia II in 2007.</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labor cost of approximately RMB11.2 million associated with the expansion of regional game promotion activities in China during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transportation costs by approximately RMB2.1 million due to the increased level of promotional activities and events in 2007.</w:t>
      </w:r>
    </w:p>
    <w:p>
      <w:pPr>
        <w:spacing w:after="0" w:line="113" w:lineRule="exact"/>
        <w:rPr>
          <w:rFonts w:ascii="Arial" w:cs="Arial" w:eastAsia="Arial" w:hAnsi="Arial"/>
          <w:sz w:val="16"/>
          <w:szCs w:val="16"/>
          <w:color w:val="auto"/>
        </w:rPr>
      </w:pPr>
    </w:p>
    <w:p>
      <w:pPr>
        <w:ind w:left="900" w:right="34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staff-related costs of our online game and advertising sales team of approximately RMB5.1 million in 2007. This increase was partially offset by the decrease in staff costs of approximately RMB3.8 million resulting from the reduction of the marketing team in the wireless department in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General and administrative expenses decreased by 2.1% to RMB176.2 million in 2007 from RMB179.9 million in 2006, primarily due to a combination of the following factors:</w:t>
      </w:r>
    </w:p>
    <w:p>
      <w:pPr>
        <w:spacing w:after="0" w:line="51" w:lineRule="exact"/>
        <w:rPr>
          <w:sz w:val="20"/>
          <w:szCs w:val="20"/>
          <w:color w:val="auto"/>
        </w:rPr>
      </w:pPr>
    </w:p>
    <w:p>
      <w:pPr>
        <w:ind w:left="900" w:right="26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professional fees of approximately RMB10.6 million associated with reduced expenses incurred for outside consultants by approximately RMB6.3 million in 2007, and the fact that the remaining cost of our zero coupon convertible subordinated notes of approximately RMB4.3 million was fully amortized in July 2006.</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allowance for bad and doubtful debts of approximately RMB12.8 million in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decreases were substantially offset by the following factors:</w:t>
      </w:r>
    </w:p>
    <w:p>
      <w:pPr>
        <w:spacing w:after="0" w:line="90" w:lineRule="exact"/>
        <w:rPr>
          <w:sz w:val="20"/>
          <w:szCs w:val="20"/>
          <w:color w:val="auto"/>
        </w:rPr>
      </w:pPr>
    </w:p>
    <w:p>
      <w:pPr>
        <w:ind w:left="900" w:right="4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staff-related costs by approximately RMB8.5 million in 2007, mainly as a result of an increase in the level of salaries and other compensation payments.</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increase in depreciation expense of approximately RMB11.9 million, mainly as a result of the purchase of computers and servers during 2007, and the full year depreciation expense in 2007 related to the decoration, improvements and the equipment installation expenditure for our offices in Guangzhou compared to the approximately six months of such depreciation expense in 2006.</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Research and development expenses increased by 18.0% to RMB180.7 million in 2007 from RMB153.2 million in 2006, primarily due to an increase in staff-related costs by approximately RMB38.6 million in 2007, mainly as a result of increased headcount of program developers in our online games department and higher salaries and other benefits paid to our research and development team during 2007. The increase was partially offset by a decrease in research and development expense of approximately RMB11.6 million in 2007, resulting from a one-time write-off in software cost for our licensed online 3D game, Fly for Fun, in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2007, the gross accounts receivable balance before any allowance for bad and doubtful accounts was RMB179.3 million. After providing for doubtful accounts in the amount of RMB12.6 million, the net balance of accounts receivable was RMB166.7 million as of December 31, 2007. The allowance for doubtful accounts consisted of general provisions of RMB4.9 million and specific provisions of RMB7.7 million.</w:t>
      </w:r>
    </w:p>
    <w:p>
      <w:pPr>
        <w:spacing w:after="0" w:line="10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periodically review our general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2007, we had one customer with a receivable balance exceeding 10% of the total accounts receivable balance. The approximate total outstanding accounts receivable balance then outstanding (and percentage thereon) was RMB18.6 million or 10.4%.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income in 2007 mainly consisted of interest income. Interest income increased to RMB112.6 million in 2007 from RMB94.4 million in 2006, mainly due to an increase in short-term bank deposits in China and abroad. The cash for such deposits was generated largely from our operations as well as from the proceeds of our US$100 million zero coupon convertible subordinated notes issued in July 2003. We did not incur interest expense in 2007 and 2006. In 2007, we recognized an exchange loss of RMB50.9 million upon translating foreign-currency monetary assets and liabilities, primarily due to the rising value of the Renminbi against the US dollar in 2007. In 2006, we recognized an exchange loss of RMB1.0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Income tax decreased significantly to RMB2.7 million in 2007 from RMB132.5 million in 2006. Our effective tax rate in 2007 was 0.2% as compared with 9.6% in 2006. This significant reduction in income tax was mainly due to the receipt of an investment incentive tax refund and the tax benefit resulted from the increased deferred tax assets which were booked under applicable accounting standards at the new statutory income tax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net profit increased by 1.7% to RMB1,264.1 million in 2007 from RMB1,242.8 million in 2006.</w:t>
      </w:r>
    </w:p>
    <w:p>
      <w:pPr>
        <w:spacing w:after="0" w:line="28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capital requirements relate primarily to financing:</w:t>
      </w:r>
    </w:p>
    <w:p>
      <w:pPr>
        <w:spacing w:after="0" w:line="90" w:lineRule="exact"/>
        <w:rPr>
          <w:rFonts w:ascii="Arial" w:cs="Arial" w:eastAsia="Arial" w:hAnsi="Arial"/>
          <w:sz w:val="18"/>
          <w:szCs w:val="18"/>
          <w:b w:val="1"/>
          <w:bCs w:val="1"/>
          <w:color w:val="auto"/>
        </w:rPr>
      </w:pPr>
    </w:p>
    <w:p>
      <w:pPr>
        <w:ind w:left="900" w:right="900" w:hanging="325"/>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our working capital requirements, such as bandwidth and server custody fees, staff costs, sales and marketing expenses and research and development,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costs associated with the expansion of our business, such as the purchase of servers, acquisition of license rights and construction of our research and development center.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Cash provided by operating activities was RMB2,017.8 million (US$295.8 million), RMB1,379.9 million and RMB1,596.1 million for the years ended December 31, 2008, 2007 and 2006, respectively.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 ended December 31, 2008, cash provided by operating activities consisted primarily of our operating profit of RMB1,596.7 million (US$234.0 million), adjusted for, principally:</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unrealized exchange losses of RMB166.7 million (US$24.4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accounts payable and other liabilities totaling RMB162.7 million (US$23.8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and amortization charges of RMB91.0 million (US$13.3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accounts receivable of RMB72.9 million (US$10.7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share-based compensation cost of RMB67.9 million (US$10.0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prepayments and other current assets of RMB52.4 million (US$7.7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decrease in deferred tax assets of RMB47.2 million (US$6.9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allowance for doubtful accounts of RMB8.6 million (US$1.3 million).</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year ended December 31, 2007, cash provided by operating activities consisted primarily of our operating profit of RMB1,264.1 million adjusted for, principally:</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accounts payable and other liabilities totaling RMB25.9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depreciation and amortization charges of RMB99.1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unrealized exchange losses of RMB50.9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accounts receivable of RMB29.8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allowance for doubtful accounts of RMB5.3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prepayments and other current assets of RMB16.5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deferred tax assets of RMB53.7 million.</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year ended December 31, 2006, cash provided by operating activities consisted primarily of our operating profit of RMB1,242.8 million adjusted for, principally:</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accounts payable and other liabilities totaling RMB242.8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depreciation and amortization charges of RMB82.7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accounts receivable of RMB69.6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allowance for doubtful accounts of RMB7.5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prepayments and other current assets of RMB13.9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deferred tax assets of RMB11.2 million.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used in investing activities was RMB3,409.3 million (US$499.7 million) for the year ended December 31, 2008, cash provided by investing activities was RMB952.3 million for the year ended December 31, 2007, and cash used in investing activities was RMB1,218.2 million for the year ended December 31, 2006.</w:t>
      </w:r>
    </w:p>
    <w:p>
      <w:pPr>
        <w:spacing w:after="0" w:line="140"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For the year ended December 31, 2008, cash used in investing activities mainly consisted of an increase in the placement/rollover of time deposits of RMB4,253.1 million (US$623.4 million), the purchase of fixed assets of RMB133.3 million (US$19.5 million), the investment in an associated company of RMB33.6 million (US$4.9 million), and the prepayment for license right of RMB27.5 million (US$4.0 million), partially offset by a receipt of government incentive on land use right of RMB15.0 million (US$2.2 million) and the uplift of matured time deposits of RMB1,042.8 million (US$152.8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2007, cash provided by investing activities mainly consisted of the uplift of matured time deposits of RMB1,530.8 million, partially offset by an increase in the placement/rollover of time deposits of RMB476.3 million, the purchase of fixed assets of RMB71.5 million, and the prepayment for land use right of RMB27.0 million.</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For the year ended December 31, 2006, cash used in investing activities mainly consisted of an increase in the placement/rollover of time deposits of RMB2,164.9 million and the purchase of fixed assets of RMB142.5 million, partially offset by the uplift of matured time deposits of RMB1,125.1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Cash used in financing activities was RMB157.3 million (US$23.1 million), RMB960.4 million and RMB829.1 million for the years ended December 31, 2008, 2007 and 2006, respectively.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2008, cash used in financing activities mainly consisted of company share repurchases of RMB165.7 million (US$24.3 million) and payment of other long-term payable of RMB10.0 million (US$1.5 million), partially offset by proceeds from the issuance of shares on the exercise of employee stock options of RMB18.4 million (US$2.7 million).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year ended December 31, 2007, cash used in financing activities mainly consisted of company share repurchases of RMB1,003.7 million, partially offset by proceeds from the issuance of shares on the exercise of employee stock options of RMB43.2 million.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 ended December 31, 2006, cash used in financing activities mainly consisted of company share repurchases of RMB873.4 million, partially offset by proceeds from the issuance of shares on the exercise of employee stock options of RMB44.1 million.</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believe that our current levels of cash and cash equivalents and cash flows from operations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Indebtedness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July 11, 2008, our then outstanding zero-coupon convertible subordinated notes due July 15, 2023 were fully converted into ordinary shares at the request of the noteholders pursuant to a redemption notice issued by us to the noteholders dated June 13, 2008. On May 17, 2007, we entered into a revolving loan facility with a Hong Kong commercial bank, which would be available, upon our request, for the refinancing of such notes upon redemption requests by noteholders. Such loan facility was cancelled in December 2007 and no amount had been drawn prior to its cancellation.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utilized and will continue to utilize the products and services of third parties to enhance our platform of technologies and services to provide competitive and diverse Internet and wireless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2006, 2007 and 2008, we spent RMB153.2 million, 180.7 million and RMB 207.0 million (US$30.3 million), respectively, on research and development activities.</w:t>
      </w:r>
    </w:p>
    <w:p>
      <w:pPr>
        <w:spacing w:after="0" w:line="23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Based on our observations, we believe that the following trends are likely to have a material effect on our business in the near term:</w:t>
      </w:r>
    </w:p>
    <w:p>
      <w:pPr>
        <w:spacing w:after="0" w:line="90" w:lineRule="exact"/>
        <w:rPr>
          <w:rFonts w:ascii="Arial" w:cs="Arial" w:eastAsia="Arial" w:hAnsi="Arial"/>
          <w:sz w:val="18"/>
          <w:szCs w:val="18"/>
          <w:b w:val="1"/>
          <w:bCs w:val="1"/>
          <w:color w:val="auto"/>
        </w:rPr>
      </w:pPr>
    </w:p>
    <w:p>
      <w:pPr>
        <w:ind w:left="900" w:hanging="325"/>
        <w:spacing w:after="0" w:line="291"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We believe that there has been increasing demand by online game users for new and unique online games and increasing competition in this area. We believe that these trends will force us to devote additional resources to developing and launching additional games, updating existing games at a faster rate than we have in the past and licensing games from third parties. In particular, the online game industry in China is transitioning from 2D to 3D games, with numerous new 3D game titles being launched in the market in recent years. In response to this trend, we have been devoting additional resources to developing or licensing 3D games. Nonetheless, we also believe that the market for 2D online games will continue to grow in popularity for the foreseeable future.</w:t>
      </w:r>
    </w:p>
    <w:p>
      <w:pPr>
        <w:spacing w:after="0" w:line="39" w:lineRule="exact"/>
        <w:rPr>
          <w:rFonts w:ascii="Arial" w:cs="Arial" w:eastAsia="Arial" w:hAnsi="Arial"/>
          <w:sz w:val="16"/>
          <w:szCs w:val="16"/>
          <w:color w:val="auto"/>
        </w:rPr>
      </w:pPr>
    </w:p>
    <w:p>
      <w:pPr>
        <w:ind w:left="900" w:right="260" w:hanging="325"/>
        <w:spacing w:after="0" w:line="357" w:lineRule="auto"/>
        <w:tabs>
          <w:tab w:leader="none" w:pos="900" w:val="left"/>
        </w:tabs>
        <w:numPr>
          <w:ilvl w:val="1"/>
          <w:numId w:val="54"/>
        </w:numPr>
        <w:rPr>
          <w:rFonts w:ascii="Arial" w:cs="Arial" w:eastAsia="Arial" w:hAnsi="Arial"/>
          <w:sz w:val="15"/>
          <w:szCs w:val="15"/>
          <w:color w:val="auto"/>
        </w:rPr>
      </w:pPr>
      <w:r>
        <w:rPr>
          <w:rFonts w:ascii="Arial" w:cs="Arial" w:eastAsia="Arial" w:hAnsi="Arial"/>
          <w:sz w:val="15"/>
          <w:szCs w:val="15"/>
          <w:color w:val="auto"/>
        </w:rPr>
        <w:t>Our online games business may be adversely affected if, as is predicted by some industry commentators, the Chinese government takes additional steps to slow the growth in this market. We may not be able to adequately respond to any such regulatory changes in the online games market.</w:t>
      </w:r>
    </w:p>
    <w:p>
      <w:pPr>
        <w:ind w:left="900" w:right="20" w:hanging="325"/>
        <w:spacing w:after="0" w:line="288"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Substantially all of our online game revenues have been generated by games that use the pay-to-play revenue model whereby players purchase our prepaid point cards to pay for playing time. A number of our competitors, including Giant, Perfect World, Shanda and Kingsoft use primarily or entirely an item-based revenue model where end users are able to play the basic functions of the online games for free and may choose to purchase in-game value-added services, including certain in-game items and premium features, which enhance the game experience. Currently, we are developing games that use the item-based revenue model and launched open beta testing versions of our item-based online games, Tianxia II and Legend of Westward Journey, in June and September 2008, respectively, but we cannot be certain that Tianxia II, Legend of Westward Journey and our future item-based online games will be popular or generate the revenue our management expects. Moreover, it is possible that users of our existing pay-to-play games find that the item-based games offered by our competitors provide a more enjoyable gaming experience in which case the popularity of our existing games could be materially adversely affected.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If there is an overall shift in the online game market in China to an item-based or another revenue model, we may be unable to launch new games or new versions of existing games which effectively use such model, and we may be required to make significant research and development and selling and marketing expenditures to develop and promote such games.</w:t>
      </w:r>
    </w:p>
    <w:p>
      <w:pPr>
        <w:spacing w:after="0" w:line="73" w:lineRule="exact"/>
        <w:rPr>
          <w:sz w:val="20"/>
          <w:szCs w:val="20"/>
          <w:color w:val="auto"/>
        </w:rPr>
      </w:pPr>
    </w:p>
    <w:p>
      <w:pPr>
        <w:jc w:val="both"/>
        <w:ind w:left="900" w:right="40" w:hanging="325"/>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Online video content is becoming increasingly popular among Internet users in China. Many providers of video content prefer to enter into exclusive distribution agreements with Internet portals. Accordingly, we believe that the sources for such content are more limited in comparison to other types of content.</w:t>
      </w:r>
    </w:p>
    <w:p>
      <w:pPr>
        <w:spacing w:after="0" w:line="59"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general increase in competition for online services has elevated the importance of brand building and brand awareness. We believe that this trend may require us to increase our marketing and advertising efforts and budgets in order to keep our brand names and the NetEase websites visible and prominent.</w:t>
      </w:r>
    </w:p>
    <w:p>
      <w:pPr>
        <w:spacing w:after="0" w:line="59" w:lineRule="exact"/>
        <w:rPr>
          <w:rFonts w:ascii="Arial" w:cs="Arial" w:eastAsia="Arial" w:hAnsi="Arial"/>
          <w:sz w:val="18"/>
          <w:szCs w:val="18"/>
          <w:color w:val="auto"/>
        </w:rPr>
      </w:pPr>
    </w:p>
    <w:p>
      <w:pPr>
        <w:ind w:left="900" w:right="20" w:hanging="325"/>
        <w:spacing w:after="0" w:line="298"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We expect that for at least the next several quarters, our fixed costs in connection with our Internet portal business will increase, without a corresponding increase in revenue, due to the ongoing increase in the number of users for our free e-mail service and increasing bandwidth fees resulting from increased usage of the NetEase websites. In addition, we expect that the increasing popularity of online video content will increase our cost because it requires significant bandwidth to deliver and requires us to invest in new video streaming technology.</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do not have any outstanding derivative financial instruments, off-balance sheet guarantees, interest rate swap transactions or foreign currency forward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contracts. We do not engage in trading activities involving non-exchange traded contracts.</w:t>
      </w:r>
    </w:p>
    <w:p>
      <w:pPr>
        <w:spacing w:after="0" w:line="28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leasing arrangements relating to our office premises. We also have contractual obligations in respect of server custody fees and capital expenditures related to the construction of the research and development center in Hangzhou. In addition, we have contractual obligations in connection with the licensing of certain online games by Blizzard to Shanghai EaseNet for operation in the PRC. The following sets forth our contractual obligations for long-term payables, operating leases, server custody fees, capital expenditures, and games licensed by Blizzard as of December 31, 2008: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Server custody</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Rental</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fee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Long-term</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machine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commitments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commitments</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payables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commitments</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commitments</w:t>
            </w:r>
          </w:p>
        </w:tc>
        <w:tc>
          <w:tcPr>
            <w:tcW w:w="2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1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12,185,649</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59,514,459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98,752,147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170,541,685</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3,664,270</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75,191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3,739,461</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710,800</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739,043</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2012</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11,400</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Beyond 2012</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203,325</w:t>
            </w:r>
          </w:p>
        </w:tc>
        <w:tc>
          <w:tcPr>
            <w:tcW w:w="2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16,560,719</w:t>
            </w:r>
          </w:p>
        </w:tc>
        <w:tc>
          <w:tcPr>
            <w:tcW w:w="2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w w:val="86"/>
              </w:rPr>
              <w:t>59,514,459</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860" w:type="dxa"/>
            <w:vAlign w:val="bottom"/>
          </w:tcPr>
          <w:p>
            <w:pPr>
              <w:ind w:left="60"/>
              <w:spacing w:after="0"/>
              <w:rPr>
                <w:sz w:val="20"/>
                <w:szCs w:val="20"/>
                <w:color w:val="auto"/>
              </w:rPr>
            </w:pPr>
            <w:r>
              <w:rPr>
                <w:rFonts w:ascii="Arial" w:cs="Arial" w:eastAsia="Arial" w:hAnsi="Arial"/>
                <w:sz w:val="18"/>
                <w:szCs w:val="18"/>
                <w:color w:val="auto"/>
                <w:w w:val="86"/>
              </w:rPr>
              <w:t>98,752,147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207,589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175,234,914</w:t>
            </w:r>
          </w:p>
        </w:tc>
      </w:tr>
      <w:tr>
        <w:trPr>
          <w:trHeight w:val="371"/>
        </w:trPr>
        <w:tc>
          <w:tcPr>
            <w:tcW w:w="5120" w:type="dxa"/>
            <w:vAlign w:val="bottom"/>
          </w:tcPr>
          <w:p>
            <w:pPr>
              <w:spacing w:after="0"/>
              <w:rPr>
                <w:sz w:val="24"/>
                <w:szCs w:val="24"/>
                <w:color w:val="auto"/>
              </w:rPr>
            </w:pPr>
          </w:p>
        </w:tc>
        <w:tc>
          <w:tcPr>
            <w:tcW w:w="86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140" w:type="dxa"/>
            <w:vAlign w:val="bottom"/>
            <w:gridSpan w:val="2"/>
          </w:tcPr>
          <w:p>
            <w:pPr>
              <w:jc w:val="right"/>
              <w:spacing w:after="0"/>
              <w:rPr>
                <w:sz w:val="20"/>
                <w:szCs w:val="20"/>
                <w:color w:val="auto"/>
              </w:rPr>
            </w:pPr>
            <w:r>
              <w:rPr>
                <w:rFonts w:ascii="Arial" w:cs="Arial" w:eastAsia="Arial" w:hAnsi="Arial"/>
                <w:sz w:val="14"/>
                <w:szCs w:val="14"/>
                <w:b w:val="1"/>
                <w:bCs w:val="1"/>
                <w:color w:val="auto"/>
              </w:rPr>
              <w:t>Blizzard licensed game</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2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commitment*</w:t>
            </w:r>
          </w:p>
        </w:tc>
      </w:t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3"/>
              </w:rPr>
              <w:t>After Commercial Launch</w:t>
            </w:r>
          </w:p>
        </w:tc>
        <w:tc>
          <w:tcPr>
            <w:tcW w:w="4820" w:type="dxa"/>
            <w:vAlign w:val="bottom"/>
          </w:tcPr>
          <w:p>
            <w:pPr>
              <w:spacing w:after="0"/>
              <w:rPr>
                <w:sz w:val="14"/>
                <w:szCs w:val="14"/>
                <w:color w:val="auto"/>
              </w:rPr>
            </w:pPr>
          </w:p>
        </w:tc>
        <w:tc>
          <w:tcPr>
            <w:tcW w:w="1320" w:type="dxa"/>
            <w:vAlign w:val="bottom"/>
          </w:tcPr>
          <w:p>
            <w:pPr>
              <w:jc w:val="right"/>
              <w:ind w:right="442"/>
              <w:spacing w:after="0"/>
              <w:rPr>
                <w:sz w:val="20"/>
                <w:szCs w:val="20"/>
                <w:color w:val="auto"/>
              </w:rPr>
            </w:pPr>
            <w:r>
              <w:rPr>
                <w:rFonts w:ascii="Arial" w:cs="Arial" w:eastAsia="Arial" w:hAnsi="Arial"/>
                <w:sz w:val="14"/>
                <w:szCs w:val="14"/>
                <w:b w:val="1"/>
                <w:bCs w:val="1"/>
                <w:color w:val="auto"/>
              </w:rPr>
              <w:t>RMB</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Year One</w:t>
            </w:r>
          </w:p>
        </w:tc>
        <w:tc>
          <w:tcPr>
            <w:tcW w:w="48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202,469,100</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Contract Year Two</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161,534,100</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6"/>
              </w:rPr>
              <w:t>Contract Year Three</w:t>
            </w:r>
          </w:p>
        </w:tc>
        <w:tc>
          <w:tcPr>
            <w:tcW w:w="48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160,169,600</w:t>
            </w:r>
          </w:p>
        </w:tc>
      </w:tr>
      <w:tr>
        <w:trPr>
          <w:trHeight w:val="222"/>
        </w:trPr>
        <w:tc>
          <w:tcPr>
            <w:tcW w:w="1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524,172,800</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line="289" w:lineRule="auto"/>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figures are calculated on the possibility that StarCraft II is launched in 2009 and do not include our contractual obligations with regard to the licensing of World of Warcraft which was agreed in April 2009. In addition, as of December 31, 2008, Shanghai EaseNet is obligated to provide RMB109.6 million (US$16.1 million) for hardware to support the games over the three-year term of the license. The figures represent the amount of payments that we have guaranteed if and to the extent Shanghai EaseNet has insufficient funds to make such payments in connection with the licensing of certain online games by Blizzard to Shanghai EaseNet for operation in the PRC. We will be entitled to reimbursement of any amounts paid for the marketing of the games and for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 Please refer to Item 4.B. “Business Overview – Our Services – Game Licensing and Joint Venture with Blizzard” for further details.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exposure to market rate risk for changes in interest rates relates primarily to the interest income generated by excess cash invested in short term money market accounts and certificates of deposit. We have not used derivative financial instruments in our investment portfolio. Interest earning instruments carry a degree of interest rate risk. We have not been exposed nor do we anticipate being exposed to material risks due to changes in interest rates. However, our future interest income may fall short of expectations due to changes in interest rates.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Substantially all our revenues and expenses are denominated in Renminbi, but as noted above,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 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2005, the Chinese government announced that it is pegging the exchange rate of the Chinese Renminbi against a number of currencies, rather than just the US dollar. This change in policy has resulted in an appreciation in the value of the Renminbi against the US dollar. Although we generate substantially all of our revenues in Renminbi which has become more valuable in US dollar terms, we translate our monetary assets and liabilities which are denominated in currencies other than Renminbi into Renminbi as of each accounting period end, in accordance with applicable accounting standards. As a result of this foreign currency translation, we reported a RMB167.1million (US$24.5 million) exchange loss in 2008. We have not engaged in any hedging activities, and we may experience additional economic loss as a result of any foreign currency exchange rate fluctuations. In addition, we cannot predict at this time what will be the long-term effect of the Chinese government’s decision to tie the Renminbi to a basket of currencies, rather than just to the U.S. dollar.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Financial Accounting Standard Boards, or FASB, issued SFAS No. 141 (revised 2007), “Business Combinations” (“SFAS 141R”). This statement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fiscal years beginning after December 15, 2008. Adoption is prospective and early adoption is not permitted. Accordingly, any business combinations we engage in will be recorded and disclosed following existing US GAAP until January 1, 2009. Adoption of SFAS 141R will not impact our accounting for business combinations closed prior to its adoption. We believe that the adoption of SFAS 141R will not have a material impact on our consolidated financial statements.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(“SFAS 160”). This Statement amends Accounting Research Bulletin No. 51, Consolidated Financial Statements,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It requires consolidated net income to be reported at amounts that include the amounts attributable to both the parent and the noncontrolling interest. This statement establishes a single method of accounting for changes in a parent’s ownership interest in a subsidiary that do not result in deconsolidation. SFAS 160 is effective for fiscal years beginning after December 15, 2008. We believe that the adoption of SFAS 160 will not have a material impact on our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2007, the SEC issued Staff Accounting Bulletin No. 110 (“SAB 110) relating to SFAS 123R which provides that in developing an estimate of expected term of “plain vanilla” share options in accordance with SFAS 123R, under certain circumstances, the use of the simplified method beyond December 31, 2007 will remain acceptable. This SAB is effective January 1, 2008. The adoption of SAB 110 has not resulted in a material impact on our consolidated financial statements.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SFAS 161 expands the disclosure requirements about an entity’s derivative instruments and hedging activities. SFAS 161 is effective for financial statements issued for fiscal years and interim periods beginning after November 15, 2008. We believe that the adoption of SFAS 161 will not have a material impact on our consolidated financial statements.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paragraph 11(d) of Statement 142 so that an entity will use its own assumptions about renewal or extension of an arrangement, adjusted for the entity-specific factors even when there is likely to be substantial cost or material modifications. In addition, FSP FAS 142-3 expands the required disclosure requirements about accounting policy on the treatment of costs incurred to renew or extend the term of a recognized intangible asset, the weighted-average period prior to the next renewal or extension by major intangible asset class and the total amount of costs incurred in the period to renew or extend the term of a recognized intangible asset by major intangible asset class. This FSP shall be effective for financial statements issued for fiscal years beginning after December 15, 2008, and interim periods within those fiscal years. Early adoption is prohibited. We believe that the adoption of FSP FAS 142-3 will not have a material impact on our consolidated financial statements.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May 2008, the FASB issued FASB Staff Position APB 14-1, “Accounting for Convertible Instruments That May Be Settled in Cash upon Conversion (Including Partial Cash Settlement)” (“FSP APB 14-1”). FSP APB 14-1 requires issuers to account separately for the liability and equity components of certain convertible debt instruments in a manner that reflects the issuer’s nonconvertible debt (unsecured debt) borrowing rate when interest cost is recognized. FSP APB 14-1 requires bifurcation of a component of the debt, classification of that component in equity and the accretion of the resulting discount on the debt to be recognized as part of interest expense in a company’s consolidated statement of operations. FSP APB 14-1 requires retrospective application to the terms of instruments as they existed for all periods presented. FSP APB 14-1 is effective as of January 1, 2009 and early adoption is not permitted. As required by FSP APB 14-1, we estimated the fair value, as of the date of issuance, of our convertible notes as if the instrument was issued without the conversion option. The difference between the fair value and the principal amount of the instrument was retrospectively recorded as debt discount and as a component of equity. The amortization of the debt discount was recognized over the expected three-year life of the convertible notes as a non-cash increase to interest expense in the historical periods. Although FSP APB 14-1 will have no impact on our actual past or future cash flows, it requires us to record a significant amount of non-cash interest expense as the debt discount is amortized that would not have occurred under previous GAAP. FSP APB 14-1 is applicable to us effective January 1, 2009. We estimate that the adoption of FSP APB 14-1 would have resulted in a total interest expense of RMB133.8 million recorded for the period from July 2003 to July 2006, thus it would have required us to record a transfer of RMB133.8 million from our retained earnings to additional paid-in capital as of January 1, 2009.</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SFAS 162 identifies the sources of accounting principles and the framework for selecting the principles to be used in the preparation of financial statements that are presented in conformity with generally accepted accounting principles in the United States. This statement is effective 60 days following the SEC’s approval of the Public Company Accounting Oversight Board amendments to AU Section 411, “The Meaning of Present Fairly in Conformity with Generally Accepted Accounting Principles.” We do not expect SFAS 162 to have a material impact on our consolidated financial statements.</w:t>
      </w:r>
    </w:p>
    <w:p>
      <w:pPr>
        <w:spacing w:after="0" w:line="2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names of our directors and executive officers, their ages as of June 1, 2009 and the principal positions with NetEase held by them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Onward Choi</w:t>
            </w:r>
          </w:p>
        </w:tc>
        <w:tc>
          <w:tcPr>
            <w:tcW w:w="240" w:type="dxa"/>
            <w:vAlign w:val="bottom"/>
          </w:tcPr>
          <w:p>
            <w:pPr>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Zhonghui Zhan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Alice Cheng(1)</w:t>
            </w:r>
          </w:p>
        </w:tc>
        <w:tc>
          <w:tcPr>
            <w:tcW w:w="24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Denny Lee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Joseph Tong(1)</w:t>
            </w:r>
          </w:p>
        </w:tc>
        <w:tc>
          <w:tcPr>
            <w:tcW w:w="24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Lun Feng</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Michael Leung(1)</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Tong</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Member of the audit, compensation and nominating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our founder, has served as a director since July 1999 and as our Chief Executive Officer since November 2005. From March 2001 until</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2005, Mr. Ding served as our Chief Architect, and, from June 2001 until September 2001, he served as our Acting Chief Executive Officer and Acting Chief Operating Officer. Mr. Ding stepped down as Chairman of the board of directors in September 2001 (the company currently has no permanently appointed Chairman). From July 1999 until March 2001, Mr. Ding served as Co-Chief Technology Officer, and from July 1999 until April 2000, he also served as our interim Chief Executive Officer. Mr. Ding established Guangzhou NetEase and Shanghai EaseNet, our affiliates, in May 1997 and January 2008. Mr. Ding holds a Bachelor of Science degree in Communication Technology from the University of Electronic Science and Technology of China.</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Onward Choi </w:t>
      </w:r>
      <w:r>
        <w:rPr>
          <w:rFonts w:ascii="Arial" w:cs="Arial" w:eastAsia="Arial" w:hAnsi="Arial"/>
          <w:sz w:val="16"/>
          <w:szCs w:val="16"/>
          <w:color w:val="auto"/>
        </w:rPr>
        <w:t>has served as our Acting Chief Financial Officer when Denny Lee stepped down from such position on June 30, 2007. Mr. Choi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Controller and Corporate Finance Director for the periods from January 2005 to June 2007 and November 2003 to December 2004, respectively. Prior to that, Mr. Choi worked at Ernst &amp; Young Beijing, including as a senior manager of the assurance and advisory business services department. Mr. Choi also worked at KPMG (assurance) and the Hong Kong Trade Development Council (finance and accounting).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Choi is a member of the Institute of Chartered Accountants in England and Wales, a member of the Association of Chartered Certified Accountants, a member of the Hong Kong Institute of Certified Public Accountants and a registered practising Certified Public Accountant in Hong Kong. Mr. Choi holds a Bachelor of Arts degree in accountancy with honors from the Hong Kong Polytechnic University.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Zhonghui Zhan </w:t>
      </w:r>
      <w:r>
        <w:rPr>
          <w:rFonts w:ascii="Arial" w:cs="Arial" w:eastAsia="Arial" w:hAnsi="Arial"/>
          <w:sz w:val="18"/>
          <w:szCs w:val="18"/>
          <w:color w:val="auto"/>
        </w:rPr>
        <w:t>joined our company in October 1999 and has since served in various positions. Mr. Zhan was appointed as our Co-Chief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2006. Mr. Zhan has extensive experience in software and product development and management, and has had a leading role in many projects since joining us, including the development of our EaseBar browser toolbar and our proprietary content delivery system. Mr. Zhan received his Bachelor of Science and Master’s Degree in Automation from the South China University of Technology.</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Alice Cheng </w:t>
      </w:r>
      <w:r>
        <w:rPr>
          <w:rFonts w:ascii="Arial" w:cs="Arial" w:eastAsia="Arial" w:hAnsi="Arial"/>
          <w:sz w:val="18"/>
          <w:szCs w:val="18"/>
          <w:color w:val="auto"/>
        </w:rPr>
        <w:t>has served as a director since June 2007. Ms. Cheng has been the Chief Financial Officer of BBK Electronics Corp., Ltd., a PRC-based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of audio/visual equipment, since May 2005.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Denny Lee </w:t>
      </w:r>
      <w:r>
        <w:rPr>
          <w:rFonts w:ascii="Arial" w:cs="Arial" w:eastAsia="Arial" w:hAnsi="Arial"/>
          <w:sz w:val="16"/>
          <w:szCs w:val="16"/>
          <w:color w:val="auto"/>
        </w:rPr>
        <w:t>has served as a director since April 2002. Mr. Lee previously served as our Chief Financial Officer from April 2002 until June 2007 and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Controller from November 2001 until April 2002. Prior to joining our company, Mr. Lee worked in the Hong Kong office of KPMG for more than ten years, culminating in the position of Senior Manager in one of the audit departments where he specialized in auditing international clients. During his employment with KPMG, he also worked with a number of Chinese companies with respect to accounting and other aspects of their initial public offerings on the Hong Kong Stock Exchange, due diligence work in relation to potential investments in Chinese companies and financial and operational reviews of Chinese companies in connection with proposed investments in such companies by foreign investors. Mr. Lee serves as a director of New Oriental Education &amp; Technology Group Inc., which is listed on the New York Stock Exchange. Mr. Lee graduated from the Hong Kong Polytechnic University majoring in accounting and is a member of the Hong Kong Institute of Certified Public Accountants and the Association of Chartered Certified Accountants.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Joseph Tong </w:t>
      </w:r>
      <w:r>
        <w:rPr>
          <w:rFonts w:ascii="Arial" w:cs="Arial" w:eastAsia="Arial" w:hAnsi="Arial"/>
          <w:sz w:val="16"/>
          <w:szCs w:val="16"/>
          <w:color w:val="auto"/>
        </w:rPr>
        <w:t>has been a director of, and management consultant to, Parworld Investment Management Limited, which provides financial 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since 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 Music Limited where he was responsible for forming e-business development strategies and overseeing new promotional opportunities. Mr. Tong has a Bachelor of Science degree and Second Honors Degree in Accounting and Statistics from the University of Southampton, England. He is a member of the American Institute of Certified Public Accountants and has served as a director since March 2003.</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Beijing Vantone Real Estate Co., Ltd., a private real estate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China, since 1991. Mr. Feng has a Juris Doctor from the Chinese Academy of Social Sciences, a Masters of Law degree from the Party School of the Chinese Communist Party and a Bachelor of Arts in Economics from Northwest University.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Michael Leung </w:t>
      </w:r>
      <w:r>
        <w:rPr>
          <w:rFonts w:ascii="Arial" w:cs="Arial" w:eastAsia="Arial" w:hAnsi="Arial"/>
          <w:sz w:val="16"/>
          <w:szCs w:val="16"/>
          <w:color w:val="auto"/>
        </w:rPr>
        <w:t>has served as a director since July 2002. Mr. Leung held senior positions with Peregrine Capital (China) Limited, SG Securities (HK)</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Mr. Leung serves as an independent non-executive director for China Ting Group Holdings Limited, Anhui Expressway Company Limited, Junefield Department Store Group Limited and Golden Harvest Entertainment (Holdings) Limited, all of which are companies listed on the Stock Exchange of Hong Kong Limited. Mr. Leung is also the Responsible Officer of North Asia Strategic Advisors, which provides advice on corporate finance. Mr. Leung received a Bachelor’s Degree in Social Sciences from the University of Hong Kong with a major in accounting, management and statistics.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Michael Tong </w:t>
      </w:r>
      <w:r>
        <w:rPr>
          <w:rFonts w:ascii="Arial" w:cs="Arial" w:eastAsia="Arial" w:hAnsi="Arial"/>
          <w:sz w:val="16"/>
          <w:szCs w:val="16"/>
          <w:color w:val="auto"/>
        </w:rPr>
        <w:t>became a director of our company in June 2003. Mr. Tong previously served as our Co-Chief Operating Officer from July 2004 to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2009. He has also served as one of our directors since December 1999. Previously, he was an Executive Director with techpacific.com Venture Capital Limited. In that capacity, he was primarily responsible for portfolio management of the funds managed by techpacific.com and its subsidiaries. Prior to joining techpacific.com in December 2000, Mr. Tong worked at Softbank China Venture Investments Limited in Hong Kong, where he was responsible for the evaluation, financial modeling, due diligence review and structuring of Softbank’s investments. He also worked at Nomura China Venture Investments Limited, Jardine Fleming Securities Limited and Ernst &amp; Young, all in Hong Kong. Mr. Tong graduated with a Bachelor of Business Administration from the University of Wisconsin, Madison with a major in Accounting and an extra concentration in Computer Science in 1993. He is a member of the American Institute of Certified Public Accountants and the CFA Institute and is a Chartered Financial Analyst.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248" w:lineRule="exact"/>
        <w:rPr>
          <w:sz w:val="20"/>
          <w:szCs w:val="20"/>
          <w:color w:val="auto"/>
        </w:rPr>
      </w:pPr>
    </w:p>
    <w:p>
      <w:pPr>
        <w:ind w:right="9660" w:firstLine="8"/>
        <w:spacing w:after="0" w:line="417" w:lineRule="auto"/>
        <w:tabs>
          <w:tab w:leader="none" w:pos="446"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Director Compensation</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2008, we paid each of Alice Cheng, Joseph Tong and Michael Leung the amount of US$4,500 per month for their services as independent non-executive directors for a total of US$162,000.</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in 2008 we paid each of Denny Lee and Lun Feng US$1,000 per month for their services as non-executive directors for a total of US$24,000. We also paid Alice Cheng and Lun Feng US$12,860 and US$2,320 for Chinese individual income taxes on their behalf, respectively. Other than the foregoing payments, we did not pay any other compensation in any form to our non-executive directors in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2008, we did not grant any stock options to our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sets forth certain information concerning compensation paid during 2006, 2007 and 2008 to our executive officers, including Chief Executive Officer, Acting Chief Financial Officer, Co-Chief Operating Officer and former Co-Chief Operating Officer. In 2008, we did not grant any stock options to our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3"/>
          </w:tcPr>
          <w:p>
            <w:pPr>
              <w:ind w:left="200"/>
              <w:spacing w:after="0"/>
              <w:rPr>
                <w:sz w:val="20"/>
                <w:szCs w:val="20"/>
                <w:color w:val="auto"/>
              </w:rPr>
            </w:pPr>
            <w:r>
              <w:rPr>
                <w:rFonts w:ascii="Arial" w:cs="Arial" w:eastAsia="Arial" w:hAnsi="Arial"/>
                <w:sz w:val="14"/>
                <w:szCs w:val="14"/>
                <w:b w:val="1"/>
                <w:bCs w:val="1"/>
                <w:color w:val="auto"/>
                <w:w w:val="88"/>
              </w:rPr>
              <w:t>Annual Compensation</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Long-Term Compensation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Housing and</w:t>
            </w: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All Other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300" w:type="dxa"/>
            <w:vAlign w:val="bottom"/>
          </w:tcPr>
          <w:p>
            <w:pPr>
              <w:spacing w:after="0"/>
              <w:rPr>
                <w:sz w:val="12"/>
                <w:szCs w:val="12"/>
                <w:color w:val="auto"/>
              </w:rPr>
            </w:pPr>
          </w:p>
        </w:tc>
        <w:tc>
          <w:tcPr>
            <w:tcW w:w="12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Cash Living</w:t>
            </w:r>
          </w:p>
        </w:tc>
        <w:tc>
          <w:tcPr>
            <w:tcW w:w="4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(US$)</w:t>
            </w:r>
          </w:p>
        </w:tc>
        <w:tc>
          <w:tcPr>
            <w:tcW w:w="3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 xml:space="preserve">Allowance </w:t>
            </w:r>
            <w:r>
              <w:rPr>
                <w:rFonts w:ascii="Arial" w:cs="Arial" w:eastAsia="Arial" w:hAnsi="Arial"/>
                <w:sz w:val="14"/>
                <w:szCs w:val="14"/>
                <w:b w:val="1"/>
                <w:bCs w:val="1"/>
                <w:u w:val="single" w:color="auto"/>
                <w:color w:val="auto"/>
                <w:w w:val="85"/>
              </w:rPr>
              <w:t>(US$</w:t>
            </w:r>
            <w:r>
              <w:rPr>
                <w:rFonts w:ascii="Arial" w:cs="Arial" w:eastAsia="Arial" w:hAnsi="Arial"/>
                <w:sz w:val="14"/>
                <w:szCs w:val="14"/>
                <w:b w:val="1"/>
                <w:bCs w:val="1"/>
                <w:color w:val="auto"/>
                <w:w w:val="85"/>
              </w:rPr>
              <w:t>)</w:t>
            </w:r>
          </w:p>
        </w:tc>
        <w:tc>
          <w:tcPr>
            <w:tcW w:w="4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Options (#)</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556,177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96,536</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1,241,650(1)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2007</w:t>
            </w:r>
          </w:p>
        </w:tc>
        <w:tc>
          <w:tcPr>
            <w:tcW w:w="5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491,091</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70,124</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890,274(1)</w:t>
            </w: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5,125,000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391,934(2)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296,561</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33,673</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550,974(1)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fixed and discretionary bonuses in the year earned and monthly bonuses in which such bonus amount was paid.</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PRC individual income taxes paid by our company on behalf of Mr. Michael Tong, a director and former Co-Chief Operating Officer and Mr. Onward Choi, Acting 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and related agreements with William Lei Ding, Onward Choi and Zhonghui Zhan, as described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In August 1999, we entered into an employment agreement with Mr. Ding which provided for an initial annual salary of US$85,000, plus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discretionary bonus, if any. This employment agreement was amended on May 1, 2003 to lower such salary to RMB1,000 per month and again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25, 2005 to increase his salary to RMB30,000 per month. Under this employment agreement, Mr. Ding is obligated to keep all proprietary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our company confidential, except in limited circumstances. He is further precluded during his employment with us from carrying on or being employed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business in China which is in competition with us or, directly or indirectly, solicit away from our company any of our existing or prospective clients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Onward Choi. </w:t>
      </w:r>
      <w:r>
        <w:rPr>
          <w:rFonts w:ascii="Arial" w:cs="Arial" w:eastAsia="Arial" w:hAnsi="Arial"/>
          <w:sz w:val="16"/>
          <w:szCs w:val="16"/>
          <w:color w:val="auto"/>
        </w:rPr>
        <w:t>In July 2007, we entered into a new employment agreement with Onward Choi in connection with his promotion to the position of Acting</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This agreement provides for an annual salary of RMB1,524,600, plus a discretionary bonus to be determined by our company. Mr. Choi’s discretionary bonus in 2007 and 2008 were US$200,000 and US$220,000, respectively. He is also entitled to receive a housing allowance and tax equalization benefits. If Mr. Choi is terminated without cause or resigns for good reason, he is entitled to receive a payment by us equal to his then- current monthly base salary multiplied by six plus the number of years between July 2007 and the termination date. He is also entitled to exercise his stock options which have vested at the time of his termination without cause or resignation for good reason (as such terms are defined in his employment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Mr. Choi is prohibited from directly or indirectly (i) being employed by or participate in the management or operation of any business or entity that is or may be directly competitive with and offering similar products or services as us, for a period of one year after termination of employment for any reason,</w:t>
      </w:r>
    </w:p>
    <w:p>
      <w:pPr>
        <w:ind w:right="60" w:firstLine="8"/>
        <w:spacing w:after="0" w:line="254"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soliciting for employment any person who was employed by us during his employment with us, for a period of two years after termination of employment for any reason or (iii) working for any customer or potential customer of ours during his employment with us, for a period of two years after termination of employment for any reason. Mr. Choi has also entered into a key employee invention assignment and confidentiality agreement in which he agrees to assign all rights in company-related inventions to us, and to keep our proprietary information confidential.</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Zhonghui Zhan. </w:t>
      </w:r>
      <w:r>
        <w:rPr>
          <w:rFonts w:ascii="Arial" w:cs="Arial" w:eastAsia="Arial" w:hAnsi="Arial"/>
          <w:sz w:val="16"/>
          <w:szCs w:val="16"/>
          <w:color w:val="auto"/>
        </w:rPr>
        <w:t>In May 2006, we entered into a new employment agreement with Zhonghui Zhan in connection with his promotion to the position of Co-Chief Operating Officer. The employment agreement provides for an annual salary of RMB456,000, plus a discretionary bonus to be determined by our company. With effective from February 1, 2007, his annual salary was increased from RMB456,000 to RMB600,000. Mr. Zhan is also entitled to receive tax advisory services reimbursement up to RMB30,000 per year and a bonus equal to one-month’s pay. If Mr. Zhan is terminated without cause or resigns for good reason, he is entitled to receive a payment by us equal to his then-current monthly base salary multiplied by six plus the number of years between May 2006 and the termination date. He is also entitled to exercise his stock options which have vested at the time of his termination without cause or resignation for good reason (as such terms are defined in his employment agreement).</w:t>
      </w:r>
    </w:p>
    <w:p>
      <w:pPr>
        <w:spacing w:after="0" w:line="11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Mr. Zhan is prohibited from directly or indirectly (i) being employed by or participate in the management or operation of any business or entity that is or may be directly competitive with and offering similar products or services as us, for a period of one year after termination of employment for any reason,</w:t>
      </w:r>
    </w:p>
    <w:p>
      <w:pPr>
        <w:ind w:right="60" w:firstLine="8"/>
        <w:spacing w:after="0" w:line="254" w:lineRule="auto"/>
        <w:tabs>
          <w:tab w:leader="none" w:pos="2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soliciting for employment any person who was employed by us during his employment with us, for a period of two years after termination of employment for any reason or (iii) working for any customer or potential customer of ours during his employment with us, for a period of two years after termination of employment for any reason. Mr. Zhan has also entered into a key employee invention assignment and confidentiality agreement in which he agrees to assign all rights in company-related inventions to us, and to keep our proprietary information confidential.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Option Exercises in Last Fiscal Year and Fiscal Year-End Option Values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stock options exercised by our Chief Executive Officer, Acting Chief Financial Officer, Co-Chief Operating Officer and former Co-Chief Operating Officer during 2008. In addition, the table sets forth the number of shares covered by stock options as of December 31, 2008, and the value of “in-the-money” stock options, which represents the difference between the exercise price of a stock option and the market price of the shares subject to such option on December 31,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20" w:type="dxa"/>
            <w:vAlign w:val="bottom"/>
          </w:tcPr>
          <w:p>
            <w:pPr>
              <w:spacing w:after="0"/>
              <w:rPr>
                <w:sz w:val="12"/>
                <w:szCs w:val="12"/>
                <w:color w:val="auto"/>
              </w:rPr>
            </w:pPr>
          </w:p>
        </w:tc>
        <w:tc>
          <w:tcPr>
            <w:tcW w:w="19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220" w:type="dxa"/>
            <w:vAlign w:val="bottom"/>
          </w:tcPr>
          <w:p>
            <w:pPr>
              <w:spacing w:after="0"/>
              <w:rPr>
                <w:sz w:val="12"/>
                <w:szCs w:val="12"/>
                <w:color w:val="auto"/>
              </w:rPr>
            </w:pPr>
          </w:p>
        </w:tc>
        <w:tc>
          <w:tcPr>
            <w:tcW w:w="19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w:t>
            </w:r>
          </w:p>
        </w:tc>
        <w:tc>
          <w:tcPr>
            <w:tcW w:w="2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2008 (#)</w:t>
            </w:r>
          </w:p>
        </w:tc>
        <w:tc>
          <w:tcPr>
            <w:tcW w:w="220" w:type="dxa"/>
            <w:vAlign w:val="bottom"/>
          </w:tcPr>
          <w:p>
            <w:pPr>
              <w:spacing w:after="0"/>
              <w:rPr>
                <w:sz w:val="14"/>
                <w:szCs w:val="14"/>
                <w:color w:val="auto"/>
              </w:rPr>
            </w:pPr>
          </w:p>
        </w:tc>
        <w:tc>
          <w:tcPr>
            <w:tcW w:w="19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 2008 (US$) (2)</w:t>
            </w: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(US$)(1)</w:t>
            </w: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Exercisable</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Exercisable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Unexercisable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Onward Choi</w:t>
            </w:r>
          </w:p>
        </w:tc>
        <w:tc>
          <w:tcPr>
            <w:tcW w:w="760" w:type="dxa"/>
            <w:vAlign w:val="bottom"/>
          </w:tcPr>
          <w:p>
            <w:pPr>
              <w:jc w:val="right"/>
              <w:spacing w:after="0"/>
              <w:rPr>
                <w:sz w:val="20"/>
                <w:szCs w:val="20"/>
                <w:color w:val="auto"/>
              </w:rPr>
            </w:pPr>
            <w:r>
              <w:rPr>
                <w:rFonts w:ascii="Arial" w:cs="Arial" w:eastAsia="Arial" w:hAnsi="Arial"/>
                <w:sz w:val="18"/>
                <w:szCs w:val="18"/>
                <w:color w:val="auto"/>
              </w:rPr>
              <w:t>675,000</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436,358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312,500</w:t>
            </w:r>
          </w:p>
        </w:tc>
        <w:tc>
          <w:tcPr>
            <w:tcW w:w="860" w:type="dxa"/>
            <w:vAlign w:val="bottom"/>
          </w:tcPr>
          <w:p>
            <w:pPr>
              <w:jc w:val="right"/>
              <w:spacing w:after="0"/>
              <w:rPr>
                <w:sz w:val="20"/>
                <w:szCs w:val="20"/>
                <w:color w:val="auto"/>
              </w:rPr>
            </w:pPr>
            <w:r>
              <w:rPr>
                <w:rFonts w:ascii="Arial" w:cs="Arial" w:eastAsia="Arial" w:hAnsi="Arial"/>
                <w:sz w:val="18"/>
                <w:szCs w:val="18"/>
                <w:color w:val="auto"/>
              </w:rPr>
              <w:t>1,312,500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48,750</w:t>
            </w:r>
          </w:p>
        </w:tc>
        <w:tc>
          <w:tcPr>
            <w:tcW w:w="920" w:type="dxa"/>
            <w:vAlign w:val="bottom"/>
          </w:tcPr>
          <w:p>
            <w:pPr>
              <w:jc w:val="right"/>
              <w:spacing w:after="0"/>
              <w:rPr>
                <w:sz w:val="20"/>
                <w:szCs w:val="20"/>
                <w:color w:val="auto"/>
              </w:rPr>
            </w:pPr>
            <w:r>
              <w:rPr>
                <w:rFonts w:ascii="Arial" w:cs="Arial" w:eastAsia="Arial" w:hAnsi="Arial"/>
                <w:sz w:val="18"/>
                <w:szCs w:val="18"/>
                <w:color w:val="auto"/>
              </w:rPr>
              <w:t>295,388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Zhonghui Zhan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8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761,900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4,765,000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2,425,891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Michael Tong (3)</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5,468,750</w:t>
            </w:r>
          </w:p>
        </w:tc>
        <w:tc>
          <w:tcPr>
            <w:tcW w:w="860" w:type="dxa"/>
            <w:vAlign w:val="bottom"/>
          </w:tcPr>
          <w:p>
            <w:pPr>
              <w:jc w:val="right"/>
              <w:spacing w:after="0"/>
              <w:rPr>
                <w:sz w:val="20"/>
                <w:szCs w:val="20"/>
                <w:color w:val="auto"/>
              </w:rPr>
            </w:pPr>
            <w:r>
              <w:rPr>
                <w:rFonts w:ascii="Arial" w:cs="Arial" w:eastAsia="Arial" w:hAnsi="Arial"/>
                <w:sz w:val="18"/>
                <w:szCs w:val="18"/>
                <w:color w:val="auto"/>
              </w:rPr>
              <w:t>2,656,250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2,759,875</w:t>
            </w:r>
          </w:p>
        </w:tc>
        <w:tc>
          <w:tcPr>
            <w:tcW w:w="920" w:type="dxa"/>
            <w:vAlign w:val="bottom"/>
          </w:tcPr>
          <w:p>
            <w:pPr>
              <w:jc w:val="right"/>
              <w:spacing w:after="0"/>
              <w:rPr>
                <w:sz w:val="20"/>
                <w:szCs w:val="20"/>
                <w:color w:val="auto"/>
              </w:rPr>
            </w:pPr>
            <w:r>
              <w:rPr>
                <w:rFonts w:ascii="Arial" w:cs="Arial" w:eastAsia="Arial" w:hAnsi="Arial"/>
                <w:sz w:val="18"/>
                <w:szCs w:val="18"/>
                <w:color w:val="auto"/>
              </w:rPr>
              <w:t>716,500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value realized upon the exercise of stock options represents the positive spread between the exercise price of stock options and the closing market price of the shares on the exercise date.</w:t>
      </w:r>
    </w:p>
    <w:p>
      <w:pPr>
        <w:ind w:left="460" w:right="6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value of unexercised in-the-money options is calculated based upon the closing price of US$22.10 per ADS on the NASDAQ Global Select Market on December 31, 2008, less the exercise price of the applicable option.</w:t>
      </w: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Tong resigned from the position of our Co-Chief Operating Officer with effect from March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shareholders approved the NetEase.com, Inc. Amended and Restated 2000 Stock Incentive Plan, or the Amended Plan, at our annual general meeting held on May 25, 2001. The Amended Plan replaced the 2000 Stock Incentive Plan, or the Prior Plan, in its entirety. Under the Prior Plan, a total of 223,715,000 of our ordinary shares were reserved for issuance. The Amended Plan increased the number of ordinary shares reserved for issuance to 323,715,000, which amount was automatically further increased to 504,756,924 ordinary shares in accordance with the provisions of that plan. On March 25, 2002, our board suspended any further automatic increases in the number of authorized shares reserved for issuance under the Amended Plan.</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purpose of the Amended Plan is to attract and retain the best available personnel, to provide additional incentive to employees, directors and consultants and to promote the success of our business. Our board of directors believes that our company’s long term success is dependent upon our ability to attract and retain superior individuals who, by virtue of their ability and qualifications, make important contributions to our business. The Amended Plan provides for the granting of incentive awards of our ordinary shares, options to purchase our ordinary shares and any other securities the value of which is derived from the value of our ordinary shares.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Grantees under the Amended Plan will not receive any account status reports. The Amended Plan is not subject to the U.S. Employee Retirement Income Security Act of 1974, as amended, nor is the Amended Plan a “qualified plan” within the meaning of Section 401(a) of the Code.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Amended Plan continues to be administered by our board, and it has delegated the power to award options under those plans for non-executive officers to NetEase’s chief executive officer.</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Amended Plan provides that in the event of certain corporate transactions, including specified types of reorganizations and acquisition transactions, each outstanding award granted under the Amended Plan shall automatically become fully vested and exercisable and be released from any restrictions in transfer (other than transfer restrictions applicable to the award)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of directors will determine whether an award was assumed in the manner contemplated by the Amended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Amended Plan, awards can be issued to employees, directors or consultants of the company or our subsidiaries, although incentive stock options, referred to as ISOs, may only be issued to our employees or the employees of our subsidiaries.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Awards under the Amended Plan are evidenced by an award agreement which contains, among other things, provisions concerning exercisability and forfeiture upon termination of employment or consulting arrangement (by reason of death, disability, retirement or otherwise) as have been determined by our board. In addition, the award agreement also specifies whether the option constitutes an ISO or a non-incentive stock option, referred to as NQSOs, and may, but need not, include a provision whereby a grantee may at any time during his or her employment with us exercise any part or all of the award prior to full vesting of the award.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option may be exercised by delivering written notice of such exercise to us. The option price to exercise the option for our ordinary shares must be paid at the time of exercise in full in cash or in check, by promissory note with such terms as the board deems appropriate or in whole ordinary shares with a fair market value at least equal to the option price (or in another appropriate manner approved by us, such as in a combination of cash and whole ordinary shares or by cashless exercise of options through a broker-dealer).</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Amended Plan, the exercise price for the options is specified in the award agreement for those options. In any event, the exercise price of ISOs cannot be less than the fair market value of our ordinary shares on the date of grant. However, in the case of an ISO granted to a grantee, who, at the time the ISO was granted, owned stock possessing more than 10% of the combined voting power of all classes of our share capital, the option price may not be less than 110% of the fair market value of our ordinary shares on the date of grant of such ISO. To the extent that the aggregate fair market value of shares subject to options granted as ISOs under the Amended Plan which become exercisable for the first time by a recipient during any calendar year exceeds US$100,000, then options represented by ordinary shares in excess of the US$100,000 limitation shall be treated as NQSOs.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NQSOs granted pursuant to the Amended Plan can have an exercise price of no less than 85% of the fair market value of our ordinary shares on the date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6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event of any extraordinary dividend, share dividend, recapitalization, share split, rights issuance, or combination or exchange of such shares, or other similar transactions, our board may equitably adjust the option price of our outstanding options so as to reflect such event.</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term of all ISOs and NQSOs will be stated in the applicable award agreement. The term of an ISO granted to a person, who, at the time the ISO was granted, owned stock possessing more than 10% of the combined voting power of all classes of our share capital, may not be more than five (5) years from the date of the grant of the award.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Amended Plan, if the employment, director or consultant relationship of a grantee with us terminates for cause, the grantee’s right to exercise the option will expire upon the termination of such relationship. If the employment, director or consultant relationship of a grantee with us terminates without cause, all options then exercisable may be exercised within six months of the date of such termination or such shorter period as may be specified in the award agreement. Any ISO granted under the Amended Plan, if not exercised within the time period provided by law for the exercise of ISOs following the termination of a grantee’s employment with us, shall automatically convert to a NQSO thereafter.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termination of a grantee’s employment, director or consultant relationship with us is (i) by reason of death or (ii) by reason of disability, all options then exercisable may be exercised by such grantee, such grantee’s estate or by a person who acquired the right of exercise of such options by bequest or inheritance or otherwise by reason of death or disability of such grantee, at any time within a period not less than 12 months (but in no event later than the expiration date of the options) after the date of such termination.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Under the Amended Plan, our board may at any time terminate, suspend, or amend the Amended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Amended Plan will expire in February 2010.</w:t>
      </w:r>
    </w:p>
    <w:p>
      <w:pPr>
        <w:spacing w:after="0" w:line="25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year 2008, our board met in person or passed resolutions by unanimous written consent 13 times. We have no specific policy with respect to director attendance at our annual general meetings of shareholders, and two of our directors attended the annual general meeting of shareholders held on September 5, 2008.</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w:t>
      </w:r>
    </w:p>
    <w:p>
      <w:pPr>
        <w:spacing w:after="0" w:line="132"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2008, the audit committee met in person or passed resolutions by unanimous written consent six times. 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2008, the compensation committee held two meetings. 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incentive-compensation plans and equity based-plans, administers our incentive-compensation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2008, the nominating committee held one meeting. 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Rule 4200(a)(15) of the Marketplace Rules of NASDAQ.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96" w:lineRule="exact"/>
        <w:rPr>
          <w:rFonts w:ascii="Arial" w:cs="Arial" w:eastAsia="Arial" w:hAnsi="Arial"/>
          <w:sz w:val="18"/>
          <w:szCs w:val="18"/>
          <w:b w:val="1"/>
          <w:bCs w:val="1"/>
          <w:color w:val="auto"/>
        </w:rPr>
      </w:pPr>
    </w:p>
    <w:p>
      <w:pPr>
        <w:ind w:left="460" w:right="3160"/>
        <w:spacing w:after="0" w:line="525" w:lineRule="auto"/>
        <w:rPr>
          <w:rFonts w:ascii="Arial" w:cs="Arial" w:eastAsia="Arial" w:hAnsi="Arial"/>
          <w:sz w:val="18"/>
          <w:szCs w:val="18"/>
          <w:b w:val="1"/>
          <w:bCs w:val="1"/>
          <w:color w:val="auto"/>
        </w:rPr>
      </w:pPr>
      <w:r>
        <w:rPr>
          <w:rFonts w:ascii="Arial" w:cs="Arial" w:eastAsia="Arial" w:hAnsi="Arial"/>
          <w:sz w:val="16"/>
          <w:szCs w:val="16"/>
          <w:color w:val="auto"/>
        </w:rPr>
        <w:t>As of December 31, 2006, 2007 and 2008, we had 2,304, 2,368 and 3,048 full-time employees, respectively. The following table sets forth information regarding our staff as of December 31, 2008:</w:t>
      </w: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Accounting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Administration</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Content</w:t>
            </w:r>
          </w:p>
        </w:tc>
        <w:tc>
          <w:tcPr>
            <w:tcW w:w="4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Human resources</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Internal audit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Investor relations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Marketing</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Network administration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Online game department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1,553</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Product quality control and promotion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Product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Search engine development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Technology</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Wireless department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3,048</w:t>
            </w: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of December 31, 2008, we had 122 part-time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25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as of March 31, 2009 (unless otherwise indicated)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persons who are beneficial owners of five percent or more of our ordinary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Chief Executive Officer, Acting Chief Financial Officer and Co-Chief Operating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As of March 31, 2009, 3,210,732,881 of our ordinary shares were outstanding. The amounts and percentages of ordinary shares beneficially owned are reported on the basis of regulations of the Securities and Exchange Commission, or the SEC, governing the determination of beneficial ownership of securities.</w:t>
      </w:r>
    </w:p>
    <w:p>
      <w:pPr>
        <w:spacing w:after="0" w:line="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61"/>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Beneficially Owned</w:t>
            </w:r>
          </w:p>
        </w:tc>
        <w:tc>
          <w:tcPr>
            <w:tcW w:w="0" w:type="dxa"/>
            <w:vAlign w:val="bottom"/>
          </w:tcPr>
          <w:p>
            <w:pPr>
              <w:spacing w:after="0"/>
              <w:rPr>
                <w:sz w:val="1"/>
                <w:szCs w:val="1"/>
                <w:color w:val="auto"/>
              </w:rPr>
            </w:pPr>
          </w:p>
        </w:tc>
      </w:tr>
      <w:tr>
        <w:trPr>
          <w:trHeight w:val="142"/>
        </w:trPr>
        <w:tc>
          <w:tcPr>
            <w:tcW w:w="9120" w:type="dxa"/>
            <w:vAlign w:val="bottom"/>
            <w:gridSpan w:val="3"/>
            <w:vMerge w:val="continue"/>
          </w:tcPr>
          <w:p>
            <w:pPr>
              <w:spacing w:after="0"/>
              <w:rPr>
                <w:sz w:val="12"/>
                <w:szCs w:val="12"/>
                <w:color w:val="auto"/>
              </w:rPr>
            </w:pPr>
          </w:p>
        </w:tc>
        <w:tc>
          <w:tcPr>
            <w:tcW w:w="144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Shining Globe International Limited/William Lei Ding (1)</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tcPr>
          <w:p>
            <w:pPr>
              <w:spacing w:after="0"/>
              <w:rPr>
                <w:sz w:val="20"/>
                <w:szCs w:val="20"/>
                <w:color w:val="auto"/>
              </w:rPr>
            </w:pPr>
            <w:r>
              <w:rPr>
                <w:rFonts w:ascii="Arial" w:cs="Arial" w:eastAsia="Arial" w:hAnsi="Arial"/>
                <w:sz w:val="18"/>
                <w:szCs w:val="18"/>
                <w:color w:val="auto"/>
                <w:w w:val="96"/>
              </w:rPr>
              <w:t>c/o NetEase.com, Inc., 26/F, SP Tower D, Tsinghua Science Park Building 8, No. 1 Zhongguancun East Road, Haidian</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District, Beijing, People’s Republic of China 100084</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1,406,000,000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 (2)</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Onward Choi(3)</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1,000,000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Zhonghui Zhan(5)</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Alice Cheng</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Denny Lee(6)</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3,693,325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Joseph Tong</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Lun Feng</w:t>
            </w:r>
          </w:p>
        </w:tc>
        <w:tc>
          <w:tcPr>
            <w:tcW w:w="14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Michael Leung</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Tong(4)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7,187,500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(9 persons)(7)</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1,426,000,825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Shining Globe International Limited is 100% owned by William Lei Ding, our founder, Chief Executive Officer and a director.</w:t>
      </w:r>
    </w:p>
    <w:p>
      <w:pPr>
        <w:spacing w:after="0" w:line="9" w:lineRule="exact"/>
        <w:rPr>
          <w:rFonts w:ascii="Arial" w:cs="Arial" w:eastAsia="Arial" w:hAnsi="Arial"/>
          <w:sz w:val="18"/>
          <w:szCs w:val="18"/>
          <w:color w:val="auto"/>
        </w:rPr>
      </w:pPr>
    </w:p>
    <w:p>
      <w:pPr>
        <w:ind w:left="460" w:right="82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is c/o NetEase.com, Inc., 26/F, SP Tower D, Tsinghua Science Park Building 8, No. 1 Zhongguancun East Road, Haidian District, Beijing, the People’s Republic of China 100084.</w:t>
      </w:r>
    </w:p>
    <w:p>
      <w:pPr>
        <w:ind w:left="460" w:right="26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375,000 and 625,000 shares subject to stock options exercisable within 60 days of March 31, 2009, which have an exercise price of US$0.4863 and US$0.728 per ordinary share, respectively, and an expiration date of May 13, 2010 and March 14, 2012, respectively.</w:t>
      </w:r>
    </w:p>
    <w:p>
      <w:pPr>
        <w:spacing w:after="0" w:line="1" w:lineRule="exact"/>
        <w:rPr>
          <w:rFonts w:ascii="Arial" w:cs="Arial" w:eastAsia="Arial" w:hAnsi="Arial"/>
          <w:sz w:val="16"/>
          <w:szCs w:val="16"/>
          <w:color w:val="auto"/>
        </w:rPr>
      </w:pPr>
    </w:p>
    <w:p>
      <w:pPr>
        <w:ind w:left="460" w:right="180" w:hanging="452"/>
        <w:spacing w:after="0" w:line="25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3,750,000, 2,500,000 and 937,500 shares subject to stock options exercisable within 60 days of March 31, 2009, which have an exercise price of US$0.3001, US$0.4863 and US$0.728 per ordinary share, respectively, and an expiration date of August 16, 2009, May 13, 2010 and March 14, 2012,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3"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3,600,000 ordinary shares held by Mr. Zhan and options for 2,500,000, 1,020,000 and 1,000,000 shares which are exercisable within 60 days of March 31, 2009, and have an exercise price of US$0.3001, US$0.4863 and US$0.728 per ordinary share, respectively, and an expiration date of August 16, 2009, May 13, 2010 and March 14, 2012, respectively.</w:t>
      </w:r>
    </w:p>
    <w:p>
      <w:pPr>
        <w:ind w:left="460" w:right="6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2,443,325 ordinary shares held by Mr. Lee and options for 1,250,000 shares which are exercisable within 60 days of March 31, 2009, and have an exercise price of US$0.4863 per ordinary share, and an expiration date of May 13, 2010.</w:t>
      </w:r>
    </w:p>
    <w:p>
      <w:pPr>
        <w:ind w:left="460" w:right="100" w:hanging="452"/>
        <w:spacing w:after="0" w:line="255"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owned by all of our current directors and executive officers as a group includes shares beneficially owned by William Lei Ding. This amount includes 6,043,325 ordinary shares held by Mr. Zhan and Mr. Lee and options for 1,419,957,500 shares which are exercisable within 60 days of March 31, 2009.</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As of March 31, 2009, based on public filings with the SEC, there are no major shareholders holding 5% or more of our ordinary shares or ADSs representing ordinary shares, except as described above.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2009, none of our ordinary shares were held by U.S. holders of record. On that date, a total of 72,045,305 ADSs were outstanding; and our ADSs were held by 24 U.S. holders of record.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our knowledge, there are no arrangements the operation of which may at a subsequent date result in us undergoing a change in control.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9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6.E. “Directors, Senior Management and Employees—Share Ownership.”</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was founded in June 1997. In July 1999, we established a new holding company, NetEase.com, Inc., in the Cayman Islands. In September 1999, we restructured our operations in order to comply with increasing regulation of the Internet industry in China. As part of this restructuring, substantially all of Guangzhou NetEase’s fixed and intangible assets and existing Internet applications, services and technologies were acquired by NetEase Information Technology (Beijing) Co., Ltd., or NetEase Beijing, a wholly owned subsidiary of NetEase formed in August 1999. Guangzhou NetEase, which is 90% owned by our founder, Chief Executive Officer, director and major shareholder, William Lei Ding, has received approval from the Guangzhou telecommunications administrative authorities to provide Internet content services, and its 80% owned subsidiary, Beijing Guangyitong Advertising Co., Ltd., or Guangyitong Advertising, holds a license to operate an advertising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NetEase and NetEase Beijing entered into a series of agreements with Guangzhou NetEase, Guangyitong Advertising and the shareholders of Guangzhou NetEase and Guangyitong Advertising under which we provide our Internet and e-commerce applications, services and technologies and advertising services to Guangzhou NetEase and Guangyitong Advertising, and Guangzhou NetEase and Guangyitong Advertising operate the NetEase websites and our online advertising business. We believe that the terms of each agreement are no less favorable than the terms that we could obtain from disinterested third parties and that the shareholders of Guangzhou NetEase and Guangyitong Advertising will not receive material benefits from these agreements except as shareholders of NetEase. These agreements are described below.</w:t>
      </w:r>
    </w:p>
    <w:p>
      <w:pPr>
        <w:spacing w:after="0" w:line="39" w:lineRule="exact"/>
        <w:rPr>
          <w:sz w:val="20"/>
          <w:szCs w:val="20"/>
          <w:color w:val="auto"/>
        </w:rPr>
      </w:pPr>
    </w:p>
    <w:p>
      <w:pPr>
        <w:jc w:val="both"/>
        <w:ind w:left="1480" w:right="380" w:hanging="446"/>
        <w:spacing w:after="0" w:line="259"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domain names “netease.com,” “163.com,” “126.com,” “yeah.net” and “nease.net” on the NetEase websites in China for license fees of RMB10,000 per year. NetEase may waive this fee at any time.</w:t>
      </w:r>
    </w:p>
    <w:p>
      <w:pPr>
        <w:spacing w:after="0" w:line="59" w:lineRule="exact"/>
        <w:rPr>
          <w:rFonts w:ascii="Arial" w:cs="Arial" w:eastAsia="Arial" w:hAnsi="Arial"/>
          <w:sz w:val="18"/>
          <w:szCs w:val="18"/>
          <w:color w:val="auto"/>
        </w:rPr>
      </w:pPr>
    </w:p>
    <w:p>
      <w:pPr>
        <w:ind w:left="1480" w:right="120" w:hanging="446"/>
        <w:spacing w:after="0" w:line="332" w:lineRule="auto"/>
        <w:tabs>
          <w:tab w:leader="none" w:pos="14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Beijing granted Guangzhou NetEase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use NetEase Beijing’s web page layout in China for a royalty of RMB10,000 per year. NetEase Beijing may waive this fee at any time.</w:t>
      </w:r>
    </w:p>
    <w:p>
      <w:pPr>
        <w:spacing w:after="0" w:line="4" w:lineRule="exact"/>
        <w:rPr>
          <w:rFonts w:ascii="Arial" w:cs="Arial" w:eastAsia="Arial" w:hAnsi="Arial"/>
          <w:sz w:val="16"/>
          <w:szCs w:val="16"/>
          <w:color w:val="auto"/>
        </w:rPr>
      </w:pPr>
    </w:p>
    <w:p>
      <w:pPr>
        <w:jc w:val="both"/>
        <w:ind w:left="1480" w:hanging="446"/>
        <w:spacing w:after="0" w:line="259"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 NetEase a license to</w:t>
      </w:r>
      <w:r>
        <w:rPr>
          <w:rFonts w:ascii="Arial" w:cs="Arial" w:eastAsia="Arial" w:hAnsi="Arial"/>
          <w:sz w:val="18"/>
          <w:szCs w:val="18"/>
          <w:i w:val="1"/>
          <w:iCs w:val="1"/>
          <w:color w:val="auto"/>
        </w:rPr>
        <w:t xml:space="preserve"> </w:t>
      </w:r>
      <w:r>
        <w:rPr>
          <w:rFonts w:ascii="Arial" w:cs="Arial" w:eastAsia="Arial" w:hAnsi="Arial"/>
          <w:sz w:val="18"/>
          <w:szCs w:val="18"/>
          <w:color w:val="auto"/>
        </w:rPr>
        <w:t>use NetEase Beijing’s registered trademarks on the NetEase websites in China for license fees of RMB10,000 per year. NetEase Beijing may waive this fee at any time.</w:t>
      </w:r>
    </w:p>
    <w:p>
      <w:pPr>
        <w:spacing w:after="0" w:line="59" w:lineRule="exact"/>
        <w:rPr>
          <w:rFonts w:ascii="Arial" w:cs="Arial" w:eastAsia="Arial" w:hAnsi="Arial"/>
          <w:sz w:val="18"/>
          <w:szCs w:val="18"/>
          <w:color w:val="auto"/>
        </w:rPr>
      </w:pPr>
    </w:p>
    <w:p>
      <w:pPr>
        <w:ind w:left="1480" w:right="380" w:hanging="446"/>
        <w:spacing w:after="0" w:line="268"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Guangzhou NetEase, Guangzhou Interactive and NetEase Beijing. </w:t>
      </w:r>
      <w:r>
        <w:rPr>
          <w:rFonts w:ascii="Arial" w:cs="Arial" w:eastAsia="Arial" w:hAnsi="Arial"/>
          <w:sz w:val="18"/>
          <w:szCs w:val="18"/>
          <w:color w:val="auto"/>
        </w:rPr>
        <w:t>Under the Cooperative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Guangzhou Interactive has agreed to provide the following services:</w:t>
      </w:r>
    </w:p>
    <w:p>
      <w:pPr>
        <w:spacing w:after="0" w:line="50" w:lineRule="exact"/>
        <w:rPr>
          <w:rFonts w:ascii="Arial" w:cs="Arial" w:eastAsia="Arial" w:hAnsi="Arial"/>
          <w:sz w:val="18"/>
          <w:szCs w:val="18"/>
          <w:color w:val="auto"/>
        </w:rPr>
      </w:pPr>
    </w:p>
    <w:p>
      <w:pPr>
        <w:ind w:left="2160" w:right="620" w:hanging="329"/>
        <w:spacing w:after="0" w:line="268" w:lineRule="auto"/>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computer software development (including but not limited to online games) and technical support and maintenance for the operation of the computer software;</w:t>
      </w:r>
    </w:p>
    <w:p>
      <w:pPr>
        <w:spacing w:after="0" w:line="50" w:lineRule="exact"/>
        <w:rPr>
          <w:rFonts w:ascii="Arial" w:cs="Arial" w:eastAsia="Arial" w:hAnsi="Arial"/>
          <w:sz w:val="18"/>
          <w:szCs w:val="18"/>
          <w:color w:val="auto"/>
        </w:rPr>
      </w:pPr>
    </w:p>
    <w:p>
      <w:pPr>
        <w:ind w:left="2160" w:right="560" w:hanging="329"/>
        <w:spacing w:after="0" w:line="268" w:lineRule="auto"/>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provide technical support for systems related to point card generation and customer service, including but not limited to the development, update and maintenance of those systems; and</w:t>
      </w:r>
    </w:p>
    <w:p>
      <w:pPr>
        <w:spacing w:after="0" w:line="50" w:lineRule="exact"/>
        <w:rPr>
          <w:rFonts w:ascii="Arial" w:cs="Arial" w:eastAsia="Arial" w:hAnsi="Arial"/>
          <w:sz w:val="18"/>
          <w:szCs w:val="18"/>
          <w:color w:val="auto"/>
        </w:rPr>
      </w:pPr>
    </w:p>
    <w:p>
      <w:pPr>
        <w:ind w:left="2160" w:hanging="329"/>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provide bandwidth.</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Under the Cooperative Agreement, NetEase Beijing has also agreed to provide the following services:</w:t>
      </w:r>
    </w:p>
    <w:p>
      <w:pPr>
        <w:spacing w:after="0" w:line="90" w:lineRule="exact"/>
        <w:rPr>
          <w:sz w:val="20"/>
          <w:szCs w:val="20"/>
          <w:color w:val="auto"/>
        </w:rPr>
      </w:pPr>
    </w:p>
    <w:p>
      <w:pPr>
        <w:ind w:left="2160" w:hanging="329"/>
        <w:spacing w:after="0"/>
        <w:tabs>
          <w:tab w:leader="none" w:pos="2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development of Internet communication products and Internet-related application software;</w:t>
      </w:r>
    </w:p>
    <w:p>
      <w:pPr>
        <w:spacing w:after="0" w:line="90" w:lineRule="exact"/>
        <w:rPr>
          <w:rFonts w:ascii="Arial" w:cs="Arial" w:eastAsia="Arial" w:hAnsi="Arial"/>
          <w:sz w:val="18"/>
          <w:szCs w:val="18"/>
          <w:color w:val="auto"/>
        </w:rPr>
      </w:pPr>
    </w:p>
    <w:p>
      <w:pPr>
        <w:ind w:left="2160" w:hanging="329"/>
        <w:spacing w:after="0" w:line="268" w:lineRule="auto"/>
        <w:tabs>
          <w:tab w:leader="none" w:pos="2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technical service for Internet portal, including but not limited to the server maintenance and the development and update of server application software;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60" w:right="20" w:hanging="329"/>
        <w:spacing w:after="0" w:line="268" w:lineRule="auto"/>
        <w:tabs>
          <w:tab w:leader="none" w:pos="2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technical service for e-commerce, including but not limited to the development and maintenance of NetEase’s e-commerce platform;</w:t>
      </w:r>
    </w:p>
    <w:p>
      <w:pPr>
        <w:spacing w:after="0" w:line="50" w:lineRule="exact"/>
        <w:rPr>
          <w:rFonts w:ascii="Arial" w:cs="Arial" w:eastAsia="Arial" w:hAnsi="Arial"/>
          <w:sz w:val="18"/>
          <w:szCs w:val="18"/>
          <w:color w:val="auto"/>
        </w:rPr>
      </w:pPr>
    </w:p>
    <w:p>
      <w:pPr>
        <w:ind w:left="2160" w:hanging="329"/>
        <w:spacing w:after="0"/>
        <w:tabs>
          <w:tab w:leader="none" w:pos="2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technical support for e-publishing; and</w:t>
      </w:r>
    </w:p>
    <w:p>
      <w:pPr>
        <w:spacing w:after="0" w:line="90" w:lineRule="exact"/>
        <w:rPr>
          <w:rFonts w:ascii="Arial" w:cs="Arial" w:eastAsia="Arial" w:hAnsi="Arial"/>
          <w:sz w:val="18"/>
          <w:szCs w:val="18"/>
          <w:color w:val="auto"/>
        </w:rPr>
      </w:pPr>
    </w:p>
    <w:p>
      <w:pPr>
        <w:ind w:left="2160" w:hanging="329"/>
        <w:spacing w:after="0"/>
        <w:tabs>
          <w:tab w:leader="none" w:pos="2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software development and maintenance related to online advertising.</w:t>
      </w:r>
    </w:p>
    <w:p>
      <w:pPr>
        <w:spacing w:after="0" w:line="90"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Furthermore, Guangzhou NetEase has agreed to pay a monthly service fee to Guangzhou Interactive and NetEase Beijing in accordance with a formula based on the expenses incurred by the respective companies. The Cooperative Agreement was effective from January 2006 and will continue to be effective unless any one of the three parties object.</w:t>
      </w:r>
    </w:p>
    <w:p>
      <w:pPr>
        <w:spacing w:after="0" w:line="59" w:lineRule="exact"/>
        <w:rPr>
          <w:sz w:val="20"/>
          <w:szCs w:val="20"/>
          <w:color w:val="auto"/>
        </w:rPr>
      </w:pPr>
    </w:p>
    <w:p>
      <w:pPr>
        <w:ind w:left="1480" w:right="280" w:hanging="446"/>
        <w:spacing w:after="0" w:line="268"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Guangzhou NetEase and Boguan. </w:t>
      </w:r>
      <w:r>
        <w:rPr>
          <w:rFonts w:ascii="Arial" w:cs="Arial" w:eastAsia="Arial" w:hAnsi="Arial"/>
          <w:sz w:val="18"/>
          <w:szCs w:val="18"/>
          <w:color w:val="auto"/>
        </w:rPr>
        <w:t>Under the Cooperative Agreement, Boguan has agreed to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services:</w:t>
      </w:r>
    </w:p>
    <w:p>
      <w:pPr>
        <w:spacing w:after="0" w:line="50" w:lineRule="exact"/>
        <w:rPr>
          <w:rFonts w:ascii="Arial" w:cs="Arial" w:eastAsia="Arial" w:hAnsi="Arial"/>
          <w:sz w:val="18"/>
          <w:szCs w:val="18"/>
          <w:color w:val="auto"/>
        </w:rPr>
      </w:pPr>
    </w:p>
    <w:p>
      <w:pPr>
        <w:ind w:left="2160" w:right="620" w:hanging="329"/>
        <w:spacing w:after="0" w:line="268" w:lineRule="auto"/>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computer software development (including but not limited to online games) and technical support and maintenance for the operation of the computer software; and</w:t>
      </w:r>
    </w:p>
    <w:p>
      <w:pPr>
        <w:spacing w:after="0" w:line="50" w:lineRule="exact"/>
        <w:rPr>
          <w:rFonts w:ascii="Arial" w:cs="Arial" w:eastAsia="Arial" w:hAnsi="Arial"/>
          <w:sz w:val="18"/>
          <w:szCs w:val="18"/>
          <w:color w:val="auto"/>
        </w:rPr>
      </w:pPr>
    </w:p>
    <w:p>
      <w:pPr>
        <w:ind w:left="2160" w:hanging="329"/>
        <w:spacing w:after="0"/>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provide bandwidth.</w:t>
      </w:r>
    </w:p>
    <w:p>
      <w:pPr>
        <w:spacing w:after="0" w:line="90" w:lineRule="exact"/>
        <w:rPr>
          <w:sz w:val="20"/>
          <w:szCs w:val="20"/>
          <w:color w:val="auto"/>
        </w:rPr>
      </w:pPr>
    </w:p>
    <w:p>
      <w:pPr>
        <w:ind w:left="920" w:right="380" w:firstLine="420"/>
        <w:spacing w:after="0" w:line="332" w:lineRule="auto"/>
        <w:rPr>
          <w:sz w:val="20"/>
          <w:szCs w:val="20"/>
          <w:color w:val="auto"/>
        </w:rPr>
      </w:pPr>
      <w:r>
        <w:rPr>
          <w:rFonts w:ascii="Arial" w:cs="Arial" w:eastAsia="Arial" w:hAnsi="Arial"/>
          <w:sz w:val="16"/>
          <w:szCs w:val="16"/>
          <w:color w:val="auto"/>
        </w:rPr>
        <w:t>Guangzhou NetEase has agreed to pay a monthly service fee to Boguan in accordance with a formula based on its expenses incurred. The Cooperative Agreement was effective from January 2006 and will continue to be effective unless any one of the two parties object.</w:t>
      </w:r>
    </w:p>
    <w:p>
      <w:pPr>
        <w:spacing w:after="0" w:line="4" w:lineRule="exact"/>
        <w:rPr>
          <w:sz w:val="20"/>
          <w:szCs w:val="20"/>
          <w:color w:val="auto"/>
        </w:rPr>
      </w:pPr>
    </w:p>
    <w:p>
      <w:pPr>
        <w:ind w:left="1480" w:right="200" w:hanging="446"/>
        <w:spacing w:after="0" w:line="268"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Guangzhou NetEase and NetEase Hangzhou. </w:t>
      </w:r>
      <w:r>
        <w:rPr>
          <w:rFonts w:ascii="Arial" w:cs="Arial" w:eastAsia="Arial" w:hAnsi="Arial"/>
          <w:sz w:val="18"/>
          <w:szCs w:val="18"/>
          <w:color w:val="auto"/>
        </w:rPr>
        <w:t>Under the Cooperative Agreement, NetEase Hangzhou has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provide the following services:</w:t>
      </w:r>
    </w:p>
    <w:p>
      <w:pPr>
        <w:spacing w:after="0" w:line="50" w:lineRule="exact"/>
        <w:rPr>
          <w:rFonts w:ascii="Arial" w:cs="Arial" w:eastAsia="Arial" w:hAnsi="Arial"/>
          <w:sz w:val="18"/>
          <w:szCs w:val="18"/>
          <w:color w:val="auto"/>
        </w:rPr>
      </w:pPr>
    </w:p>
    <w:p>
      <w:pPr>
        <w:ind w:left="2160" w:right="620" w:hanging="329"/>
        <w:spacing w:after="0" w:line="268" w:lineRule="auto"/>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computer software development (including but not limited to online games) and technical support and maintenance for the operation of the computer software; and</w:t>
      </w:r>
    </w:p>
    <w:p>
      <w:pPr>
        <w:spacing w:after="0" w:line="50" w:lineRule="exact"/>
        <w:rPr>
          <w:rFonts w:ascii="Arial" w:cs="Arial" w:eastAsia="Arial" w:hAnsi="Arial"/>
          <w:sz w:val="18"/>
          <w:szCs w:val="18"/>
          <w:color w:val="auto"/>
        </w:rPr>
      </w:pPr>
    </w:p>
    <w:p>
      <w:pPr>
        <w:ind w:left="2160" w:hanging="329"/>
        <w:spacing w:after="0"/>
        <w:tabs>
          <w:tab w:leader="none" w:pos="2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provide bandwidth.</w:t>
      </w:r>
    </w:p>
    <w:p>
      <w:pPr>
        <w:spacing w:after="0" w:line="90" w:lineRule="exact"/>
        <w:rPr>
          <w:sz w:val="20"/>
          <w:szCs w:val="20"/>
          <w:color w:val="auto"/>
        </w:rPr>
      </w:pPr>
    </w:p>
    <w:p>
      <w:pPr>
        <w:ind w:left="920" w:right="280" w:firstLine="420"/>
        <w:spacing w:after="0" w:line="357" w:lineRule="auto"/>
        <w:rPr>
          <w:sz w:val="20"/>
          <w:szCs w:val="20"/>
          <w:color w:val="auto"/>
        </w:rPr>
      </w:pPr>
      <w:r>
        <w:rPr>
          <w:rFonts w:ascii="Arial" w:cs="Arial" w:eastAsia="Arial" w:hAnsi="Arial"/>
          <w:sz w:val="15"/>
          <w:szCs w:val="15"/>
          <w:color w:val="auto"/>
        </w:rPr>
        <w:t>Guangzhou NetEase has agreed to pay a monthly service fee to NetEase Hangzhou in accordance with a formula based on its expenses incurred. The Cooperative Agreement was effective from January 2007 and will continue to be effective unless any one of the two parties object.</w:t>
      </w:r>
    </w:p>
    <w:p>
      <w:pPr>
        <w:ind w:left="1480" w:right="300" w:hanging="446"/>
        <w:spacing w:after="0" w:line="268"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NetEase Beijing and Guangyitong Advertising. </w:t>
      </w:r>
      <w:r>
        <w:rPr>
          <w:rFonts w:ascii="Arial" w:cs="Arial" w:eastAsia="Arial" w:hAnsi="Arial"/>
          <w:sz w:val="18"/>
          <w:szCs w:val="18"/>
          <w:color w:val="auto"/>
        </w:rPr>
        <w:t>Under the Cooperative Agreement, NetEase Beijing has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provide the following services:</w:t>
      </w:r>
    </w:p>
    <w:p>
      <w:pPr>
        <w:spacing w:after="0" w:line="50" w:lineRule="exact"/>
        <w:rPr>
          <w:rFonts w:ascii="Arial" w:cs="Arial" w:eastAsia="Arial" w:hAnsi="Arial"/>
          <w:sz w:val="18"/>
          <w:szCs w:val="18"/>
          <w:color w:val="auto"/>
        </w:rPr>
      </w:pPr>
    </w:p>
    <w:p>
      <w:pPr>
        <w:ind w:left="2160" w:right="240" w:hanging="329"/>
        <w:spacing w:after="0" w:line="268" w:lineRule="auto"/>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computer software development (including but not limited to the publishing, delivery and management of online advertisement) and technical support and maintenance for the operation of the computer software;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60" w:hanging="329"/>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software development and maintenance related to online advertising;</w:t>
      </w:r>
    </w:p>
    <w:p>
      <w:pPr>
        <w:spacing w:after="0" w:line="90" w:lineRule="exact"/>
        <w:rPr>
          <w:rFonts w:ascii="Arial" w:cs="Arial" w:eastAsia="Arial" w:hAnsi="Arial"/>
          <w:sz w:val="18"/>
          <w:szCs w:val="18"/>
          <w:color w:val="auto"/>
        </w:rPr>
      </w:pPr>
    </w:p>
    <w:p>
      <w:pPr>
        <w:ind w:left="2160" w:hanging="329"/>
        <w:spacing w:after="0" w:line="268" w:lineRule="auto"/>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technical service for internet portal, including but not limited to the server maintenance and the development and update of server application software;</w:t>
      </w:r>
    </w:p>
    <w:p>
      <w:pPr>
        <w:spacing w:after="0" w:line="50" w:lineRule="exact"/>
        <w:rPr>
          <w:rFonts w:ascii="Arial" w:cs="Arial" w:eastAsia="Arial" w:hAnsi="Arial"/>
          <w:sz w:val="18"/>
          <w:szCs w:val="18"/>
          <w:color w:val="auto"/>
        </w:rPr>
      </w:pPr>
    </w:p>
    <w:p>
      <w:pPr>
        <w:ind w:left="2160" w:right="20" w:hanging="329"/>
        <w:spacing w:after="0" w:line="268" w:lineRule="auto"/>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technical service for e-commerce, including but not limited to the development and maintenance of NetEase’s e-commerce platform; and</w:t>
      </w:r>
    </w:p>
    <w:p>
      <w:pPr>
        <w:spacing w:after="0" w:line="50" w:lineRule="exact"/>
        <w:rPr>
          <w:rFonts w:ascii="Arial" w:cs="Arial" w:eastAsia="Arial" w:hAnsi="Arial"/>
          <w:sz w:val="18"/>
          <w:szCs w:val="18"/>
          <w:color w:val="auto"/>
        </w:rPr>
      </w:pPr>
    </w:p>
    <w:p>
      <w:pPr>
        <w:ind w:left="2160" w:hanging="329"/>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technical support for e-publishing.</w:t>
      </w:r>
    </w:p>
    <w:p>
      <w:pPr>
        <w:spacing w:after="0" w:line="90" w:lineRule="exact"/>
        <w:rPr>
          <w:sz w:val="20"/>
          <w:szCs w:val="20"/>
          <w:color w:val="auto"/>
        </w:rPr>
      </w:pPr>
    </w:p>
    <w:p>
      <w:pPr>
        <w:ind w:left="920" w:right="300" w:firstLine="420"/>
        <w:spacing w:after="0" w:line="332" w:lineRule="auto"/>
        <w:rPr>
          <w:sz w:val="20"/>
          <w:szCs w:val="20"/>
          <w:color w:val="auto"/>
        </w:rPr>
      </w:pPr>
      <w:r>
        <w:rPr>
          <w:rFonts w:ascii="Arial" w:cs="Arial" w:eastAsia="Arial" w:hAnsi="Arial"/>
          <w:sz w:val="16"/>
          <w:szCs w:val="16"/>
          <w:color w:val="auto"/>
        </w:rPr>
        <w:t>Guangyitong has agreed to pay a monthly service fee to NetEase Beijing in accordance with a formula based on its expenses incurred. The Cooperative Agreement was effective from January 2006 and will continue to be effective unless any one of the two parties object.</w:t>
      </w:r>
    </w:p>
    <w:p>
      <w:pPr>
        <w:spacing w:after="0" w:line="4" w:lineRule="exact"/>
        <w:rPr>
          <w:sz w:val="20"/>
          <w:szCs w:val="20"/>
          <w:color w:val="auto"/>
        </w:rPr>
      </w:pPr>
    </w:p>
    <w:p>
      <w:pPr>
        <w:ind w:left="1480" w:right="420" w:hanging="446"/>
        <w:spacing w:after="0" w:line="268"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Guangzhou Interactive and Guangyitong Advertising. </w:t>
      </w:r>
      <w:r>
        <w:rPr>
          <w:rFonts w:ascii="Arial" w:cs="Arial" w:eastAsia="Arial" w:hAnsi="Arial"/>
          <w:sz w:val="18"/>
          <w:szCs w:val="18"/>
          <w:color w:val="auto"/>
        </w:rPr>
        <w:t>Under the Cooperative Agreement,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has agreed to provide the following services:</w:t>
      </w:r>
    </w:p>
    <w:p>
      <w:pPr>
        <w:spacing w:after="0" w:line="51" w:lineRule="exact"/>
        <w:rPr>
          <w:sz w:val="20"/>
          <w:szCs w:val="20"/>
          <w:color w:val="auto"/>
        </w:rPr>
      </w:pPr>
    </w:p>
    <w:p>
      <w:pPr>
        <w:ind w:left="2160" w:right="240" w:hanging="329"/>
        <w:spacing w:after="0" w:line="268" w:lineRule="auto"/>
        <w:tabs>
          <w:tab w:leader="none" w:pos="2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computer software development (including but not limited to the publishing, delivery and management of online advertisement) and technical support and maintenance for the operation of the computer software.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Guangyitong has agreed to pay a monthly service fee to Guangzhou Interactive in accordance with a formula based on its expenses incurred.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Cooperative Agreement was effective from January 2006 and will continue to be effective unless any one of the two parties objects.</w:t>
      </w:r>
    </w:p>
    <w:p>
      <w:pPr>
        <w:spacing w:after="0" w:line="107" w:lineRule="exact"/>
        <w:rPr>
          <w:sz w:val="20"/>
          <w:szCs w:val="20"/>
          <w:color w:val="auto"/>
        </w:rPr>
      </w:pPr>
    </w:p>
    <w:p>
      <w:pPr>
        <w:ind w:left="1480" w:right="220" w:hanging="446"/>
        <w:spacing w:after="0" w:line="259" w:lineRule="auto"/>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Exclusive Advertising Agency Agreement between NetEase and Guangzhou NetEase. </w:t>
      </w:r>
      <w:r>
        <w:rPr>
          <w:rFonts w:ascii="Arial" w:cs="Arial" w:eastAsia="Arial" w:hAnsi="Arial"/>
          <w:sz w:val="18"/>
          <w:szCs w:val="18"/>
          <w:color w:val="auto"/>
        </w:rPr>
        <w:t>Guangzhou NetEase appointed NetEase as its</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agent to solicit advertising customers on behalf of Guangzhou NetEase in markets outside of China. NetEase pays Guangzhou NetEase 10% of the total advertising revenue under this agreement per month.</w:t>
      </w:r>
    </w:p>
    <w:p>
      <w:pPr>
        <w:spacing w:after="0" w:line="59" w:lineRule="exact"/>
        <w:rPr>
          <w:rFonts w:ascii="Arial" w:cs="Arial" w:eastAsia="Arial" w:hAnsi="Arial"/>
          <w:sz w:val="18"/>
          <w:szCs w:val="18"/>
          <w:color w:val="auto"/>
        </w:rPr>
      </w:pPr>
    </w:p>
    <w:p>
      <w:pPr>
        <w:ind w:left="1480" w:right="40" w:hanging="446"/>
        <w:spacing w:after="0" w:line="256" w:lineRule="auto"/>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Online Advertising Agreement between Guangzhou NetEase and Guangyitong Advertising. </w:t>
      </w:r>
      <w:r>
        <w:rPr>
          <w:rFonts w:ascii="Arial" w:cs="Arial" w:eastAsia="Arial" w:hAnsi="Arial"/>
          <w:sz w:val="18"/>
          <w:szCs w:val="18"/>
          <w:color w:val="auto"/>
        </w:rPr>
        <w:t>Guangzhou NetEase sells all of the banner space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NetEase websites to Guangyitong Advertising and publishes the advertisements provided by Guangyitong Advertising on the banner space purchased by Guangyitong Advertising. Guangyitong Advertising pays Guangzhou NetEase RMB10,000 per year. Guangzhou NetEase may waive this fee at any time.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spacing w:after="0" w:line="332" w:lineRule="auto"/>
        <w:rPr>
          <w:sz w:val="20"/>
          <w:szCs w:val="20"/>
          <w:color w:val="auto"/>
        </w:rPr>
      </w:pPr>
      <w:r>
        <w:rPr>
          <w:rFonts w:ascii="Arial" w:cs="Arial" w:eastAsia="Arial" w:hAnsi="Arial"/>
          <w:sz w:val="16"/>
          <w:szCs w:val="16"/>
          <w:color w:val="auto"/>
        </w:rPr>
        <w:t>By supplemental agreements entered into between the relevant parties in August 2005, the respective terms of the foregoing agreements are automatically renewable for successive one year terms, unless NetEase objects to such renewal.</w:t>
      </w:r>
    </w:p>
    <w:p>
      <w:pPr>
        <w:spacing w:after="0" w:line="4" w:lineRule="exact"/>
        <w:rPr>
          <w:sz w:val="20"/>
          <w:szCs w:val="20"/>
          <w:color w:val="auto"/>
        </w:rPr>
      </w:pPr>
    </w:p>
    <w:p>
      <w:pPr>
        <w:ind w:left="1480" w:right="80" w:hanging="446"/>
        <w:spacing w:after="0" w:line="268"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Trademark Transfer Agreement between Guangzhou NetEase and NetEase Beijing. </w:t>
      </w:r>
      <w:r>
        <w:rPr>
          <w:rFonts w:ascii="Arial" w:cs="Arial" w:eastAsia="Arial" w:hAnsi="Arial"/>
          <w:sz w:val="18"/>
          <w:szCs w:val="18"/>
          <w:color w:val="auto"/>
        </w:rPr>
        <w:t>Guangzhou NetEase has agreed to transfer its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to NetEase Beijing.</w:t>
      </w:r>
    </w:p>
    <w:p>
      <w:pPr>
        <w:spacing w:after="0" w:line="50" w:lineRule="exact"/>
        <w:rPr>
          <w:rFonts w:ascii="Arial" w:cs="Arial" w:eastAsia="Arial" w:hAnsi="Arial"/>
          <w:sz w:val="18"/>
          <w:szCs w:val="18"/>
          <w:color w:val="auto"/>
        </w:rPr>
      </w:pPr>
    </w:p>
    <w:p>
      <w:pPr>
        <w:ind w:left="1480" w:right="120" w:hanging="446"/>
        <w:spacing w:after="0" w:line="259"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Supplemental Agreement between NetEase Beijing and Guangzhou NetEase. </w:t>
      </w:r>
      <w:r>
        <w:rPr>
          <w:rFonts w:ascii="Arial" w:cs="Arial" w:eastAsia="Arial" w:hAnsi="Arial"/>
          <w:sz w:val="18"/>
          <w:szCs w:val="18"/>
          <w:color w:val="auto"/>
        </w:rPr>
        <w:t>NetEase Beijing may not grant the license to use its domain</w:t>
      </w:r>
      <w:r>
        <w:rPr>
          <w:rFonts w:ascii="Arial" w:cs="Arial" w:eastAsia="Arial" w:hAnsi="Arial"/>
          <w:sz w:val="18"/>
          <w:szCs w:val="18"/>
          <w:i w:val="1"/>
          <w:iCs w:val="1"/>
          <w:color w:val="auto"/>
        </w:rPr>
        <w:t xml:space="preserve"> </w:t>
      </w:r>
      <w:r>
        <w:rPr>
          <w:rFonts w:ascii="Arial" w:cs="Arial" w:eastAsia="Arial" w:hAnsi="Arial"/>
          <w:sz w:val="18"/>
          <w:szCs w:val="18"/>
          <w:color w:val="auto"/>
        </w:rPr>
        <w:t>name, copyright and trademark to any third party without Guangzhou NetEase’s consent and may not provide technical service to any third party.</w:t>
      </w:r>
    </w:p>
    <w:p>
      <w:pPr>
        <w:spacing w:after="0" w:line="59" w:lineRule="exact"/>
        <w:rPr>
          <w:rFonts w:ascii="Arial" w:cs="Arial" w:eastAsia="Arial" w:hAnsi="Arial"/>
          <w:sz w:val="18"/>
          <w:szCs w:val="18"/>
          <w:color w:val="auto"/>
        </w:rPr>
      </w:pPr>
    </w:p>
    <w:p>
      <w:pPr>
        <w:ind w:left="1480" w:right="180" w:hanging="446"/>
        <w:spacing w:after="0" w:line="298" w:lineRule="auto"/>
        <w:tabs>
          <w:tab w:leader="none" w:pos="14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Beijing, Guangyitong and the ultimate shareholders of Guangyitong Advertising. </w:t>
      </w:r>
      <w:r>
        <w:rPr>
          <w:rFonts w:ascii="Arial" w:cs="Arial" w:eastAsia="Arial" w:hAnsi="Arial"/>
          <w:sz w:val="16"/>
          <w:szCs w:val="16"/>
          <w:color w:val="auto"/>
        </w:rPr>
        <w:t>To ensure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performance of the various agreements between the parties, Guangyitong Advertising and its ultimate shareholders have agreed that they will not enter into any transaction, or fail to take any action, that would substantially affect the assets, liabilities, equity or operations of Guangyitong Advertising without the prior written consent of NetEase Beijing.</w:t>
      </w:r>
    </w:p>
    <w:p>
      <w:pPr>
        <w:spacing w:after="0" w:line="32"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The parties have agreed that upon NetEase Beijing’s determination and at any time when NetEase Beijing is able to obtain approval to invest in and operate all or any part of Guangyitong Advertising, NetEase Beijing may acquire all or any part of the assets or equity interests of Guangyitong Advertising, to the extent permitted by Chinese law. The consideration for such acquisitions will be based on the book value of Guangyitong Advertising at the time of acquisition.</w:t>
      </w:r>
    </w:p>
    <w:p>
      <w:pPr>
        <w:spacing w:after="0" w:line="62"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NetEase Beijing has agreed that it will provide performance guarantees and guarantee loans for working capital purposes to the extent required by Guangyitong Advertising for its operations.</w:t>
      </w:r>
    </w:p>
    <w:p>
      <w:pPr>
        <w:spacing w:after="0" w:line="51" w:lineRule="exact"/>
        <w:rPr>
          <w:sz w:val="20"/>
          <w:szCs w:val="20"/>
          <w:color w:val="auto"/>
        </w:rPr>
      </w:pPr>
    </w:p>
    <w:p>
      <w:pPr>
        <w:ind w:left="920" w:right="480"/>
        <w:spacing w:after="0" w:line="332" w:lineRule="auto"/>
        <w:rPr>
          <w:sz w:val="20"/>
          <w:szCs w:val="20"/>
          <w:color w:val="auto"/>
        </w:rPr>
      </w:pPr>
      <w:r>
        <w:rPr>
          <w:rFonts w:ascii="Arial" w:cs="Arial" w:eastAsia="Arial" w:hAnsi="Arial"/>
          <w:sz w:val="16"/>
          <w:szCs w:val="16"/>
          <w:color w:val="auto"/>
        </w:rPr>
        <w:t>The ultimate shareholders of Guangyitong Advertising have agreed that upon instruction from NetEase Beijing, they will appoint or terminate Guangyitong Advertising’s board members, General Manager, Chief Financial Officer and other senior officers.</w:t>
      </w:r>
    </w:p>
    <w:p>
      <w:pPr>
        <w:spacing w:after="0" w:line="4"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NetEase Beijing has the right to transfer and sell its interests in the Operating Agreement or any other agreements between it and Guangyitong Advertising. The term of this agreement is 20 years from February 3, 2000.</w:t>
      </w:r>
    </w:p>
    <w:p>
      <w:pPr>
        <w:spacing w:after="0" w:line="51" w:lineRule="exact"/>
        <w:rPr>
          <w:sz w:val="20"/>
          <w:szCs w:val="20"/>
          <w:color w:val="auto"/>
        </w:rPr>
      </w:pPr>
    </w:p>
    <w:p>
      <w:pPr>
        <w:ind w:left="1480" w:hanging="446"/>
        <w:spacing w:after="0" w:line="255"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Shareholder Voting Rights Trust Agreement among William Lei Ding, Bo Ding and NetEase Beijing. </w:t>
      </w:r>
      <w:r>
        <w:rPr>
          <w:rFonts w:ascii="Arial" w:cs="Arial" w:eastAsia="Arial" w:hAnsi="Arial"/>
          <w:sz w:val="18"/>
          <w:szCs w:val="18"/>
          <w:color w:val="auto"/>
        </w:rPr>
        <w:t>Bo Ding irrevocably appoints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Beijing to represent him to exercise all the voting rights to which he is entitled as a shareholder of Guangyitong Advertising and William Lei Ding and Bo Ding agree to cause Guangzhou NetEase to irrevocably appoint NetEase Beijing to represent Guangzhou NetEase to exercise all the voting rights to which Guangzhou NetEase is entitled as a shareholder of Guangyitong Advertising. The term of this agreement is ten years from May 12, 2000.</w:t>
      </w:r>
    </w:p>
    <w:p>
      <w:pPr>
        <w:spacing w:after="0" w:line="61" w:lineRule="exact"/>
        <w:rPr>
          <w:rFonts w:ascii="Arial" w:cs="Arial" w:eastAsia="Arial" w:hAnsi="Arial"/>
          <w:sz w:val="18"/>
          <w:szCs w:val="18"/>
          <w:color w:val="auto"/>
        </w:rPr>
      </w:pPr>
    </w:p>
    <w:p>
      <w:pPr>
        <w:ind w:left="1480" w:hanging="446"/>
        <w:spacing w:after="0"/>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Agreement between NetEase Beijing and Guangzhou NetEase. </w:t>
      </w:r>
      <w:r>
        <w:rPr>
          <w:rFonts w:ascii="Arial" w:cs="Arial" w:eastAsia="Arial" w:hAnsi="Arial"/>
          <w:sz w:val="16"/>
          <w:szCs w:val="16"/>
          <w:color w:val="auto"/>
        </w:rPr>
        <w:t>NetEase Beijing agrees to pay the operating costs of Guangzhou NetEase.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89" w:lineRule="auto"/>
        <w:tabs>
          <w:tab w:leader="none" w:pos="148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Letter of Agreement. </w:t>
      </w:r>
      <w:r>
        <w:rPr>
          <w:rFonts w:ascii="Arial" w:cs="Arial" w:eastAsia="Arial" w:hAnsi="Arial"/>
          <w:sz w:val="16"/>
          <w:szCs w:val="16"/>
          <w:color w:val="auto"/>
        </w:rPr>
        <w:t>Each of William Lei Ding and Bo Ding have agreed that any amendments to be made to the Exclusive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Agreement, the Shareholder Voting Rights Trust Agreement, and the Operating Agreement described above, as well as all other agreements to which Guangzhou NetEase, Guangyitong Advertising and/or William Lei Ding and Bo Ding are parties, shall be subject to the approval by the vote of a majority of our board, excluding the vote of William Lei Ding. Messrs. Ding have also agreed that, if any amendments to the above mentioned agreements require a vote of the shareholders of NetEase, Guangzhou NetEase or Guangyitong Advertising, as applicable, both of them will vote in their capacity as direct or indirect shareholders of these companies to act based upon the instructions of our board. This letter of agreement was supplemented in May and July 2004 to extend to the agreements with Ling Yi and the agreements with Guangzhou Interactive.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2003, we also established a new VIE, Ling Yi, and entered into a series of agreements with it to provide us with control over such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Ling Yi was dissolved in August 2007.</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in August 2008 and April 2009, there are certain contractual arrangements among Shanghai EaseNet, the joint venture established between Blizzard and us, and us. We have consolidated Shanghai EaseNet into our financial statements as of and for the year ended December 31, 2008 as discussed in Item 5.A. “Operating Results – Basis of Presentation”.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Property in Guangzhou</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occupy a building in Guangzhou with floor space of approximately 20,000 square meters which is owned by a third party property developer, Haobang. William Lei Ding, our Chief Executive Officer, director and major shareholder, entered into an agreement with Haobang to purchase the property and has paid a deposit, representing substantially all of the purchase price for the property, to Haobang. We requested Mr. Ding to initially purchase the property because we required the office space for our operations but Haobang was not able to issue proper title to it at the time. We also agreed with Mr. Ding that he would on-sell the property to our company at cost once the title and any other legal issues associated with the property were resolved. However, we believe that Haobang has breached its agreement with Mr. Ding by, among other reasons, not completing the registration for the transfer of the title of the property to Mr. Ding and creating a new mortgage on the property. We and Mr. Ding have been negotiating with Haobang regarding these breaches, however, these negotiations have been unsuccessful thus far. We and Mr. Ding have agreed that Mr. Ding would initiate legal action against Haobang at our cost to demand, among others, that it cause the mortgage to be discharged and complete the registration for the transfer of the title of the property to Mr. Ding. Mr. Ding is currently in arbitration proceedings with Haobang, and we deposited RMB82.0 million (US$12.0 million) with a court in Guangzhou as a security deposit in connection with the arbitration proceedings. The arbitration proceedings are currently in the preliminary stage. Mr. Ding has agreed to indemnify our company for any losses or expenses we may incur due to the absence of the title.</w:t>
      </w:r>
    </w:p>
    <w:p>
      <w:pPr>
        <w:spacing w:after="0" w:line="12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From the date we commenced occupying the property in July 2006 until the present time, we have not paid any rent for the property. However, we can provide no assurance as to whether we will be subject to future demands for past and current rental payments. In addition, we have incurred expenses for various improvements to the property and installations in the aggregate amount of approximately RMB70.1 million (US$10.3 million) as of December 31, 2008.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Moreover, although we have not been required to pay rent for the property, we have recorded an imputed rental expense on our financial statements which was calculated based on the estimated rental value of the property and totaled RMB9.4 million and RMB9.4 million (US$1.4 million) in 2007 and 2008, respectively. See Item 5.A. “Operating and Financial Review and Prospects – Operating Results – Operating Expenses – General and Administrative Expenses.”</w:t>
      </w:r>
    </w:p>
    <w:p>
      <w:pPr>
        <w:spacing w:after="0" w:line="222" w:lineRule="exact"/>
        <w:rPr>
          <w:sz w:val="20"/>
          <w:szCs w:val="20"/>
          <w:color w:val="auto"/>
        </w:rPr>
      </w:pPr>
    </w:p>
    <w:p>
      <w:pPr>
        <w:ind w:left="1500" w:right="8420" w:hanging="1492"/>
        <w:spacing w:after="0" w:line="491" w:lineRule="auto"/>
        <w:tabs>
          <w:tab w:leader="none" w:pos="462"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Interests of Experts and Counsel </w:t>
      </w:r>
      <w:r>
        <w:rPr>
          <w:rFonts w:ascii="Arial" w:cs="Arial" w:eastAsia="Arial" w:hAnsi="Arial"/>
          <w:sz w:val="15"/>
          <w:szCs w:val="15"/>
          <w:color w:val="auto"/>
        </w:rPr>
        <w:t>Not applicable.</w:t>
      </w:r>
    </w:p>
    <w:p>
      <w:pPr>
        <w:spacing w:after="0" w:line="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 for our audited consolidated financial statements filed as part of this annual report.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A.7</w:t>
        <w:tab/>
        <w:t>Legal Proceedings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are no material legal proceedings pending or, to our knowledge, threatened against us, except for our arbitration proceedings with Haobang as set forth above under Item 7.B. “Related Party Transaction – Purchase of Property in Guangzhou.”</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A.8</w:t>
        <w:tab/>
        <w:t>Dividend Policy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never declared or paid any cash dividends on our ordinary shares, but it is possible that we may declare dividends in the future. We have historically retained earnings to finance operations and the expansion of our business. Any future determination to pay cash dividends will be at the discretion of the board of directors and will be dependent upon our financial condition, operating results, capital requirements and such other factors as the board of directors deems relevant.</w:t>
      </w:r>
    </w:p>
    <w:p>
      <w:pPr>
        <w:spacing w:after="0" w:line="25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have not experienced any significant changes since the date of our audited consolidated financial statements included in this annual report.</w:t>
      </w:r>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 except for Item 9.A.4. and Item 9.C.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ADSs have been listed on the NASDAQ Global Select Market (formerly the NASDAQ National Market) since June 30, 2000. Information relating to our ADSs has been restated to give effect to the ADS ratio change from one ADS for every 100 ordinary shares to one ADS for every 25 ordinary shares effective March 27, 2006. The ADS ratio change had the effect of a four-for-one share split. Our ADSs trade under the symbol “NTES.”</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provides the high and low prices for our ADSs on the NASDAQ Global Select Market for (1) each of the most recent five financial years, (2) each quarter in the two most recent financial years and the most recent quarter and (3) each of the most recent six months.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Sales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Annual highs and lows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2004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$14.62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2006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$25.25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2008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$27.16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Quarterly highs and lows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First Quarter 2007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$21.86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 2007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Third Quarter 2007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$19.35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 2007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First Quarter 2008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$21.84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 2008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$25.70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Third Quarter 2008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$27.16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 2008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First Quarter 2009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$27.12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Monthly highs and lows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December 2008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$22.43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January 2009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$22.92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February 2009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$21.06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March 2009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$27.12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April 2009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$31.50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May 2009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$34.98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90" w:lineRule="exact"/>
        <w:rPr>
          <w:sz w:val="20"/>
          <w:szCs w:val="20"/>
          <w:color w:val="auto"/>
        </w:rPr>
      </w:pPr>
    </w:p>
    <w:p>
      <w:pPr>
        <w:jc w:val="both"/>
        <w:ind w:left="460" w:right="9860" w:hanging="452"/>
        <w:spacing w:after="0" w:line="445" w:lineRule="auto"/>
        <w:tabs>
          <w:tab w:leader="none" w:pos="449"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14" w:lineRule="exact"/>
        <w:rPr>
          <w:rFonts w:ascii="Arial" w:cs="Arial" w:eastAsia="Arial" w:hAnsi="Arial"/>
          <w:sz w:val="16"/>
          <w:szCs w:val="16"/>
          <w:b w:val="1"/>
          <w:bCs w:val="1"/>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description of the terms and provisions of our restated memorandum and articles of association.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were incorporated in the Cayman Islands on July 6, 1999 and operate under the Cayman Islands Companies Law (2007 Revision), as revised and amended from time to time, or the Companies Law. Our corporate objectives and purpose are unrestricted.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are no membership qualifications for directors. Further, there are no age limitations or retirement requirements and no share ownership qualifications for directors unless so fixed by shareholders in a general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ordinary shares are fully paid and non-assessable. Certificates representing the ordinary shares are issued in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form. Our shareholders who are nonresidents of the Cayman Islands may freely hold and vote their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ordinary shares are entitled to such dividends as may be declared by our board of directors.</w:t>
      </w:r>
    </w:p>
    <w:p>
      <w:pPr>
        <w:spacing w:after="0" w:line="171" w:lineRule="exact"/>
        <w:rPr>
          <w:sz w:val="20"/>
          <w:szCs w:val="20"/>
          <w:color w:val="auto"/>
        </w:rPr>
      </w:pPr>
    </w:p>
    <w:p>
      <w:pPr>
        <w:ind w:right="540" w:firstLine="456"/>
        <w:spacing w:after="0" w:line="335"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Each ordinary share is entitled to one vote on all matters upon which the ordinary shares are entitled to vote, including the election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Voting at any meeting of shareholders is by show of hands unless a poll is demanded. A poll may be demanded by the Chairman or any other shareholder present in person or by proxy. A quorum required for a meeting of shareholders consists of at least two shareholders present or by proxy.</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ordinary shares cast in a general meeting, while a special resolution requires the affirmative vote of no less than two-thirds of the votes cast attaching to the ordinary shares. A special resolution is required for matters such as a change of name. Holders of the ordinary shares may by ordinary resolution, among other things, elect directors, appoint auditors, and make changes in the amount of our authorized share capital.</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among the holders of ordinary shares shall be distributed among the holders of the ordinary shares pro rata. If the assets available for distribution are insufficient to repay all of the paid-up capital, the assets will be distributed so that the losses are borne by our shareholders proportionately.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Redemption of Shares</w:t>
      </w:r>
      <w:r>
        <w:rPr>
          <w:rFonts w:ascii="Arial" w:cs="Arial" w:eastAsia="Arial" w:hAnsi="Arial"/>
          <w:sz w:val="18"/>
          <w:szCs w:val="18"/>
          <w:color w:val="auto"/>
        </w:rPr>
        <w:t>. We may issue shares on the terms that they are, or at our option or at the option of the holders are, subject to redemption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in such manner as we may determine by special resolution.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Variations of Rights of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or any of the special rights attached to any class of shares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Meetings of Shareholders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directors may whenever they think fit, and they shall on the requisition of our shareholders holding at the date of the deposit of the requisition not less than one-tenth of our paid-up capital as at the date of the deposit carries the right of voting at general meetings of the company, proceed to convene a general meeting of the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Transfer of Shares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Shareholder Ownership</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are no provisions in our restated memorandum or articles of association governing the ownership threshold above which shareholder ownership must be disclosed.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59" w:lineRule="exact"/>
        <w:rPr>
          <w:sz w:val="20"/>
          <w:szCs w:val="20"/>
          <w:color w:val="auto"/>
        </w:rPr>
      </w:pPr>
    </w:p>
    <w:p>
      <w:pPr>
        <w:ind w:left="5580" w:right="3080" w:hanging="5126"/>
        <w:spacing w:after="0" w:line="440" w:lineRule="auto"/>
        <w:tabs>
          <w:tab w:leader="none" w:pos="8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 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subject nevertheless to the provisions of Section 12 of the Companies Law;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by special resolution reduce our share capital and any capital redemption reserve fund in any manner authorized by law.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in Corporate Law</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Companies Law is modeled after that of the United Kingdom but does not follow recent United Kingdom statutory enactments and differs from laws applicable to United States corporations and their shareholders. Set forth below is a summary of the significant differences between the provisions of the Companies Law applicable to NetEase.com, Inc. and the laws applicable to companies incorporated in the United States and their shareholders.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 Cayman</w:t>
      </w:r>
      <w:r>
        <w:rPr>
          <w:rFonts w:ascii="Arial" w:cs="Arial" w:eastAsia="Arial" w:hAnsi="Arial"/>
          <w:sz w:val="16"/>
          <w:szCs w:val="16"/>
          <w:i w:val="1"/>
          <w:iCs w:val="1"/>
          <w:color w:val="auto"/>
        </w:rPr>
        <w:t xml:space="preserve"> </w:t>
      </w:r>
      <w:r>
        <w:rPr>
          <w:rFonts w:ascii="Arial" w:cs="Arial" w:eastAsia="Arial" w:hAnsi="Arial"/>
          <w:sz w:val="16"/>
          <w:szCs w:val="16"/>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either (a) a special resolution of the shareholders of each constituent company voting together as one class if the shares to be issued to each shareholder in the consolidated or surviving company will have the same rights and economic value as the shares held in the relevant constituent company or (b) a shareholder resolution of each constituent company passed by a majority in number representing 75% in value of the shareholders voting together as one class.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39" w:lineRule="exact"/>
        <w:rPr>
          <w:sz w:val="20"/>
          <w:szCs w:val="20"/>
          <w:color w:val="auto"/>
        </w:rPr>
      </w:pPr>
    </w:p>
    <w:p>
      <w:pPr>
        <w:ind w:left="5580" w:right="5560" w:hanging="5005"/>
        <w:spacing w:after="0" w:line="408" w:lineRule="auto"/>
        <w:tabs>
          <w:tab w:leader="none" w:pos="897"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statutory provisions as to majority vote have been complied with; 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within four months, the offeror may, within a two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The Cayman Islands courts can be expected to follow English case law precedents. The common law principles (namely the rule in</w:t>
      </w:r>
      <w:r>
        <w:rPr>
          <w:rFonts w:ascii="Arial" w:cs="Arial" w:eastAsia="Arial" w:hAnsi="Arial"/>
          <w:sz w:val="18"/>
          <w:szCs w:val="18"/>
          <w:i w:val="1"/>
          <w:iCs w:val="1"/>
          <w:color w:val="auto"/>
        </w:rPr>
        <w:t xml:space="preserve"> </w:t>
      </w:r>
      <w:r>
        <w:rPr>
          <w:rFonts w:ascii="Arial" w:cs="Arial" w:eastAsia="Arial" w:hAnsi="Arial"/>
          <w:sz w:val="18"/>
          <w:szCs w:val="18"/>
          <w:color w:val="auto"/>
        </w:rPr>
        <w:t>Foss v. Harbottle and the exceptions thereto) which permit a minority shareholder to commence a class action against or derivative actions in the name of the company to challenge (a) an act which is ultra vires the company or illegal, (b) an act which constitutes a fraud against the minority where the wrongdoers are themselves in control of the company, and (c) an action which requires a resolution with a qualified (or special) majority which has not been obtained) have been applied and followed by the courts in the Cayman Islands.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Cayman Islands law does not (other than as set forth hereafter) limit the extent to which a company’s organizational documents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of 1933 and is therefore unenforceable.</w:t>
      </w:r>
    </w:p>
    <w:p>
      <w:pPr>
        <w:spacing w:after="0" w:line="25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China’s government imposes control over the convertibility of the Renminbi into foreign currencies. Under the current unified floating exchange rate system, the People’s Bank of China publishes a daily exchange rate for the Renminbi, or the PBOC Exchange Rate, based on the previous day’s dealings in the inter-bank foreign exchange market. Financial institutions authorized to deal in foreign currency may enter into foreign exchange transactions at exchange rates within an authorized range above or below the PBOC Exchange Rate according to market conditions.</w:t>
      </w:r>
    </w:p>
    <w:p>
      <w:pPr>
        <w:spacing w:after="0" w:line="11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Pursuant to the Foreign Exchange Control Regulations issued by the State Council on January 29, 1996 and effective as of April 1, 1996 (and amended on January 14, 1997) and the Administration of Settlement, Sale and Payment of Foreign Exchange Regulations which came into effect on July 1, 1996 regarding foreign exchange control, or the Regulations, conversion of the Renminbi into foreign exchange by foreign investment enterprises for current account items, including the distribution of dividends and profits to foreign investors of joint ventures, is permissible. Foreign investment enterprises are permitted to remit foreign exchange from their foreign exchange bank account in China on the basis of, inter alia, the terms of the relevant joint venture contracts and the board resolutions declaring the distribution of the dividend and payment of profits. Conversion of the Renminbi into foreign currencies and remittance of foreign currencies for capital account items, including direct investment, loans and security investment, is still subject to the approval of the State Administration of Foreign Exchange, or SAFE, in each such transaction. On January 14, 1997, the State Council amended the Foreign Exchange Control Regulations to provide, among other things, that the State shall not impose restrictions on recurring international payments and transfers.</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Under the Regulations, foreign investment enterprises are required to open and maintain separate foreign exchange accounts for capital account items (but not for other items). In addition, foreign investment enterprises may only buy, sell and/or remit foreign currencies at those banks authorized to conduct foreign exchange business upon the production of valid commercial documents and, in the case of capital account item transactions, document approval from SAFE.</w:t>
      </w:r>
    </w:p>
    <w:p>
      <w:pPr>
        <w:spacing w:after="0" w:line="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Currently, foreign investment enterprises are required to apply to SAFE for “foreign exchange registration certificates for foreign investment enterprises.” With such foreign exchange registration certificates (which are granted to foreign investment enterprises upon fulfilling specified conditions and which are subject to review and renewal by SAFE on an annual basis) or with the foreign exchange sales notices from the SAFE (which are obtained on a transaction-by-transaction basis), foreign-invested enterprises may enter into foreign exchange transactions at banks authorized to conduct foreign exchange business to obtain foreign exchange for their needs.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pursuant to regulations recently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required SAFE registrations.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 For additional information on the new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new restrictions.”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summary of the material Cayman Islands and United States federal income tax consequences relevant to the purchase, ownership or sale of our ADSs is based upon laws and relevant interpretations thereof in effect as of the date of this annual report, all of which are subject to change. To the extent that the discussion relates to matters of Cayman Islands tax law, it represents the opinion of Maples and Calder, our Cayman Islands counsel.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There are no exchange control regulations or currency restrictions in the Cayman Islands.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ordinary shares or ADSs. The following discussion is not exhaustive of all possible tax considerations. This summary is based upon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will not assert, or that a court will not sustain, a position contrary to any of the tax consequences described below.</w:t>
      </w:r>
    </w:p>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discussion does not address state, local, or foreign tax consequences of the ownership and disposition of ordinary shares or ADSs. See “– Cayman Islands Taxation” above. The United States does not have an income tax treaty with the Cayman Islands.</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summary is for general information only and does not address all aspects of U.S. federal income taxation that may be important to a particular holder in light of its investment or tax circumstances or to holders subject to special tax rules, such as: banks; financial institutions; insurance companies; dealers in stocks, securities, or currencies; traders in securities that elect to use a mark-to-market method of accounting for their securities holdings; tax-exempt organizations; real estate investment trusts; regulated investment companies; qualified retirement plans, individual retirement accounts, and other tax-deferred accounts; expatriates of the United States; persons subject to the alternative minimum tax; persons holding ordinary shares or ADSs as part of a straddle, hedge, conversion transaction, or other integrated transaction; persons who acquired ordinary shares or ADSs pursuant to the exercise of any employee stock option or otherwise as compensation for services; persons actually or constructively holding 10% or more of our voting stock; and U.S. Holders (as defined below) whose functional currency is other than the U.S. dollar.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discussion is not a comprehensive description of all of the U.S. federal tax consequences that may be relevant with respect to the ownership and disposition of ordinary shares or ADSs. We urge you to consult your own tax advisor regarding your particular circumstances and the U.S. federal income and estate tax consequences to you of owning and disposing of ordinary shares or ADSs, as well as any tax consequences arising under the laws of any state, local, or foreign or other tax jurisdiction and the possible effects of changes in U.S. federal or other tax laws.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summary is directed solely to persons who hold their ordinary shares or ADSs as capital assets within the meaning of Section 1221 of the Code, which generally means as property held for investment. For purposes of this discussion, the term “U.S. Holder” means a beneficial owner of ordinary shares or ADSs that is any of the following:</w:t>
      </w:r>
    </w:p>
    <w:p>
      <w:pPr>
        <w:spacing w:after="0" w:line="59" w:lineRule="exact"/>
        <w:rPr>
          <w:sz w:val="20"/>
          <w:szCs w:val="20"/>
          <w:color w:val="auto"/>
        </w:rPr>
      </w:pPr>
    </w:p>
    <w:p>
      <w:pPr>
        <w:ind w:left="1480" w:hanging="446"/>
        <w:spacing w:after="0"/>
        <w:tabs>
          <w:tab w:leader="none" w:pos="14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citizen or resident of the United States or someone treated as a U.S. citizen or resident for U.S. federal income tax purposes;</w:t>
      </w:r>
    </w:p>
    <w:p>
      <w:pPr>
        <w:spacing w:after="0" w:line="113" w:lineRule="exact"/>
        <w:rPr>
          <w:rFonts w:ascii="Arial" w:cs="Arial" w:eastAsia="Arial" w:hAnsi="Arial"/>
          <w:sz w:val="16"/>
          <w:szCs w:val="16"/>
          <w:color w:val="auto"/>
        </w:rPr>
      </w:pPr>
    </w:p>
    <w:p>
      <w:pPr>
        <w:ind w:left="1480" w:right="140" w:hanging="446"/>
        <w:spacing w:after="0" w:line="268"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if a U.S. court can exercise primary supervision over the trust’s administration and one or more U.S. persons have the authority to control all substantial decisions of the trust; or</w:t>
      </w:r>
    </w:p>
    <w:p>
      <w:pPr>
        <w:spacing w:after="0" w:line="50" w:lineRule="exact"/>
        <w:rPr>
          <w:rFonts w:ascii="Arial" w:cs="Arial" w:eastAsia="Arial" w:hAnsi="Arial"/>
          <w:sz w:val="18"/>
          <w:szCs w:val="18"/>
          <w:color w:val="auto"/>
        </w:rPr>
      </w:pPr>
    </w:p>
    <w:p>
      <w:pPr>
        <w:ind w:left="1480" w:right="520" w:hanging="446"/>
        <w:spacing w:after="0" w:line="268"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in existence on August 20, 1996 that has a valid election in effect under applicable Treasury Regulations to be treated as a U.S.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“Non-U.S. Holder” means a beneficial owner of ordinary shares or ADSs that is not a U.S. Holder. As described in “Taxation of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below, the tax consequences to a Non-U.S. Holder may differ substantially from the tax consequences to a U.S. Holder.</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partnership (including for this purpose any entity treated as a partnership for U.S. federal income tax purposes) is a beneficial owner of ordinary shares or ADSs, the U.S. federal income tax consequences to a partner in the partnership will generally depend on the status of the partner and the activities of the partnership. A holder of ordinary shares or ADSs that is a partnership and the partners in such partnership should consult their own tax advisors regarding the U.S. federal income tax consequences of the ownership and disposition of ordinary shares or ADSs.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ADSs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relates to the ADSs, this discussion is based in part upon the representations of the depositary and the assumption that each obligation in the deposit agreement and any related agreement will be performed in accordance with its terms.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Generally, a holder of ADSs will be treated as the owner of the underlying ordinary shares represented by those ADSs for U.S. federal income tax purposes. Accordingly, no gain or loss will be recognized if the holder exchanges ADSs for the underlying ordinary shares represented by those ADSs. The holder’s adjusted tax basis in the ordinary shares will be the same as the adjusted tax basis of the ADSs surrendered in exchange therefor, and the holding period for the ordinary shares will include the holding period for the surrendered ADSs.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 OF U.S. 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discussion in “— Distributions on Ordinary Shares or ADSs” and “— Dispositions of Ordinary Shares or ADSs” below assumes that we will not be treated as a passive foreign investment company or PFIC, for U.S. federal income tax purposes. For a discussion of the rules that apply if we are treated as a PFIC, see the discussion in “Passive Foreign Investment Company” below.</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Distributions on Ordinary Shares or ADSs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Subject to the discussion in “Passive Foreign Investment Company” below, if you actually or constructively receive a distribution on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ADSs, you must include the distribution in gross income as a taxable dividend on the date of your (or in the case of ADSs, the depositary’s) receipt of the distribution, but only to the extent of our current or accumulated earnings and profits, as calculated under U.S. federal income tax principles. Such amount must be included without reduction for any foreign tax withheld. Dividends paid by us will not be eligible for the dividends received deduction allowed to corporations with respect to dividends received from certain domestic corporations. Dividends paid by us may or may not be eligible for preferential rates applicable to qualified dividend income, as described below.</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a distribution exceeds our current and accumulated earnings and profits, it will be treated first as a non-taxable return of capital to the extent of your adjusted tax basis in the ordinary shares or ADSs, and thereafter as capital gain. Preferential tax rates for long-term capital gain may be applicable to non-corporate U.S. Holders.</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We do not intend to calculate our earnings and profits under U.S. federal income tax principles. Therefore, you should expect that a distribution will generally be reported as a dividend even if that distribution would otherwise be treated as a non-taxable return of capital or as capital gain under the rules described above.</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Qualified Dividend Income</w:t>
      </w:r>
      <w:r>
        <w:rPr>
          <w:rFonts w:ascii="Arial" w:cs="Arial" w:eastAsia="Arial" w:hAnsi="Arial"/>
          <w:sz w:val="16"/>
          <w:szCs w:val="16"/>
          <w:color w:val="auto"/>
        </w:rPr>
        <w:t>. With respect to non-corporate U.S. Holders (i.e., individuals, trusts, and estates), for taxable years beginning before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2011, dividends that are treated as qualified dividend income or QDI, are taxable at a maximum tax rate of 15%. Among other requirements, dividends generally will be treated as QDI if either (i) our ordinary shares or ADSs are readily tradable on an established securities market in the United States, or (ii) we are eligible for the benefits of a comprehensive income tax treaty with the United States which includes an information exchange program and which is determined to be satisfactory by the U.S. Treasury. It is expected that our ADSs will be “readily tradable” as a result of being listed on the NASDAQ Global Select Market. However, if you exchange your ADSs for underlying ordinary shares, dividends received by you will not be treated as QDI because the ordinary shares are not readily tradable on an established securities market in the United States.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for dividends to be treated as QDI, we must not be a PFIC (as discussed below) for either the taxable year in which the dividend was paid or the preceding taxable year. We do not believe that we were a PFIC for the preceding taxable year or will be a PFIC for the current taxable year. However, please see the discussion under “—Passive Foreign Investment Company” below. Additionally, in order to qualify for QDI treatment, you generally must have held the ordinary shares or ADSs for more than 60 days during the 121-day period beginning 60 days prior to the ex-dividend date. However, your holding period will be reduced for any period during which the risk of loss is diminished.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Moreover, a dividend will not be treated as QDI to the extent you are under an obligation (whether pursuant to a short sale or otherwise) to make related payments with respect to positions in substantially similar or related property. Since the QDI rules are complex, you should consult your own tax advisor regarding the availability of the preferential tax rates for dividends paid on ordinary shares or ADSs.</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Foreign Currency Distributions. </w:t>
      </w:r>
      <w:r>
        <w:rPr>
          <w:rFonts w:ascii="Arial" w:cs="Arial" w:eastAsia="Arial" w:hAnsi="Arial"/>
          <w:sz w:val="18"/>
          <w:szCs w:val="18"/>
          <w:color w:val="auto"/>
        </w:rPr>
        <w:t>A dividend paid in foreign currency (e.g., Renminbi) must be included in your income as a U.S. dollar amount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rate in effect on the date such dividend is received, regardless of whether the payment is in fact converted to U.S. dollars. If the dividend is converted to U.S. dollars on the date of receipt, you generally will not recognize a foreign currency gain or loss. However, if you convert the foreign currency to U.S. dollars on a later date, you must include in income any gain or loss resulting from any exchange rate fluctuations. The gain or loss will be equal to the difference between (i) the U.S. dollar value of the amount you included in income when the dividend was received and (ii) the amount that you receive on the conversion of the foreign currency to U.S. dollars. Such gain or loss will generally be ordinary income or loss and U.S. source for U.S. foreign tax credit purposes.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In-Kind Distributions</w:t>
      </w:r>
      <w:r>
        <w:rPr>
          <w:rFonts w:ascii="Arial" w:cs="Arial" w:eastAsia="Arial" w:hAnsi="Arial"/>
          <w:sz w:val="16"/>
          <w:szCs w:val="16"/>
          <w:color w:val="auto"/>
        </w:rPr>
        <w:t>. Distributions to you of new ordinary shares or ADSs or rights to subscribe for new ordinary shares or ADSs that are received as part</w:t>
      </w:r>
      <w:r>
        <w:rPr>
          <w:rFonts w:ascii="Arial" w:cs="Arial" w:eastAsia="Arial" w:hAnsi="Arial"/>
          <w:sz w:val="16"/>
          <w:szCs w:val="16"/>
          <w:i w:val="1"/>
          <w:iCs w:val="1"/>
          <w:color w:val="auto"/>
        </w:rPr>
        <w:t xml:space="preserve"> </w:t>
      </w:r>
      <w:r>
        <w:rPr>
          <w:rFonts w:ascii="Arial" w:cs="Arial" w:eastAsia="Arial" w:hAnsi="Arial"/>
          <w:sz w:val="16"/>
          <w:szCs w:val="16"/>
          <w:color w:val="auto"/>
        </w:rPr>
        <w:t>of a pro rata distribution to all of our shareholders will not be subject to U.S. federal income tax. The adjusted tax basis of the new ordinary shares or ADSs or rights so received will be determined by allocating your adjusted tax basis in the old ordinary shares or ADSs between the old ordinary shares or ADSs and the new ordinary shares or ADSs or rights received, based on their relative fair market values on the date of distribution. However, in the case of a distribution of rights to subscribe for ordinary shares or ADSs, the adjusted tax basis of the rights will be zero if the fair market value of the rights is less than 15% of the fair market value of the old ordinary shares or ADSs on the date of distribution and you do not make an election to determine the adjusted tax basis of the rights by allocation as described above. Your holding period for the new ordinary shares or ADSs or rights will generally include the holding period for the old ordinary shares or ADSs on which the distribution was made.</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Foreign Tax Credits. </w:t>
      </w:r>
      <w:r>
        <w:rPr>
          <w:rFonts w:ascii="Arial" w:cs="Arial" w:eastAsia="Arial" w:hAnsi="Arial"/>
          <w:sz w:val="18"/>
          <w:szCs w:val="18"/>
          <w:color w:val="auto"/>
        </w:rPr>
        <w:t>Subject to certain conditions and limitations, any foreign taxes paid on or withheld from distributions from us and not refundable to</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be credited against your U.S. federal income tax liability or, alternatively, may be deducted from your taxable income. This election is made on a year-by-year basis and applies to all foreign taxes paid by you or withheld from you that year.</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Distributions will constitute foreign source income for foreign tax credit limitation purposes. The foreign tax credit limitation is calculated separately with respect to specific classes of income. For this purpose, distributions characterized as dividends distributed by us will generally constitute “passive category income” or, in the case of certain U.S. Holders, “general category income.” Special limitations may apply if a dividend is treated as QDI (as defined above).</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Special rules may apply to individuals whose foreign source income during the taxable year consists entirely of “qualified passive income” and whose creditable foreign taxes paid or accrued during the taxable year do not exceed US$300 (US$600 in the case of a joint return).</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Since the rules governing foreign tax credits are complex, you should consult your own tax advisor regarding the availability of foreign tax credits in your particular circumstances.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U.S. Treasury has expressed concerns that parties to whom ADSs are pre-released may be taking actions that are inconsistent with the claiming of foreign tax credits by U.S. Holders of ADSs.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Such actions would also be inconsistent with the claiming of the preferential tax rates applicable to QDI, as defined above. Accordingly, the creditability of foreign taxes and the availability of such preferential tax rates could be affected by future actions that may be taken by the U.S. Treasury or parties to whom ADSs are pre-released.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Dispositions of Ordinary Shares or ADSs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discussion in “— Passive Foreign Investment Company” below, you generally will recognize taxable gain or loss realized on the sale or other taxable disposition of ordinary shares or ADSs equal to the difference between the U.S. dollar value of (i) the amount realized on the disposition (i.e., the amount of cash plus the fair market value of any property received), and (ii) your adjusted tax basis in the ordinary shares or ADSs. Such gain or loss will be capital gain or loss.</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If you have held the ordinary shares or ADSs for more than one year at the time of disposition, such capital gain or loss will be long-term capital gain or loss. Preferential tax rates for long-term capital gain (currently, with a maximum rate of 15% for taxable years beginning before January 1, 2011) will apply to non-corporate U.S. Holders. If you have held the ordinary shares or ADSs for one year or less, such capital gain or loss will be short-term capital gain or loss taxable as ordinary income at your marginal income tax rate. The deductibility of capital losses is subject to limitations.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any gain or loss recognized will not give rise to foreign source income for U.S. foreign tax credit purposes.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should consult your own tax advisor regarding the U.S. federal income tax consequences if you receive currency other than U.S. dollars upon the disposition of ordinary shares or ADSs.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Foreign Investment Company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will be a PFIC under Section 1297 of the Code if, for a taxable year, either (a) 75% or more of our gross income for such taxable year is passive income, or the income test, or (b) 50% or more of the average percentage, generally determined by fair market value, of our assets during such taxable year either produce passive income or are held for the production of passive income, or the asset test. “Passive income” includes, for example, dividends, interest, certain rents and royalties, certain gains from the sale of stock and securities, and certain gains from commodities transactions.</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Certain “look through” rules apply for purposes of the income and asset tests described above. If we own, directly or indirectly, 25% or more of the total value of the outstanding shares of another corporation, we generally will be treated as if we (a) held directly a proportionate share of the other corporation’s assets, and (b) received directly a proportionate share of the other corporation’s income. In addition, passive income does not include any interest, dividends, rents, or royalties that are received or accrued by us from a “related person” (as defined in Section 954(d)(3) of the Code), to the extent such items are properly allocable to income of such related person that is not passive income.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income and asset tests, whether or not we are a PFIC will be determined annually based upon the composition of our income and the composition and valuation of our assets, all of which are subject to change. In determining that we are not a PFIC, we are relying on our projected revenues and projected capital expenditures. If our actual revenues and capital expenditures do not match our projections, we may become a PFIC. For example, if we do not spend enough of the cash (a passive asset) we raise from any financing transactions we may undertake, the relative percentage of our passive assets will increase. In addition, our determination is based on a current valuation of our assets, including goodwill (generally an active asset). In calculating goodwill, we have valued our total assets based on our market capitalization, determined using the market price of our ordinary shares and ADSs.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Such market price may fluctuate. If our market capitalization is less than anticipated or subsequently declines, this will decrease the value of our goodwill and we may become a PFIC. Furthermore, we have made a number of assumptions regarding the amount of value allocable to goodwill. We believe our valuation approach is reasonable. However, it is possible that the IRS will challenge the valuation of our assets, including goodwill, which may result in our being a PFIC.</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believe that we are currently a PFIC. However, because the PFIC determination is highly fact intensive and made at the end of each taxable year, there can be no assurance that we will not be a PFIC for the current or any future taxable year or that the IRS will not challenge our determination concerning our PFIC status.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Default PFIC Rules under Section 1291 of the Code</w:t>
      </w:r>
      <w:r>
        <w:rPr>
          <w:rFonts w:ascii="Arial" w:cs="Arial" w:eastAsia="Arial" w:hAnsi="Arial"/>
          <w:sz w:val="18"/>
          <w:szCs w:val="18"/>
          <w:color w:val="auto"/>
        </w:rPr>
        <w:t>. If we are treated as a PFIC with respect to a U.S. Holder, the U.S. federal income tax consequences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U.S. Holder of the ownership and disposition of ordinary shares or ADSs will depend on whether such U.S. Holder makes an election to treat us as a qualified electing fund, or QEF, under Section 1295 of the Code, or QEF Election, or a mark-to-market election under Section 1296 of the Code, or Mark-to-Market Election. A U.S. Holder owning ordinary shares or ADSs while we were or are a PFIC that has not made either a QEF Election or a Mark-to-Market Election will be referred to in this summary as a “Non-Electing U.S. 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Non-Electing U.S. Holder, you will be subject to the default tax rules of Section 1291 of the Code with respect to:</w:t>
      </w:r>
    </w:p>
    <w:p>
      <w:pPr>
        <w:spacing w:after="0" w:line="90" w:lineRule="exact"/>
        <w:rPr>
          <w:sz w:val="20"/>
          <w:szCs w:val="20"/>
          <w:color w:val="auto"/>
        </w:rPr>
      </w:pPr>
    </w:p>
    <w:p>
      <w:pPr>
        <w:ind w:left="1480" w:right="80" w:hanging="446"/>
        <w:spacing w:after="0" w:line="306" w:lineRule="auto"/>
        <w:tabs>
          <w:tab w:leader="none" w:pos="1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“excess distribution” paid on ordinary shares or ADSs, which means the excess (if any) of the total distributions received by you during the current taxable year over 125% of the average distributions received by you during the three preceding taxable years (or during the portion of your holding period for the ordinary shares or ADSs prior to the current taxable year, if shorter); and</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gain recognized on the sale or other taxable disposition (including a pledge) of ordinary shares or ADSs.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these default tax rules:</w:t>
      </w:r>
    </w:p>
    <w:p>
      <w:pPr>
        <w:spacing w:after="0" w:line="90" w:lineRule="exact"/>
        <w:rPr>
          <w:sz w:val="20"/>
          <w:szCs w:val="20"/>
          <w:color w:val="auto"/>
        </w:rPr>
      </w:pPr>
    </w:p>
    <w:p>
      <w:pPr>
        <w:ind w:left="1480" w:hanging="446"/>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excess distribution or gain will be allocated ratably over your holding period for the ordinary shares or ADSs;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period prior to the first day of the first taxable year in which we were a PFIC will be treated as ordinary income in the current taxable year;</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each of the other years will be treated as ordinary income and taxed at the highest applicable tax rate in effect for that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resulting tax liability from any such prior years will be subject to the interest charge applicable to underpayments of tax.</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notwithstanding any election you may make, dividends that you receive from us will not be eligible for the preferential tax rates applicable to QDI (as discussed above in “Distributions on Ordinary Shares or ADSs”) if we are a PFIC either in the taxable year of the distribution or the preceding taxable year, but will instead be taxable at rates applicable to ordinary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Special rules for Non-Electing U.S. Holders will apply to determine U.S. foreign tax credits with respect to foreign taxes imposed on distributions on ordinary shares or ADSs.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If we are treated as a PFIC for any taxable year during which you hold ordinary shares or ADSs, we will continue to be treated as a PFIC with respect to you for all succeeding years during which you hold ordinary shares or ADSs, regardless of whether we actually continue to be a PFIC. You may terminate this deemed PFIC status by electing to recognize gain (which will be taxed under the default tax rules of Section 1291 of the Code discussed above) as if your ordinary shares or ADSs had been sold on the last day of the last taxable year for which we were a PFIC.</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If we are a PFIC in any year with respect to you, you will be required to file an annual return on IRS Form 8621 regarding distributions received on ordinary shares or ADSs and any gain realized on the disposition of ordinary shares or ADSs.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QEF Election</w:t>
      </w:r>
      <w:r>
        <w:rPr>
          <w:rFonts w:ascii="Arial" w:cs="Arial" w:eastAsia="Arial" w:hAnsi="Arial"/>
          <w:sz w:val="16"/>
          <w:szCs w:val="16"/>
          <w:color w:val="auto"/>
        </w:rPr>
        <w:t>. If you own (or owned) ordinary shares or ADSs while we are (or were) a PFIC and you make a QEF Election, you generally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default rules of Section 1291 of the Code discussed above. Instead, you will be subject to current U.S. federal income tax on your pro rata share of our ordinary earnings and net capital gain, regardless of whether such amounts are actually distributed to you by us. However, you can make a QEF Election only if we agree to furnish you annually with certain tax information, and we currently do not intend to prepare or provide such information.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Mark-to-Market Election. </w:t>
      </w:r>
      <w:r>
        <w:rPr>
          <w:rFonts w:ascii="Arial" w:cs="Arial" w:eastAsia="Arial" w:hAnsi="Arial"/>
          <w:sz w:val="16"/>
          <w:szCs w:val="16"/>
          <w:color w:val="auto"/>
        </w:rPr>
        <w:t>U.S. Holders may make a Mark-to-Market Election, but only if our ordinary shares or ADSs are marketable stock. Our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not currently listed on any exchange, but our ADSs will be “marketable stock” as long as they remain listed on the NASDAQ Global Select Market and are regularly traded. Stock is “regularly traded” for any calendar year during which it is traded (other than in de minimis quantities) on at least 15 days during each calendar quarter. There can be no assurances, however, that our ADSs will be treated, or continue to be treated, as regularly traded.</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own (or owned) ordinary shares or ADSs while we are (or were) a PFIC and you make a Mark-to-Market Election, you generally will not be subject to the default rules of Section 1291 of the Code discussed above. Rather, you generally will be required to recognize ordinary income for any increase in the fair market value of the ADSs for each taxable year that we are a PFIC. You will also be allowed to deduct as an ordinary loss any decrease in the fair market value to the extent of net marked-to-market gain previously included in prior years. Your adjusted tax basis in the ADSs will be adjusted to reflect the amount included or deducted.</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Mark-to-Market Election will be effective for the taxable year for which the election is made and all subsequent taxable years, unless our ADSs cease to be marketable stock or the IRS consents to the revocation of the election. You should consult your own tax advisor regarding the availability of, and procedure for making, a Mark-to-Market Election.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or more of our subsidiaries may also be classified as PFICs now or in the future, and furthermore, we or one or more of our subsidiaries may invest in the equity of other foreign corporations that are PFICs. In such cases, U.S. Holders will be subject to the PFIC rules with respect to their indirect ownership interests in such PFICs. U.S. Holders will not be able to make a QEF Election or a Mark-to-Market Election with respect to any of our subsidiaries that are PFICs, and there can be no assurance that U.S. Holders will be able to make such elections with respect to any other PFICs in which we or one or more of our subsidiaries invests.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Since the PFIC rules are complex, you should consult your own tax advisor regarding them and how they may affect the U.S. federal income tax consequences of the ownership and disposition of ordinary shares or ADSs.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information reporting requirements will apply to distributions on ordinary shares or ADSs or proceeds from the disposition of ordinary shares or ADSs paid within the United States (and, in certain cases, outside the United States) to a U.S. Holder unless such U.S. Holder is an exempt recipient, such as a corporation. Furthermore, backup withholding (currently at 28%) may apply to such amounts unless such U.S. Holder (i) is an exempt recipient that, if required, establishes its right to an exemption, or (ii) provides its taxpayer identification number, certifies that it is not currently subject to backup withholding, and complies with other applicable requirements. A U.S. Holder may generally avoid backup withholding by furnishing a properly completed IRS Form W-9.</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Backup withholding is not an additional tax. Rather, amounts withheld under the backup withholding rules may be credited against your U.S. federal income tax liability. Furthermore, you may obtain a refund of any excess amounts withheld by filing an appropriate claim for refund with the IRS and furnishing any required information in a timely manner.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 OF NON-U.S.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Distributions on Ordinary Shares or ADSs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discussion in “Information Reporting and Backup Withholding” below, as a Non-U.S. Holder, you generally will not be subject to U.S. federal income tax, including withholding tax, on distributions received on ordinary shares or ADSs, unless the distributions are effectively connected with your conduct of a trade or business in the United States (and, if an applicable income tax treaty so requires, attributable to a permanent establishment that you maintain in the United States).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distributions are effectively connected with a U.S. trade or business (and, if applicable, attributable to a U.S. permanent establishment), you generally will be subject to tax on such distributions in the same manner as a U.S. Holder, as described in “Taxation of U.S. Holders – Distributions on Ordinary Shares or ADSs” above. In addition, any such distributions received by a corporate Non-U.S. Holder may also, under certain circumstances, be subject to an additional “branch profits tax” at a 30% rate or such lower rate as may be specified by an applicable income tax treaty.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Dispositions of Ordinary Shares or ADSs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discussion in “Information Reporting and Backup Withholding” below, as a Non-U.S. Holder, you generally will not be subject to U.S. federal income tax, including withholding tax, on any gain recognized on a sale or other taxable disposition of ordinary shares or ADSs, unless (i) the gain is effectively connected with your conduct of a trade or business in the United States (and, if an applicable income tax treaty so requires, attributable to a permanent establishment that you maintain in the United States), or (ii) you are an individual and are present in the United States for at least 183 days in the taxable year of the disposition, and certain other conditions are met.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you meet the test in clause (i) above, you generally will be subject to tax on any gain that is effectively connected with your conduct of a trade or business in the United States in the same manner as a U.S. Holder, as described in “Taxation of U.S. Holders – Dispositions of Ordinary Shares or ADSs” above. Effectively connected gain realized by a corporate Non-U.S. Holder may also, under certain circumstances, be subject to an additional “branch profits tax” at a 30% rate or such lower rate as may be specified by an applicable income tax treaty.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 meet the test in clause (ii) above, you generally will be subject to tax at a 30% rate on the amount by which your U.S. source capital gain exceeds your U.S. source capital loss.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Payments to Non-U.S. Holders of distributions on, or proceeds from the disposition of, ordinary shares or ADSs are generally exempt from information reporting and backup withholding. However, a Non-U.S. Holder may be required to establish that exemption by providing certification of non-U.S. status on an appropriate IRS Form W-8.</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Backup withholding is not an additional tax. Rather, amounts withheld under the backup withholding rules may be credited against your U.S. federal income tax liability. Furthermore, you may obtain a refund of any excess amounts withheld by filing an appropriate claim for refund with the IRS and furnishing any required information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incorporated in the Cayman Islands because of the following benefits found there:</w:t>
      </w:r>
    </w:p>
    <w:p>
      <w:pPr>
        <w:spacing w:after="0" w:line="90"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90" w:lineRule="exact"/>
        <w:rPr>
          <w:sz w:val="20"/>
          <w:szCs w:val="20"/>
          <w:color w:val="auto"/>
        </w:rPr>
      </w:pPr>
    </w:p>
    <w:p>
      <w:pPr>
        <w:ind w:left="460" w:right="28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 substantial portion of our current operations is conducted in China through our wholly-owned subsidiaries which are incorporated in China or the British Virgin Islands. All or most of our assets are located in China. We have appointed CT Corporation System, 111 Eighth Avenue, New York, NY 10011, as our agent upon whom process may be served in any action brought against us under the securities laws of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Maples and Calder, our counsel as to Cayman Islands law, and King and Wood, our counsel as to Chinese law, have advised us that there is uncertainty as to whether the courts of the Cayman Islands or China would:</w:t>
      </w:r>
    </w:p>
    <w:p>
      <w:pPr>
        <w:spacing w:after="0" w:line="51" w:lineRule="exact"/>
        <w:rPr>
          <w:sz w:val="20"/>
          <w:szCs w:val="20"/>
          <w:color w:val="auto"/>
        </w:rPr>
      </w:pPr>
    </w:p>
    <w:p>
      <w:pPr>
        <w:ind w:left="460" w:right="7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Maples and Calder has further advised us that a final and conclusive judgment in the federal or state courts of the United States under which a sum of money is payable, other than a sum payable in respect of taxes, fines, penalties or similar charges or similar fiscal or revenue obligations and which was neither obtained in a manner nor is of a kind enforcement of which is contrary to natural justice or the public policy of the Cayman Islands, may be subject to enforcement proceedings as a debt in the courts of the Cayman Islands under the common law.</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King and Wood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222" w:lineRule="exact"/>
        <w:rPr>
          <w:sz w:val="20"/>
          <w:szCs w:val="20"/>
          <w:color w:val="auto"/>
        </w:rPr>
      </w:pPr>
    </w:p>
    <w:p>
      <w:pPr>
        <w:ind w:left="1500" w:right="8760" w:hanging="1492"/>
        <w:spacing w:after="0" w:line="491" w:lineRule="auto"/>
        <w:tabs>
          <w:tab w:leader="none" w:pos="462"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and Paying Agents </w:t>
      </w:r>
      <w:r>
        <w:rPr>
          <w:rFonts w:ascii="Arial" w:cs="Arial" w:eastAsia="Arial" w:hAnsi="Arial"/>
          <w:sz w:val="15"/>
          <w:szCs w:val="15"/>
          <w:color w:val="auto"/>
        </w:rPr>
        <w:t>Not applicable.</w:t>
      </w:r>
    </w:p>
    <w:p>
      <w:pPr>
        <w:spacing w:after="0" w:line="91" w:lineRule="exact"/>
        <w:rPr>
          <w:rFonts w:ascii="Arial" w:cs="Arial" w:eastAsia="Arial" w:hAnsi="Arial"/>
          <w:sz w:val="15"/>
          <w:szCs w:val="15"/>
          <w:b w:val="1"/>
          <w:bCs w:val="1"/>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We are subject to the periodic reporting and other informational requirements of the Securities Exchange Act of 1934, as amended, or the Exchange Act. Under the Exchange Act, we are required to file reports and other information with the Securities and Exchange Commission. Specifically, we are required to file annually a Form 20-F no later than six months after the close of each fiscal year, which is December 31. Copies of reports and other information, when so filed, may be inspected without charge and may be obtained at prescribed rates at the public reference facilities maintained by the Securities and Exchange Commission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In accordance with NASDAQ Marketplace Rule 5250(d)(1), we will post this annual report on Form 20-F on our website at </w:t>
      </w:r>
      <w:r>
        <w:rPr>
          <w:rFonts w:ascii="Arial" w:cs="Arial" w:eastAsia="Arial" w:hAnsi="Arial"/>
          <w:sz w:val="16"/>
          <w:szCs w:val="16"/>
          <w:u w:val="single" w:color="auto"/>
          <w:color w:val="auto"/>
        </w:rPr>
        <w:t>http://corp.163.com</w:t>
      </w:r>
      <w:r>
        <w:rPr>
          <w:rFonts w:ascii="Arial" w:cs="Arial" w:eastAsia="Arial" w:hAnsi="Arial"/>
          <w:sz w:val="16"/>
          <w:szCs w:val="16"/>
          <w:color w:val="auto"/>
        </w:rPr>
        <w:t xml:space="preserve"> under the heading “Investor Info.” In addition, we will provide hardcopies of our annual report free of charge to shareholders and ADS holders upon request.</w:t>
      </w:r>
    </w:p>
    <w:p>
      <w:pPr>
        <w:spacing w:after="0" w:line="201" w:lineRule="exact"/>
        <w:rPr>
          <w:sz w:val="20"/>
          <w:szCs w:val="20"/>
          <w:color w:val="auto"/>
        </w:rPr>
      </w:pPr>
    </w:p>
    <w:p>
      <w:pPr>
        <w:ind w:left="1500" w:right="8800" w:hanging="1492"/>
        <w:spacing w:after="0" w:line="445" w:lineRule="auto"/>
        <w:tabs>
          <w:tab w:leader="none" w:pos="46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5.F. “Operating and Financial Review and Prospects—Quantitative and Qualitative Disclosures About Market Risk.”</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“Use of Proceeds” information relates to the registration statement on Form F-1 (File No. 333-11724), or the Registration Statement, for our initial public offering of 4,500,000 ADSs, each representing 100 of our ordinary shares (without taking into account our ADR ratio change effected on March 27, 2006), for an aggregate offering price of US$69.75 million. Our Registration Statement was declared effective by the SEC on June 29, 2000.</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received net proceeds of approximately US$64.9 million from our initial public offering (taking into account underwriting discounts of US$4.88 million, but not taking into account transaction expenses of approximately US$2.7 million). None of the transaction expenses included payments to directors or officers of our company or their associates, persons owning 10% or more of our equity securities or our affiliates.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From the effective date of the Registration Statement to July 6, 2000, we did not use any of the proceeds from our initial public offering. Net proceeds from the offering have been invested in highly liquid money market instruments, short-term time deposits and similar instruments. Since July 6, 2000, we have used the net proceeds from our initial public offering to satisfy past indebtedness and reduce our accounts payable and to fund expenses primarily for marketing, employee compensation, and capital expenditures. None of the net proceeds from the initial public offering were paid, directly or indirectly, to any of our directors or officers of our company or their associates, persons owning 10% or more of our equity securities or our affiliates.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Merrill Lynch Far East Limited, Merrill Lynch, Pierce, Fenner &amp; Smith Incorporated, Deutsche Bank Securities Inc., Chase Securities Inc., Salomon Smith Barney Inc., and UBS Warburg LLC were the underwriters for our initial public offering.</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William Lei Ding, our Chief Executive Officer, and Onward Choi, our Acting Chief Financial Officer, have performed an evaluation of our disclosure controls and procedures, as that term is defined in Rules 13a-15(e) and 15d-15(e) of the Exchange Act, as of the end of the fiscal year covered by this annual report. They have concluded that such disclosure controls and procedures were effective to ensure that information required to be disclosed in our periodic reports filed under the Exchange Act is recorded, processed, summarized and reported, within the time periods specified by the SEC’s rules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 and Attestation Report of the Registered Public Accounting Firm</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management’s report on internal control over financial reporting and the related report of our independent registered public accounting firm are included in this annual report on pages F-1 and F-2,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Reserved</w:t>
      </w:r>
    </w:p>
    <w:p>
      <w:pPr>
        <w:spacing w:after="0" w:line="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5605(c)(2)(A).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Fees Charged by Independent Accountants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summarizes the fees charged by PricewaterhouseCoopers Zhong Tian CPAs Limited Company for certain services rendered to our company during 2007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For the year ended</w:t>
            </w:r>
          </w:p>
        </w:tc>
      </w:tr>
      <w:tr>
        <w:trPr>
          <w:trHeight w:val="161"/>
        </w:trPr>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4"/>
          </w:tcPr>
          <w:p>
            <w:pPr>
              <w:jc w:val="center"/>
              <w:ind w:right="36"/>
              <w:spacing w:after="0" w:line="129" w:lineRule="exact"/>
              <w:rPr>
                <w:sz w:val="20"/>
                <w:szCs w:val="20"/>
                <w:color w:val="auto"/>
              </w:rPr>
            </w:pPr>
            <w:r>
              <w:rPr>
                <w:rFonts w:ascii="Arial" w:cs="Arial" w:eastAsia="Arial" w:hAnsi="Arial"/>
                <w:sz w:val="14"/>
                <w:szCs w:val="14"/>
                <w:b w:val="1"/>
                <w:bCs w:val="1"/>
                <w:color w:val="auto"/>
                <w:w w:val="86"/>
              </w:rPr>
              <w:t>(in thousands of U.S. dollars)</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5"/>
              </w:rPr>
              <w:t>2007(1)</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6"/>
              </w:rPr>
              <w:t>2008(1)</w:t>
            </w:r>
          </w:p>
        </w:tc>
        <w:tc>
          <w:tcPr>
            <w:tcW w:w="20" w:type="dxa"/>
            <w:vAlign w:val="bottom"/>
          </w:tcPr>
          <w:p>
            <w:pPr>
              <w:spacing w:after="0"/>
              <w:rPr>
                <w:sz w:val="14"/>
                <w:szCs w:val="14"/>
                <w:color w:val="auto"/>
              </w:rPr>
            </w:pPr>
          </w:p>
        </w:tc>
      </w:tr>
      <w:tr>
        <w:trPr>
          <w:trHeight w:val="210"/>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r>
      <w:tr>
        <w:trPr>
          <w:trHeight w:val="20"/>
        </w:trPr>
        <w:tc>
          <w:tcPr>
            <w:tcW w:w="1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and taxes on the amounts paid, which totaled approximately US$142,000 and US$131,000 in 2007 and 2008, respectively.</w:t>
      </w:r>
    </w:p>
    <w:p>
      <w:pPr>
        <w:ind w:left="460" w:right="2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listed for professional services rendered by our principal auditors for the audit of our annual financial statements and our internal controls over financial reporting.</w:t>
      </w:r>
    </w:p>
    <w:p>
      <w:pPr>
        <w:ind w:left="460" w:right="14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“Audit-related fees” means the aggregate fees billed in each of the fiscal years listed for professional services rendered by our principal auditors related to the audit of our financial statements and our internal controls over financial reporting that are not reported under “Audit Fees” and consultation on accounting standards or transactions.</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listed for professional services rendered by our principal auditors for tax compliance and tax advice.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has adopted procedures which set forth the manner in which the committee will review and approve all audit and non-audit services to be provided by PricewaterhouseCoopers Zhong Tian CPAs Limited Company before that firm is retained for such services. The pre-approval procedures are as follows:</w:t>
      </w:r>
    </w:p>
    <w:p>
      <w:pPr>
        <w:spacing w:after="0" w:line="59" w:lineRule="exact"/>
        <w:rPr>
          <w:sz w:val="20"/>
          <w:szCs w:val="20"/>
          <w:color w:val="auto"/>
        </w:rPr>
      </w:pPr>
    </w:p>
    <w:p>
      <w:pPr>
        <w:ind w:left="900" w:right="4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sought an exemption from the applicable listing standards for the audit committee of our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16E.</w:t>
            </w:r>
          </w:p>
        </w:tc>
        <w:tc>
          <w:tcPr>
            <w:tcW w:w="6820" w:type="dxa"/>
            <w:vAlign w:val="bottom"/>
          </w:tcPr>
          <w:p>
            <w:pPr>
              <w:ind w:left="22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ADSs</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8"/>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of ADSs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as Part of</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Publicly</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7"/>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Announced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ADSs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or</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6820" w:type="dxa"/>
            <w:vAlign w:val="bottom"/>
          </w:tcPr>
          <w:p>
            <w:pPr>
              <w:spacing w:after="0"/>
              <w:rPr>
                <w:sz w:val="13"/>
                <w:szCs w:val="13"/>
                <w:color w:val="auto"/>
              </w:rPr>
            </w:pPr>
          </w:p>
        </w:tc>
        <w:tc>
          <w:tcPr>
            <w:tcW w:w="9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Purchased(1)</w:t>
            </w:r>
          </w:p>
        </w:tc>
        <w:tc>
          <w:tcPr>
            <w:tcW w:w="640" w:type="dxa"/>
            <w:vAlign w:val="bottom"/>
          </w:tcPr>
          <w:p>
            <w:pPr>
              <w:ind w:left="80"/>
              <w:spacing w:after="0" w:line="148" w:lineRule="exact"/>
              <w:rPr>
                <w:sz w:val="20"/>
                <w:szCs w:val="20"/>
                <w:color w:val="auto"/>
              </w:rPr>
            </w:pPr>
            <w:r>
              <w:rPr>
                <w:rFonts w:ascii="Arial" w:cs="Arial" w:eastAsia="Arial" w:hAnsi="Arial"/>
                <w:sz w:val="14"/>
                <w:szCs w:val="14"/>
                <w:b w:val="1"/>
                <w:bCs w:val="1"/>
                <w:color w:val="auto"/>
                <w:w w:val="96"/>
              </w:rPr>
              <w:t>Per ADS</w:t>
            </w:r>
          </w:p>
        </w:tc>
        <w:tc>
          <w:tcPr>
            <w:tcW w:w="120" w:type="dxa"/>
            <w:vAlign w:val="bottom"/>
          </w:tcPr>
          <w:p>
            <w:pPr>
              <w:spacing w:after="0"/>
              <w:rPr>
                <w:sz w:val="13"/>
                <w:szCs w:val="13"/>
                <w:color w:val="auto"/>
              </w:rPr>
            </w:pPr>
          </w:p>
        </w:tc>
        <w:tc>
          <w:tcPr>
            <w:tcW w:w="8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9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through January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17.8062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155,535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81,552,021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February 1 through February 28, 2008</w:t>
            </w:r>
          </w:p>
        </w:tc>
        <w:tc>
          <w:tcPr>
            <w:tcW w:w="860" w:type="dxa"/>
            <w:vAlign w:val="bottom"/>
          </w:tcPr>
          <w:p>
            <w:pPr>
              <w:jc w:val="right"/>
              <w:spacing w:after="0"/>
              <w:rPr>
                <w:sz w:val="20"/>
                <w:szCs w:val="20"/>
                <w:color w:val="auto"/>
              </w:rPr>
            </w:pPr>
            <w:r>
              <w:rPr>
                <w:rFonts w:ascii="Arial" w:cs="Arial" w:eastAsia="Arial" w:hAnsi="Arial"/>
                <w:sz w:val="18"/>
                <w:szCs w:val="18"/>
                <w:color w:val="auto"/>
              </w:rPr>
              <w:t>345,400</w:t>
            </w:r>
          </w:p>
        </w:tc>
        <w:tc>
          <w:tcPr>
            <w:tcW w:w="1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17.5079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500,935</w:t>
            </w:r>
          </w:p>
        </w:tc>
        <w:tc>
          <w:tcPr>
            <w:tcW w:w="900" w:type="dxa"/>
            <w:vAlign w:val="bottom"/>
          </w:tcPr>
          <w:p>
            <w:pPr>
              <w:ind w:left="120"/>
              <w:spacing w:after="0"/>
              <w:rPr>
                <w:sz w:val="20"/>
                <w:szCs w:val="20"/>
                <w:color w:val="auto"/>
              </w:rPr>
            </w:pPr>
            <w:r>
              <w:rPr>
                <w:rFonts w:ascii="Arial" w:cs="Arial" w:eastAsia="Arial" w:hAnsi="Arial"/>
                <w:sz w:val="18"/>
                <w:szCs w:val="18"/>
                <w:color w:val="auto"/>
                <w:w w:val="84"/>
              </w:rPr>
              <w:t>75,504,789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through March 31, 2008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111,380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17.3354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612,315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73,573,974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April 1 through April 30, 2008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612,315</w:t>
            </w:r>
          </w:p>
        </w:tc>
        <w:tc>
          <w:tcPr>
            <w:tcW w:w="900" w:type="dxa"/>
            <w:vAlign w:val="bottom"/>
          </w:tcPr>
          <w:p>
            <w:pPr>
              <w:ind w:left="120"/>
              <w:spacing w:after="0"/>
              <w:rPr>
                <w:sz w:val="20"/>
                <w:szCs w:val="20"/>
                <w:color w:val="auto"/>
              </w:rPr>
            </w:pPr>
            <w:r>
              <w:rPr>
                <w:rFonts w:ascii="Arial" w:cs="Arial" w:eastAsia="Arial" w:hAnsi="Arial"/>
                <w:sz w:val="18"/>
                <w:szCs w:val="18"/>
                <w:color w:val="auto"/>
                <w:w w:val="84"/>
              </w:rPr>
              <w:t>73,573,974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 through May 31, 2008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612,315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73,573,974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June 1 through June 30, 2008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612,315</w:t>
            </w:r>
          </w:p>
        </w:tc>
        <w:tc>
          <w:tcPr>
            <w:tcW w:w="900" w:type="dxa"/>
            <w:vAlign w:val="bottom"/>
          </w:tcPr>
          <w:p>
            <w:pPr>
              <w:ind w:left="120"/>
              <w:spacing w:after="0"/>
              <w:rPr>
                <w:sz w:val="20"/>
                <w:szCs w:val="20"/>
                <w:color w:val="auto"/>
              </w:rPr>
            </w:pPr>
            <w:r>
              <w:rPr>
                <w:rFonts w:ascii="Arial" w:cs="Arial" w:eastAsia="Arial" w:hAnsi="Arial"/>
                <w:sz w:val="18"/>
                <w:szCs w:val="18"/>
                <w:color w:val="auto"/>
                <w:w w:val="84"/>
              </w:rPr>
              <w:t>73,573,974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through July 31, 2008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612,315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73,573,974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August 1 through August 31, 2008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through September 30, 2008(2)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20.8715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99,937,490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October 1 through October 31, 2008</w:t>
            </w:r>
          </w:p>
        </w:tc>
        <w:tc>
          <w:tcPr>
            <w:tcW w:w="860" w:type="dxa"/>
            <w:vAlign w:val="bottom"/>
          </w:tcPr>
          <w:p>
            <w:pPr>
              <w:jc w:val="right"/>
              <w:spacing w:after="0"/>
              <w:rPr>
                <w:sz w:val="20"/>
                <w:szCs w:val="20"/>
                <w:color w:val="auto"/>
              </w:rPr>
            </w:pPr>
            <w:r>
              <w:rPr>
                <w:rFonts w:ascii="Arial" w:cs="Arial" w:eastAsia="Arial" w:hAnsi="Arial"/>
                <w:sz w:val="18"/>
                <w:szCs w:val="18"/>
                <w:color w:val="auto"/>
              </w:rPr>
              <w:t>522,200</w:t>
            </w:r>
          </w:p>
        </w:tc>
        <w:tc>
          <w:tcPr>
            <w:tcW w:w="1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19.6672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525,195</w:t>
            </w:r>
          </w:p>
        </w:tc>
        <w:tc>
          <w:tcPr>
            <w:tcW w:w="900" w:type="dxa"/>
            <w:vAlign w:val="bottom"/>
          </w:tcPr>
          <w:p>
            <w:pPr>
              <w:ind w:left="120"/>
              <w:spacing w:after="0"/>
              <w:rPr>
                <w:sz w:val="20"/>
                <w:szCs w:val="20"/>
                <w:color w:val="auto"/>
              </w:rPr>
            </w:pPr>
            <w:r>
              <w:rPr>
                <w:rFonts w:ascii="Arial" w:cs="Arial" w:eastAsia="Arial" w:hAnsi="Arial"/>
                <w:sz w:val="18"/>
                <w:szCs w:val="18"/>
                <w:color w:val="auto"/>
                <w:w w:val="84"/>
              </w:rPr>
              <w:t>89,667,287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 through November 30,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19.9146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665,695</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86,869,283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December 1 through December 31, 2008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665,695</w:t>
            </w:r>
          </w:p>
        </w:tc>
        <w:tc>
          <w:tcPr>
            <w:tcW w:w="900" w:type="dxa"/>
            <w:vAlign w:val="bottom"/>
          </w:tcPr>
          <w:p>
            <w:pPr>
              <w:ind w:left="120"/>
              <w:spacing w:after="0"/>
              <w:rPr>
                <w:sz w:val="20"/>
                <w:szCs w:val="20"/>
                <w:color w:val="auto"/>
              </w:rPr>
            </w:pPr>
            <w:r>
              <w:rPr>
                <w:rFonts w:ascii="Arial" w:cs="Arial" w:eastAsia="Arial" w:hAnsi="Arial"/>
                <w:sz w:val="18"/>
                <w:szCs w:val="18"/>
                <w:color w:val="auto"/>
                <w:w w:val="84"/>
              </w:rPr>
              <w:t>86,869,283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1,278,010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ADS to ordinary share ratio is one ADS for every 25 ordinary shares.</w:t>
      </w:r>
    </w:p>
    <w:p>
      <w:pPr>
        <w:spacing w:after="0" w:line="15" w:lineRule="exact"/>
        <w:rPr>
          <w:rFonts w:ascii="Arial" w:cs="Arial" w:eastAsia="Arial" w:hAnsi="Arial"/>
          <w:sz w:val="18"/>
          <w:szCs w:val="18"/>
          <w:color w:val="auto"/>
        </w:rPr>
      </w:pPr>
    </w:p>
    <w:p>
      <w:pPr>
        <w:ind w:left="460" w:right="220" w:hanging="452"/>
        <w:spacing w:after="0" w:line="323"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During 2008, we announced a share repurchase program authorized by our board of directors. We also announced a share repurchase program authorized by our board of directors in July 2007 which expired in July 2008. Details of these share repurchase programs are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Amount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Share Repurchase Programs authorized on</w:t>
            </w:r>
          </w:p>
        </w:tc>
        <w:tc>
          <w:tcPr>
            <w:tcW w:w="34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Authorized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1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(US$)</w:t>
            </w: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2008</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11, 2009</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July 2, 2007</w:t>
            </w:r>
          </w:p>
        </w:tc>
        <w:tc>
          <w:tcPr>
            <w:tcW w:w="1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540" w:type="dxa"/>
            <w:vAlign w:val="bottom"/>
            <w:gridSpan w:val="3"/>
          </w:tcPr>
          <w:p>
            <w:pPr>
              <w:jc w:val="right"/>
              <w:ind w:right="100"/>
              <w:spacing w:after="0"/>
              <w:rPr>
                <w:sz w:val="20"/>
                <w:szCs w:val="20"/>
                <w:color w:val="auto"/>
              </w:rPr>
            </w:pPr>
            <w:r>
              <w:rPr>
                <w:rFonts w:ascii="Arial" w:cs="Arial" w:eastAsia="Arial" w:hAnsi="Arial"/>
                <w:sz w:val="18"/>
                <w:szCs w:val="18"/>
                <w:color w:val="auto"/>
              </w:rPr>
              <w:t>120,000,000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July 1, 2008</w:t>
            </w:r>
          </w:p>
        </w:tc>
      </w:tr>
      <w:tr>
        <w:trPr>
          <w:trHeight w:val="49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4100" w:type="dxa"/>
            <w:vAlign w:val="bottom"/>
            <w:gridSpan w:val="2"/>
          </w:tcPr>
          <w:p>
            <w:pPr>
              <w:ind w:left="240"/>
              <w:spacing w:after="0"/>
              <w:rPr>
                <w:sz w:val="20"/>
                <w:szCs w:val="20"/>
                <w:color w:val="auto"/>
              </w:rPr>
            </w:pPr>
            <w:r>
              <w:rPr>
                <w:rFonts w:ascii="Arial" w:cs="Arial" w:eastAsia="Arial" w:hAnsi="Arial"/>
                <w:sz w:val="18"/>
                <w:szCs w:val="18"/>
                <w:b w:val="1"/>
                <w:bCs w:val="1"/>
                <w:color w:val="auto"/>
                <w:w w:val="96"/>
              </w:rPr>
              <w:t>Change in Registrant’s Certifying Accountants</w:t>
            </w: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5240" w:type="dxa"/>
            <w:vAlign w:val="bottom"/>
            <w:gridSpan w:val="3"/>
          </w:tcPr>
          <w:p>
            <w:pPr>
              <w:ind w:left="460"/>
              <w:spacing w:after="0"/>
              <w:rPr>
                <w:sz w:val="20"/>
                <w:szCs w:val="20"/>
                <w:color w:val="auto"/>
              </w:rPr>
            </w:pPr>
            <w:r>
              <w:rPr>
                <w:rFonts w:ascii="Arial" w:cs="Arial" w:eastAsia="Arial" w:hAnsi="Arial"/>
                <w:sz w:val="18"/>
                <w:szCs w:val="18"/>
                <w:color w:val="auto"/>
              </w:rPr>
              <w:t>Not applicable.</w:t>
            </w: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0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16G.</w:t>
            </w:r>
          </w:p>
        </w:tc>
        <w:tc>
          <w:tcPr>
            <w:tcW w:w="41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1140" w:type="dxa"/>
            <w:vAlign w:val="bottom"/>
          </w:tcPr>
          <w:p>
            <w:pPr>
              <w:ind w:left="460"/>
              <w:spacing w:after="0"/>
              <w:rPr>
                <w:sz w:val="20"/>
                <w:szCs w:val="20"/>
                <w:color w:val="auto"/>
              </w:rPr>
            </w:pPr>
            <w:r>
              <w:rPr>
                <w:rFonts w:ascii="Arial" w:cs="Arial" w:eastAsia="Arial" w:hAnsi="Arial"/>
                <w:sz w:val="18"/>
                <w:szCs w:val="18"/>
                <w:color w:val="auto"/>
              </w:rPr>
              <w:t>None.</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20" w:type="dxa"/>
            <w:vAlign w:val="bottom"/>
          </w:tcPr>
          <w:p>
            <w:pPr>
              <w:jc w:val="right"/>
              <w:ind w:right="2732"/>
              <w:spacing w:after="0"/>
              <w:rPr>
                <w:sz w:val="20"/>
                <w:szCs w:val="20"/>
                <w:color w:val="auto"/>
              </w:rPr>
            </w:pPr>
            <w:r>
              <w:rPr>
                <w:rFonts w:ascii="Arial" w:cs="Arial" w:eastAsia="Arial" w:hAnsi="Arial"/>
                <w:sz w:val="18"/>
                <w:szCs w:val="18"/>
                <w:color w:val="auto"/>
              </w:rPr>
              <w:t>122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elected to provide financial statements pursuant to Item 18.</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for NetEase.com, Inc. and its subsidiaries are included at the end of this annual report.</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wp:posOffset>
            </wp:positionV>
            <wp:extent cx="68091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700" w:right="440" w:hanging="600"/>
        <w:spacing w:after="0" w:line="332" w:lineRule="auto"/>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Amended and Restated Memorandum of Association of NetEase.com, Inc. (incorporated by reference to Exhibit 3.1 to Amendment No. 1 to the company’s Registration Statement on Form F-1 (file no. 333-11724) filed with the Securities and Exchange Commission on May 15, 2000)</w:t>
      </w:r>
    </w:p>
    <w:p>
      <w:pPr>
        <w:spacing w:after="0" w:line="31" w:lineRule="exact"/>
        <w:rPr>
          <w:sz w:val="20"/>
          <w:szCs w:val="20"/>
          <w:color w:val="auto"/>
        </w:rPr>
      </w:pPr>
    </w:p>
    <w:p>
      <w:pPr>
        <w:ind w:left="700" w:right="80" w:hanging="600"/>
        <w:spacing w:after="0" w:line="332" w:lineRule="auto"/>
        <w:tabs>
          <w:tab w:leader="none" w:pos="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Amended and Restated Articles of Association of NetEase.com, Inc. (incorporated by reference to Exhibit 3.2 to Amendment No. 1 to the company’s Registration Statement on Form F-1 (file no. 333-11724) filed with the Securities and Exchange Commission on May 15, 2000)</w:t>
      </w:r>
    </w:p>
    <w:p>
      <w:pPr>
        <w:spacing w:after="0" w:line="31" w:lineRule="exact"/>
        <w:rPr>
          <w:sz w:val="20"/>
          <w:szCs w:val="20"/>
          <w:color w:val="auto"/>
        </w:rPr>
      </w:pPr>
    </w:p>
    <w:p>
      <w:pPr>
        <w:jc w:val="both"/>
        <w:ind w:left="700" w:hanging="600"/>
        <w:spacing w:after="0" w:line="259" w:lineRule="auto"/>
        <w:tabs>
          <w:tab w:leader="none" w:pos="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Amendment to Amended and Restated Articles of Association of NetEase.com, Inc. dated as of June 6, 2003 (incorporated by reference to Exhibit 1.3 to the company’s Annual Report on Form 20-F for the year ended December 31, 2002 filed with the Securities and Exchange Commission on June 27, 2003)</w:t>
      </w:r>
    </w:p>
    <w:p>
      <w:pPr>
        <w:spacing w:after="0" w:line="86" w:lineRule="exact"/>
        <w:rPr>
          <w:sz w:val="20"/>
          <w:szCs w:val="20"/>
          <w:color w:val="auto"/>
        </w:rPr>
      </w:pPr>
    </w:p>
    <w:p>
      <w:pPr>
        <w:ind w:left="700" w:right="540" w:hanging="600"/>
        <w:spacing w:after="0" w:line="332"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Specimen American Depositary Receipt of NetEase.com, Inc. (incorporated by reference to Exhibit 4.1 to Amendment No. 1 to the company’s Registration Statement on Form F-1 (file no. 333-11724) filed with the Securities and Exchange Commission on May 15, 2000)</w:t>
      </w:r>
    </w:p>
    <w:p>
      <w:pPr>
        <w:spacing w:after="0" w:line="31" w:lineRule="exact"/>
        <w:rPr>
          <w:sz w:val="20"/>
          <w:szCs w:val="20"/>
          <w:color w:val="auto"/>
        </w:rPr>
      </w:pPr>
    </w:p>
    <w:p>
      <w:pPr>
        <w:ind w:left="700" w:right="540" w:hanging="600"/>
        <w:spacing w:after="0" w:line="332" w:lineRule="auto"/>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Specimen Stock Certificate of NetEase.com, Inc. (incorporated by reference to Exhibit 4.2 to Amendment No. 1 to the company’s Registration Statement on Form F-1 (file no. 333-11724) filed with the Securities and Exchange Commission on May 15, 2000)</w:t>
      </w:r>
    </w:p>
    <w:p>
      <w:pPr>
        <w:spacing w:after="0" w:line="3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Shareholder Voting Rights Trust Agreement dated May 12, 2000 among William Lei Ding, Bo Ding and NetEase Information Technology (Beijing)</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 Ltd. (incorporated by reference to Exhibit 10.40 to Amendment No. 1 to the company’s Registration Statement on Form F-1 (file no. 333-11724)</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with the Securities and Exchange Commission on May 15, 2000)</w:t>
      </w:r>
    </w:p>
    <w:p>
      <w:pPr>
        <w:spacing w:after="0" w:line="111" w:lineRule="exact"/>
        <w:rPr>
          <w:sz w:val="20"/>
          <w:szCs w:val="20"/>
          <w:color w:val="auto"/>
        </w:rPr>
      </w:pPr>
    </w:p>
    <w:p>
      <w:pPr>
        <w:jc w:val="both"/>
        <w:ind w:left="700" w:right="20" w:hanging="600"/>
        <w:spacing w:after="0" w:line="259"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2000 Stock Incentive Plan and Form of Stock Option Agreement (including standard and non-standard form) (incorporated by reference to Exhibit 4.2 to the company’s Annual Report on Form 20-F for the year ended December 31, 2000 filed with the Securities and Exchange Commission on August 31, 2001)</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60"/>
          </w:cols>
          <w:pgMar w:left="240" w:top="45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380" w:hanging="600"/>
        <w:spacing w:after="0" w:line="332"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Employment Agreement dated August 13, 1999 between NetEase.com, Inc. and William Lei Ding (incorporated by reference to Exhibit 10.2 to the company’s Registration Statement on Form F-1 (file no. 333-11724) filed with the Securities and Exchange Commission on March 27, 2000)</w:t>
      </w:r>
    </w:p>
    <w:p>
      <w:pPr>
        <w:spacing w:after="0" w:line="31" w:lineRule="exact"/>
        <w:rPr>
          <w:sz w:val="20"/>
          <w:szCs w:val="20"/>
          <w:color w:val="auto"/>
        </w:rPr>
      </w:pPr>
    </w:p>
    <w:p>
      <w:pPr>
        <w:ind w:left="700" w:right="180" w:hanging="600"/>
        <w:spacing w:after="0" w:line="259"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Addendum to Employment Agreement between NetEase.com, Inc. and William Lei Ding dated November 25, 2005 (incorporated by reference to Exhibit 4.3 to the company’s Annual Report on Form 20-F for the year ended December 31, 2005 filed with the Securities and Exchange Commission on June 29, 2006)</w:t>
      </w:r>
    </w:p>
    <w:p>
      <w:pPr>
        <w:spacing w:after="0" w:line="86" w:lineRule="exact"/>
        <w:rPr>
          <w:sz w:val="20"/>
          <w:szCs w:val="20"/>
          <w:color w:val="auto"/>
        </w:rPr>
      </w:pPr>
    </w:p>
    <w:p>
      <w:pPr>
        <w:jc w:val="center"/>
        <w:ind w:right="200"/>
        <w:spacing w:after="0" w:line="332" w:lineRule="auto"/>
        <w:rPr>
          <w:sz w:val="20"/>
          <w:szCs w:val="20"/>
          <w:color w:val="auto"/>
        </w:rPr>
      </w:pPr>
      <w:r>
        <w:rPr>
          <w:rFonts w:ascii="Arial" w:cs="Arial" w:eastAsia="Arial" w:hAnsi="Arial"/>
          <w:sz w:val="16"/>
          <w:szCs w:val="16"/>
          <w:color w:val="auto"/>
        </w:rPr>
        <w:t>4.4     Employment Agreement dated July 1, 2007 between NetEase.com Inc. and Onward Choi (incorporated by reference to Exhibit 4.4 to the company’s Annual Report on Form 20-F for the year ended December 31, 2007 filed with the Securities and Exchange Commission on June 26, 2008)</w:t>
      </w:r>
    </w:p>
    <w:p>
      <w:pPr>
        <w:spacing w:after="0" w:line="31" w:lineRule="exact"/>
        <w:rPr>
          <w:sz w:val="20"/>
          <w:szCs w:val="20"/>
          <w:color w:val="auto"/>
        </w:rPr>
      </w:pPr>
    </w:p>
    <w:p>
      <w:pPr>
        <w:ind w:left="700" w:hanging="600"/>
        <w:spacing w:after="0" w:line="332"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Employment Agreement dated May 17, 2006 between NetEase.com, Inc. and Zhonghui Zhan (incorporated by reference to Exhibit 4.6 to the company’s Annual Report on Form 20-F for the year ended December 31, 2005 filed with the Securities and Exchange Commission on June 29, 2006)</w:t>
      </w:r>
    </w:p>
    <w:p>
      <w:pPr>
        <w:spacing w:after="0" w:line="31" w:lineRule="exact"/>
        <w:rPr>
          <w:sz w:val="20"/>
          <w:szCs w:val="20"/>
          <w:color w:val="auto"/>
        </w:rPr>
      </w:pPr>
    </w:p>
    <w:p>
      <w:pPr>
        <w:ind w:left="700" w:right="480" w:hanging="600"/>
        <w:spacing w:after="0" w:line="259" w:lineRule="auto"/>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Domain Name License Agreement dated February 3, 2000 between NetEase.com, Inc. and Guangzhou NetEase Computer System Co., Ltd. (incorporated by reference to Exhibit 10.7 to the company’s Registration Statement on Form F-1 (file no. 333-11724) filed with the Securities and Exchange Commission on March 27, 2000)</w:t>
      </w:r>
    </w:p>
    <w:p>
      <w:pPr>
        <w:spacing w:after="0" w:line="86" w:lineRule="exact"/>
        <w:rPr>
          <w:sz w:val="20"/>
          <w:szCs w:val="20"/>
          <w:color w:val="auto"/>
        </w:rPr>
      </w:pPr>
    </w:p>
    <w:p>
      <w:pPr>
        <w:ind w:left="700" w:right="40" w:hanging="600"/>
        <w:spacing w:after="0" w:line="259"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Copyright License Agreement dated February 3, 2000 between NetEase Information Technology (Beijing) Co., Ltd. and Guangzhou NetEase Computer System Co., Ltd. (incorporated by reference to Exhibit 10.8 to the company’s Registration Statement on Form F-1 (file no. 333-11724) filed with the Securities and Exchange Commission on March 27, 2000)</w:t>
      </w:r>
    </w:p>
    <w:p>
      <w:pPr>
        <w:spacing w:after="0" w:line="86" w:lineRule="exact"/>
        <w:rPr>
          <w:sz w:val="20"/>
          <w:szCs w:val="20"/>
          <w:color w:val="auto"/>
        </w:rPr>
      </w:pPr>
    </w:p>
    <w:p>
      <w:pPr>
        <w:ind w:left="700" w:right="140" w:hanging="600"/>
        <w:spacing w:after="0" w:line="259" w:lineRule="auto"/>
        <w:tabs>
          <w:tab w:leader="none" w:pos="6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Trademark License Agreement dated February 3, 2000 between NetEase Information Technology (Beijing) Co., Ltd. and Guangzhou NetEase Computer System Co., Ltd. (incorporated by reference to Exhibit 10.9 to the company’s Registration Statement on Form F-1 (file no. 333-11724) filed with the Securities and Exchange Commission on March 27, 2000)</w:t>
      </w:r>
    </w:p>
    <w:p>
      <w:pPr>
        <w:spacing w:after="0" w:line="86" w:lineRule="exact"/>
        <w:rPr>
          <w:sz w:val="20"/>
          <w:szCs w:val="20"/>
          <w:color w:val="auto"/>
        </w:rPr>
      </w:pPr>
    </w:p>
    <w:p>
      <w:pPr>
        <w:jc w:val="both"/>
        <w:ind w:left="700" w:right="80" w:hanging="600"/>
        <w:spacing w:after="0" w:line="306" w:lineRule="auto"/>
        <w:tabs>
          <w:tab w:leader="none" w:pos="6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Supplemental Agreement (to Copyright License Agreement and Domain Name License Agreement) dated April 27,2000 between NetEase Information Technology (Beijing) Co., Ltd. and Guangzhou NetEase Computer System Co., Ltd (incorporated by reference to Exhibit 10.10 to Amendment No.1 to the company’s Registration Statement on Form F-1 (file no. 333-11724) filed with the Securities and Exchange Commission on May 15, 2000)</w:t>
      </w:r>
    </w:p>
    <w:p>
      <w:pPr>
        <w:spacing w:after="0" w:line="53" w:lineRule="exact"/>
        <w:rPr>
          <w:sz w:val="20"/>
          <w:szCs w:val="20"/>
          <w:color w:val="auto"/>
        </w:rPr>
      </w:pPr>
    </w:p>
    <w:p>
      <w:pPr>
        <w:ind w:left="700" w:right="140" w:hanging="600"/>
        <w:spacing w:after="0" w:line="256" w:lineRule="auto"/>
        <w:tabs>
          <w:tab w:leader="none" w:pos="6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Notice of Renewal dated April 2, 2001 relating to the Copyright License Agreement and the Trademark License Agreement each dated February 3, 2000 and made between NetEase Information Technology (Beijing) Co., Ltd and Guangzhou NetEase Computer System Co., Ltd (incorporated by reference to Exhibit 4.14 to the company’s Annual Report on Form 20-F for the year ended December 31, 2000 filed with the Securities and Exchange Commission on August 31, 2001)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360" w:hanging="600"/>
        <w:spacing w:after="0" w:line="259" w:lineRule="auto"/>
        <w:tabs>
          <w:tab w:leader="none" w:pos="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Exclusive Advertising Agency Agreement dated February 3, 2000 between Guangzhou NetEase Computer System Co., Ltd. and NetEase.com, Inc. (incorporated by reference to Exhibit 10.13 to the company’s Registration Statement on Form F-1 (file no. 333-11724) filed with the Securities and Exchange Commission on March 27, 2000)</w:t>
      </w:r>
    </w:p>
    <w:p>
      <w:pPr>
        <w:spacing w:after="0" w:line="86" w:lineRule="exact"/>
        <w:rPr>
          <w:sz w:val="20"/>
          <w:szCs w:val="20"/>
          <w:color w:val="auto"/>
        </w:rPr>
      </w:pPr>
    </w:p>
    <w:p>
      <w:pPr>
        <w:ind w:left="700" w:right="180" w:hanging="600"/>
        <w:spacing w:after="0" w:line="306" w:lineRule="auto"/>
        <w:tabs>
          <w:tab w:leader="none" w:pos="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Notice of Renewal dated April 2, 2001 relating to the Exclusive Advertising Agency Agreement dated February 3, 2000 between Guangzhou NetEase Computer System Co., Ltd. and NetEase.com, Inc. (incorporated by reference to Exhibit 4.18 to the company’s Annual Report on Form 20-F for the year ended December 31, 2000 filed with the Securities and Exchange Commission on August 31, 2001)</w:t>
      </w:r>
    </w:p>
    <w:p>
      <w:pPr>
        <w:spacing w:after="0" w:line="53" w:lineRule="exact"/>
        <w:rPr>
          <w:sz w:val="20"/>
          <w:szCs w:val="20"/>
          <w:color w:val="auto"/>
        </w:rPr>
      </w:pPr>
    </w:p>
    <w:p>
      <w:pPr>
        <w:ind w:left="700" w:right="20" w:hanging="600"/>
        <w:spacing w:after="0" w:line="259"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Trademark Transfer Agreement dated March 29, 2000 between Guangzhou NetEase Computer System Co., Ltd. and NetEase Information Technology (Beijing) Co., Ltd. (incorporated by reference to Exhibit 10.14 to Amendment No. 1 to the company’s Registration Statement on Form F-1 (file no. 333-11724) filed with the Securities and Exchange Commission on May 15, 2000)</w:t>
      </w:r>
    </w:p>
    <w:p>
      <w:pPr>
        <w:spacing w:after="0" w:line="86" w:lineRule="exact"/>
        <w:rPr>
          <w:sz w:val="20"/>
          <w:szCs w:val="20"/>
          <w:color w:val="auto"/>
        </w:rPr>
      </w:pPr>
    </w:p>
    <w:p>
      <w:pPr>
        <w:jc w:val="both"/>
        <w:ind w:left="700" w:hanging="600"/>
        <w:spacing w:after="0" w:line="259" w:lineRule="auto"/>
        <w:tabs>
          <w:tab w:leader="none" w:pos="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Online Advertising Agreement dated February 15, 2000 between Guangzhou NetEase Computer System Co., Ltd. and Beijing Guangyitong Advertising Co., Ltd. (incorporated by reference to Exhibit 10.15 to the company’s Registration Statement on Form F-1 (file no. 333-11724) filed with the Securities and Exchange Commission on March 27, 2000)</w:t>
      </w:r>
    </w:p>
    <w:p>
      <w:pPr>
        <w:spacing w:after="0" w:line="86" w:lineRule="exact"/>
        <w:rPr>
          <w:sz w:val="20"/>
          <w:szCs w:val="20"/>
          <w:color w:val="auto"/>
        </w:rPr>
      </w:pPr>
    </w:p>
    <w:p>
      <w:pPr>
        <w:jc w:val="both"/>
        <w:ind w:left="700" w:right="120" w:hanging="600"/>
        <w:spacing w:after="0" w:line="306" w:lineRule="auto"/>
        <w:tabs>
          <w:tab w:leader="none" w:pos="6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Notice of Renewal dated April 2, 2001 relating to the Online Advertising Agreement dated February 15, 2000 and made between Guangzhou NetEase Computer System Co., Ltd. and Beijing Guangyitong Advertising Co., Ltd. (incorporated by reference to Exhibit 4.21 to the company’s Annual Report on Form 20-F for the year ended December 31, 2000 filed with the Securities and Exchange Commission on August 31, 2001)</w:t>
      </w:r>
    </w:p>
    <w:p>
      <w:pPr>
        <w:spacing w:after="0" w:line="53" w:lineRule="exact"/>
        <w:rPr>
          <w:sz w:val="20"/>
          <w:szCs w:val="20"/>
          <w:color w:val="auto"/>
        </w:rPr>
      </w:pPr>
    </w:p>
    <w:p>
      <w:pPr>
        <w:ind w:left="700" w:right="20" w:hanging="600"/>
        <w:spacing w:after="0" w:line="259" w:lineRule="auto"/>
        <w:tabs>
          <w:tab w:leader="none" w:pos="6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Supplemental Agreement dated May 15, 2000 (amending the Domain Name License Agreement) between NetEase.com, Inc. and Guangzhou NetEase Computer System Co., Ltd. (incorporated by reference to Exhibit 10.37 to Amendment No. 1 to the company’s Registration Statement on Form F-1 (file no. 333-11724) filed with the Securities and Exchange Commission on May 15, 2000)</w:t>
      </w:r>
    </w:p>
    <w:p>
      <w:pPr>
        <w:spacing w:after="0" w:line="86" w:lineRule="exact"/>
        <w:rPr>
          <w:sz w:val="20"/>
          <w:szCs w:val="20"/>
          <w:color w:val="auto"/>
        </w:rPr>
      </w:pPr>
    </w:p>
    <w:p>
      <w:pPr>
        <w:ind w:left="700" w:right="160" w:hanging="600"/>
        <w:spacing w:after="0" w:line="259" w:lineRule="auto"/>
        <w:tabs>
          <w:tab w:leader="none" w:pos="6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Agreement dated May 12, 2000 between NetEase Information Technology (Beijing) Co., Ltd. and Guangzhou NetEase Computer System Co., Ltd. (incorporated by reference to Exhibit 10.41 to Amendment No. 1 to the company’s Registration Statement on Form F-1 (file no. 333-11724) filed with the Securities and Exchange Commission on May 15, 2000)</w:t>
      </w:r>
    </w:p>
    <w:p>
      <w:pPr>
        <w:spacing w:after="0" w:line="86" w:lineRule="exact"/>
        <w:rPr>
          <w:sz w:val="20"/>
          <w:szCs w:val="20"/>
          <w:color w:val="auto"/>
        </w:rPr>
      </w:pPr>
    </w:p>
    <w:p>
      <w:pPr>
        <w:jc w:val="both"/>
        <w:ind w:left="700" w:right="20" w:hanging="600"/>
        <w:spacing w:after="0" w:line="259" w:lineRule="auto"/>
        <w:tabs>
          <w:tab w:leader="none" w:pos="6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Operating Agreement dated May 10, 2000 among NetEase Information Technology (Beijing) Co., Ltd., Beijing Guangyitong Advertising Co., Ltd., Bo Ding and William Lei Ding (incorporated by reference to Exhibit 10.42 to Amendment No. 1 to the company’s Registration Statement on Form F-1 (file no. 333-11724) filed with the Securities and Exchange Commission on May 15, 2000)</w:t>
      </w:r>
    </w:p>
    <w:p>
      <w:pPr>
        <w:spacing w:after="0" w:line="86" w:lineRule="exact"/>
        <w:rPr>
          <w:sz w:val="20"/>
          <w:szCs w:val="20"/>
          <w:color w:val="auto"/>
        </w:rPr>
      </w:pPr>
    </w:p>
    <w:p>
      <w:pPr>
        <w:ind w:left="700" w:hanging="600"/>
        <w:spacing w:after="0" w:line="306" w:lineRule="auto"/>
        <w:tabs>
          <w:tab w:leader="none" w:pos="6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Supplemental Agreement dated May 12, 2000 (supplementing the Online Advertising Agreement dated February 15, 2000) between Guangzhou NetEase Computer System Co., Ltd. and Beijing Guangyitong Advertising Co., Ltd. (incorporated by reference to Exhibit 10.47 to Amendment No. 1 to the company’s Registration Statement on Form F-1 (file no. 333-11724) filed with the Securities and Exchange Commission on May 15, 2000)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00"/>
        <w:spacing w:after="0"/>
        <w:tabs>
          <w:tab w:leader="none" w:pos="2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5"/>
          <w:szCs w:val="15"/>
          <w:color w:val="auto"/>
        </w:rPr>
        <w:t>Supplemental Agreement dated May 15, 2000 (supplementing the Domain Name License Agreement dated February 3, 2000) between NetEase.com,</w:t>
      </w:r>
    </w:p>
    <w:p>
      <w:pPr>
        <w:spacing w:after="0" w:line="15" w:lineRule="exact"/>
        <w:rPr>
          <w:sz w:val="20"/>
          <w:szCs w:val="20"/>
          <w:color w:val="auto"/>
        </w:rPr>
      </w:pPr>
    </w:p>
    <w:p>
      <w:pPr>
        <w:ind w:left="700" w:right="820"/>
        <w:spacing w:after="0" w:line="323" w:lineRule="auto"/>
        <w:rPr>
          <w:sz w:val="20"/>
          <w:szCs w:val="20"/>
          <w:color w:val="auto"/>
        </w:rPr>
      </w:pPr>
      <w:r>
        <w:rPr>
          <w:rFonts w:ascii="Arial" w:cs="Arial" w:eastAsia="Arial" w:hAnsi="Arial"/>
          <w:sz w:val="16"/>
          <w:szCs w:val="16"/>
          <w:color w:val="auto"/>
        </w:rPr>
        <w:t>Inc. and Guangzhou NetEase Computer System Co., Ltd. (incorporated by reference to Exhibit 10.48 to Amendment No. 1 to the company’s Registration Statement on Form F-1 (file no. 333-11724) filed with the Securities and Exchange Commission on May 15, 2000)</w:t>
      </w:r>
    </w:p>
    <w:p>
      <w:pPr>
        <w:spacing w:after="0" w:line="39" w:lineRule="exact"/>
        <w:rPr>
          <w:sz w:val="20"/>
          <w:szCs w:val="20"/>
          <w:color w:val="auto"/>
        </w:rPr>
      </w:pPr>
    </w:p>
    <w:p>
      <w:pPr>
        <w:ind w:left="700" w:right="220" w:hanging="600"/>
        <w:spacing w:after="0" w:line="259" w:lineRule="auto"/>
        <w:tabs>
          <w:tab w:leader="none" w:pos="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Letter of Agreement, dated June 6, 2000, among William Lei Ding, Bo Ding and NetEase.com, Inc. (incorporated by reference to Exhibit 10.49 to Amendment No. 2 to the company’s Registration Statement on Form F-1 (file no. 333-11724) filed with the Securities and Exchange Commission on June 15, 2000)</w:t>
      </w:r>
    </w:p>
    <w:p>
      <w:pPr>
        <w:spacing w:after="0" w:line="86" w:lineRule="exact"/>
        <w:rPr>
          <w:sz w:val="20"/>
          <w:szCs w:val="20"/>
          <w:color w:val="auto"/>
        </w:rPr>
      </w:pPr>
    </w:p>
    <w:p>
      <w:pPr>
        <w:ind w:left="700" w:hanging="600"/>
        <w:spacing w:after="0" w:line="306" w:lineRule="auto"/>
        <w:tabs>
          <w:tab w:leader="none" w:pos="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Supplemental Agreement dated June 15, 2000 (supplementing the Online Advertising Agreement dated February 15, 2000), between Beijing Guangyitong Advertising Co., Ltd. and Guangzhou NetEase Computer System Co., Ltd. (incorporated by reference to Exhibit 10.50 to Amendment No. 2 to the company’s Registration Statement on Form F-1 (file no. 333-11724) filed with the Securities and Exchange Commission on June 15, 2000)</w:t>
      </w:r>
    </w:p>
    <w:p>
      <w:pPr>
        <w:spacing w:after="0" w:line="53" w:lineRule="exact"/>
        <w:rPr>
          <w:sz w:val="20"/>
          <w:szCs w:val="20"/>
          <w:color w:val="auto"/>
        </w:rPr>
      </w:pPr>
    </w:p>
    <w:p>
      <w:pPr>
        <w:ind w:left="700" w:right="360" w:hanging="600"/>
        <w:spacing w:after="0" w:line="306" w:lineRule="auto"/>
        <w:tabs>
          <w:tab w:leader="none" w:pos="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Trademark Assignment Agreement dated August 17, 2001 between Guangzhou NetEase Computer System Co., Ltd. and NetEase Information Technology (Beijing) Co., Ltd and its Supplemental Agreement dated August 27, 2001 (incorporated by reference to Exhibit 4.53 to the company’s Annual Report on Form 20-F for the year ended December 31, 2000 filed with the Securities and Exchange Commission on August 31, 2001)</w:t>
      </w:r>
    </w:p>
    <w:p>
      <w:pPr>
        <w:spacing w:after="0" w:line="53" w:lineRule="exact"/>
        <w:rPr>
          <w:sz w:val="20"/>
          <w:szCs w:val="20"/>
          <w:color w:val="auto"/>
        </w:rPr>
      </w:pPr>
    </w:p>
    <w:p>
      <w:pPr>
        <w:ind w:left="700" w:right="340" w:hanging="600"/>
        <w:spacing w:after="0" w:line="370" w:lineRule="auto"/>
        <w:tabs>
          <w:tab w:leader="none" w:pos="6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5"/>
          <w:szCs w:val="15"/>
          <w:color w:val="auto"/>
        </w:rPr>
        <w:t>Indenture, dated as of July 14, 2003, by and between NetEase.com, Inc. and The Bank of New York (incorporated by reference to Exhibit 4.4 to the company’s Registration Statement on Form F-3 (file no. 333-109628) filed with the Securities and Exchange Commission on October 10, 2003)</w:t>
      </w:r>
    </w:p>
    <w:p>
      <w:pPr>
        <w:spacing w:after="0" w:line="8" w:lineRule="exact"/>
        <w:rPr>
          <w:sz w:val="20"/>
          <w:szCs w:val="20"/>
          <w:color w:val="auto"/>
        </w:rPr>
      </w:pPr>
    </w:p>
    <w:p>
      <w:pPr>
        <w:ind w:left="700" w:right="20" w:hanging="600"/>
        <w:spacing w:after="0" w:line="306" w:lineRule="auto"/>
        <w:tabs>
          <w:tab w:leader="none" w:pos="6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Assignment Agreement dated May 17, 2004 by and among NetEase Information Technology (Beijing) Co., Ltd., NetEase Information Technology (Shanghai) Co., Inc. and Guangzhou NetEase Interactive Entertainment Ltd. (incorporated by reference to Exhibit 4.38 to the company’s Annual Report on Form 20-F for the year ended December 31, 2004 filed with the Securities and Exchange Commission on June 27, 2005)</w:t>
      </w:r>
    </w:p>
    <w:p>
      <w:pPr>
        <w:spacing w:after="0" w:line="53" w:lineRule="exact"/>
        <w:rPr>
          <w:sz w:val="20"/>
          <w:szCs w:val="20"/>
          <w:color w:val="auto"/>
        </w:rPr>
      </w:pPr>
    </w:p>
    <w:p>
      <w:pPr>
        <w:ind w:left="700" w:right="60" w:hanging="600"/>
        <w:spacing w:after="0" w:line="256" w:lineRule="auto"/>
        <w:tabs>
          <w:tab w:leader="none" w:pos="6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Supplemental Letter of Agreement dated May 17, 2004 (supplementing the Letter Agreement dated June 6, 2000 by and among William Lei Ding, Bo Ding and NetEase.com, Inc.) by and among William Lei Ding, Bo Ding, Jun Liang and NetEase.com, Inc. (incorporated by reference to Exhibit 4.39 to the company’s Annual Report on Form 20-F for the year ended December 31, 2004 filed with the Securities and Exchange Commission on June 27, 2005)</w:t>
      </w:r>
    </w:p>
    <w:p>
      <w:pPr>
        <w:spacing w:after="0" w:line="89" w:lineRule="exact"/>
        <w:rPr>
          <w:sz w:val="20"/>
          <w:szCs w:val="20"/>
          <w:color w:val="auto"/>
        </w:rPr>
      </w:pPr>
    </w:p>
    <w:p>
      <w:pPr>
        <w:ind w:left="700" w:hanging="600"/>
        <w:spacing w:after="0" w:line="255" w:lineRule="auto"/>
        <w:tabs>
          <w:tab w:leader="none" w:pos="6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Second Supplemental Letter of Agreement dated July 15, 2004 (supplementing the Letter Agreement dated June 6, 2000 by and among William Lei Ding, Bo Ding and NetEase.com, Inc., as supplemented by the Supplemental Letter of Agreement dated May 17, 2004 by and among William Lei Ding, Bo Ding, Jun Liang and NetEase.com, Inc.) by and among William Lei Ding, Bo Ding, Jun Liang and NetEase.com, Inc. (incorporated by reference to Exhibit 4.40 to the company’s Annual Report on Form 20-F for the year ended December 31, 2004 filed with the Securities and Exchange Commission on June 27, 2005)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600"/>
        <w:spacing w:after="0" w:line="294" w:lineRule="auto"/>
        <w:tabs>
          <w:tab w:leader="none" w:pos="6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No. 3 Supplemental Letter of Agreement dated July 20, 2004 (supplementing the Letter Agreement dated June 6, 2000 by and among William Lei Ding, Bo Ding and NetEase.com, Inc., as supplemented by the Supplemental Letter of Agreement dated May 17, 2004 and the Second Supplemental Letter of Agreement dated July 15, 2004, each by and among William Lei Ding, Bo Ding, Jun Liang and NetEase.com, Inc.) by and among William Lei Ding, Bo Ding, Jun Liang and NetEase.com, Inc. (incorporated by reference to Exhibit 4.41 to the company’s Annual Report on Form 20-F for the year ended December 31, 2004 filed with the Securities and Exchange Commission on June 27, 2005)</w:t>
      </w:r>
    </w:p>
    <w:p>
      <w:pPr>
        <w:spacing w:after="0" w:line="62" w:lineRule="exact"/>
        <w:rPr>
          <w:sz w:val="20"/>
          <w:szCs w:val="20"/>
          <w:color w:val="auto"/>
        </w:rPr>
      </w:pPr>
    </w:p>
    <w:p>
      <w:pPr>
        <w:ind w:left="700" w:hanging="600"/>
        <w:spacing w:after="0" w:line="259" w:lineRule="auto"/>
        <w:tabs>
          <w:tab w:leader="none" w:pos="6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Cooperative Agreement between Guangzhou NetEase Computer System Co., Ltd. and NetEase (Hangzhou) Network Co., Ltd. effective as of January 1, 2007 (incorporated by reference to Exhibit 4.32 to the company’s Annual Report on Form 20-F for the year ended December 31, 2006 filed with the Securities and Exchange Commission on June 26, 2007)</w:t>
      </w:r>
    </w:p>
    <w:p>
      <w:pPr>
        <w:spacing w:after="0" w:line="86" w:lineRule="exact"/>
        <w:rPr>
          <w:sz w:val="20"/>
          <w:szCs w:val="20"/>
          <w:color w:val="auto"/>
        </w:rPr>
      </w:pPr>
    </w:p>
    <w:p>
      <w:pPr>
        <w:jc w:val="both"/>
        <w:ind w:left="700" w:right="40" w:hanging="600"/>
        <w:spacing w:after="0" w:line="306" w:lineRule="auto"/>
        <w:tabs>
          <w:tab w:leader="none" w:pos="6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Cooperative Agreement between Guangzhou NetEase Computer System Co., Ltd., Guangzhou NetEase Interactive Entertainment Limited and NetEase Information Technology (Beijing) Co., Ltd. effective as of January 1, 2006 (incorporated by reference to Exhibit 4.33 to the company’s Annual Report on Form 20-F for the year ended December 31, 2006 filed with the Securities and Exchange Commission on June 26, 2007)</w:t>
      </w:r>
    </w:p>
    <w:p>
      <w:pPr>
        <w:spacing w:after="0" w:line="53" w:lineRule="exact"/>
        <w:rPr>
          <w:sz w:val="20"/>
          <w:szCs w:val="20"/>
          <w:color w:val="auto"/>
        </w:rPr>
      </w:pPr>
    </w:p>
    <w:p>
      <w:pPr>
        <w:ind w:left="700" w:right="120" w:hanging="600"/>
        <w:spacing w:after="0" w:line="259" w:lineRule="auto"/>
        <w:tabs>
          <w:tab w:leader="none" w:pos="6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Cooperative Agreement between Guangzhou NetEase Computer System Co., Ltd. and Guangzhou Boguan Telecommunication Technology Limited effective as of January 1, 2006 (incorporated by reference to Exhibit 4.34 to the company’s Annual Report on Form 20-F for the year ended December 31, 2006 filed with the Securities and Exchange Commission on June 26, 2007)</w:t>
      </w:r>
    </w:p>
    <w:p>
      <w:pPr>
        <w:spacing w:after="0" w:line="86" w:lineRule="exact"/>
        <w:rPr>
          <w:sz w:val="20"/>
          <w:szCs w:val="20"/>
          <w:color w:val="auto"/>
        </w:rPr>
      </w:pPr>
    </w:p>
    <w:p>
      <w:pPr>
        <w:ind w:left="700" w:right="140" w:hanging="600"/>
        <w:spacing w:after="0" w:line="259" w:lineRule="auto"/>
        <w:tabs>
          <w:tab w:leader="none" w:pos="6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Cooperative Agreement between NetEase Information Technology (Beijing) Co., Ltd and Beijing Guangyitong Advertising Co., Ltd. effective as of January 1, 2006 (incorporated by reference to Exhibit 4.35 to the company’s Annual Report on Form 20-F for the year ended December 31, 2006 filed with the Securities and Exchange Commission on June 26, 2007)</w:t>
      </w:r>
    </w:p>
    <w:p>
      <w:pPr>
        <w:spacing w:after="0" w:line="86" w:lineRule="exact"/>
        <w:rPr>
          <w:sz w:val="20"/>
          <w:szCs w:val="20"/>
          <w:color w:val="auto"/>
        </w:rPr>
      </w:pPr>
    </w:p>
    <w:p>
      <w:pPr>
        <w:ind w:left="700" w:right="140" w:hanging="600"/>
        <w:spacing w:after="0" w:line="259" w:lineRule="auto"/>
        <w:tabs>
          <w:tab w:leader="none" w:pos="6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Cooperative Agreement between Guangzhou NetEase Interactive Entertainment Ltd and Beijing Guangyitong Advertising Co., Ltd. effective as of January 1, 2006 (incorporated by reference to Exhibit 4.36 to the company’s Annual Report on Form 20-F for the year ended December 31, 2006 filed with the Securities and Exchange Commission on June 26, 2007)</w:t>
      </w:r>
    </w:p>
    <w:p>
      <w:pPr>
        <w:spacing w:after="0" w:line="8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Subsidiaries of NetEase.com,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Code of Business Conduct (incorporated by reference to Exhibit 11.1 to the company’s Annual Report on Form 20-F for the year ended December 31,</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filed with the Securities and Exchange Commission on June 26, 2007)</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Certification of Chief Executive Officer Required by Rule 13a-14(a)</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Certification of Acting Chief Financial Officer Required by Rule 13a-14(a)</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Certification of Chief Executive Officer Required by Rule 13a-14(b) and Section 1350 of Chapter 63 of Title 18 of the United States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Certification of Acting Chief Financial Officer Required by Rule 13a-14(b) and Section 1350 of Chapter 63 of Title 18 of the United States Code</w:t>
      </w:r>
    </w:p>
    <w:p>
      <w:pPr>
        <w:spacing w:after="0" w:line="117" w:lineRule="exact"/>
        <w:rPr>
          <w:sz w:val="20"/>
          <w:szCs w:val="20"/>
          <w:color w:val="auto"/>
        </w:rPr>
      </w:pPr>
    </w:p>
    <w:p>
      <w:pPr>
        <w:ind w:left="700" w:hanging="688"/>
        <w:spacing w:after="0" w:line="332" w:lineRule="auto"/>
        <w:tabs>
          <w:tab w:leader="none" w:pos="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Charter of Audit Committee of the Board of Directors of the Registrant (incorporated by reference to Exhibit 15.1 to the company’s Annual Report on Form 20-F for the year ended December 31, 2006 filed with the Securities and Exchange Commission on June 26, 2007)</w:t>
      </w:r>
    </w:p>
    <w:p>
      <w:pPr>
        <w:spacing w:after="0" w:line="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Consent of PricewaterhouseCoopers Zhong Tian CPAs Limited Company,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color w:val="auto"/>
        </w:rPr>
        <w:t>Consent of Maples and Calder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Consent of King and Wood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NETEASE.COM,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William Lei Ding</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30, 2009</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7"/>
              </w:rPr>
              <w:t>NETEASE.COM, INC.</w:t>
            </w:r>
          </w:p>
        </w:tc>
        <w:tc>
          <w:tcPr>
            <w:tcW w:w="1520" w:type="dxa"/>
            <w:vAlign w:val="bottom"/>
          </w:tcPr>
          <w:p>
            <w:pPr>
              <w:spacing w:after="0"/>
              <w:rPr>
                <w:sz w:val="19"/>
                <w:szCs w:val="19"/>
                <w:color w:val="auto"/>
              </w:rPr>
            </w:pPr>
          </w:p>
        </w:tc>
      </w:tr>
      <w:tr>
        <w:trPr>
          <w:trHeight w:val="378"/>
        </w:trPr>
        <w:tc>
          <w:tcPr>
            <w:tcW w:w="3240" w:type="dxa"/>
            <w:vAlign w:val="bottom"/>
          </w:tcPr>
          <w:p>
            <w:pPr>
              <w:spacing w:after="0"/>
              <w:rPr>
                <w:sz w:val="24"/>
                <w:szCs w:val="24"/>
                <w:color w:val="auto"/>
              </w:rPr>
            </w:pPr>
          </w:p>
        </w:tc>
        <w:tc>
          <w:tcPr>
            <w:tcW w:w="6660" w:type="dxa"/>
            <w:vAlign w:val="bottom"/>
            <w:gridSpan w:val="7"/>
          </w:tcPr>
          <w:p>
            <w:pPr>
              <w:jc w:val="center"/>
              <w:ind w:right="17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520" w:type="dxa"/>
            <w:vAlign w:val="bottom"/>
          </w:tcPr>
          <w:p>
            <w:pPr>
              <w:spacing w:after="0"/>
              <w:rPr>
                <w:sz w:val="24"/>
                <w:szCs w:val="24"/>
                <w:color w:val="auto"/>
              </w:rPr>
            </w:pPr>
          </w:p>
        </w:tc>
      </w:tr>
      <w:tr>
        <w:trPr>
          <w:trHeight w:val="380"/>
        </w:trPr>
        <w:tc>
          <w:tcPr>
            <w:tcW w:w="9900" w:type="dxa"/>
            <w:vAlign w:val="bottom"/>
            <w:gridSpan w:val="8"/>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Management’s report on internal control over financial reporting</w:t>
              </w:r>
            </w:hyperlink>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F-1</w:t>
            </w:r>
          </w:p>
        </w:tc>
      </w:tr>
      <w:tr>
        <w:trPr>
          <w:trHeight w:val="304"/>
        </w:trPr>
        <w:tc>
          <w:tcPr>
            <w:tcW w:w="3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Report of independent registered public accounting firm</w:t>
              </w:r>
            </w:hyperlink>
          </w:p>
        </w:tc>
        <w:tc>
          <w:tcPr>
            <w:tcW w:w="580" w:type="dxa"/>
            <w:vAlign w:val="bottom"/>
            <w:tcBorders>
              <w:top w:val="single" w:sz="8" w:color="0000EE"/>
            </w:tcBorders>
            <w:gridSpan w:val="2"/>
          </w:tcPr>
          <w:p>
            <w:pPr>
              <w:spacing w:after="0"/>
              <w:rPr>
                <w:sz w:val="24"/>
                <w:szCs w:val="24"/>
                <w:color w:val="auto"/>
              </w:rPr>
            </w:pPr>
          </w:p>
        </w:tc>
        <w:tc>
          <w:tcPr>
            <w:tcW w:w="5360" w:type="dxa"/>
            <w:vAlign w:val="bottom"/>
            <w:gridSpan w:val="4"/>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F-2</w:t>
            </w:r>
          </w:p>
        </w:tc>
      </w:tr>
      <w:tr>
        <w:trPr>
          <w:trHeight w:val="304"/>
        </w:trPr>
        <w:tc>
          <w:tcPr>
            <w:tcW w:w="42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Consolidated balance sheets at December 31, 2007 and 2008</w:t>
              </w:r>
            </w:hyperlink>
          </w:p>
        </w:tc>
        <w:tc>
          <w:tcPr>
            <w:tcW w:w="5620" w:type="dxa"/>
            <w:vAlign w:val="bottom"/>
            <w:gridSpan w:val="5"/>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F-3</w:t>
            </w:r>
          </w:p>
        </w:tc>
      </w:tr>
      <w:tr>
        <w:trPr>
          <w:trHeight w:val="304"/>
        </w:trPr>
        <w:tc>
          <w:tcPr>
            <w:tcW w:w="86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37">
              <w:r>
                <w:rPr>
                  <w:rFonts w:ascii="Arial" w:cs="Arial" w:eastAsia="Arial" w:hAnsi="Arial"/>
                  <w:sz w:val="18"/>
                  <w:szCs w:val="18"/>
                  <w:color w:val="0000EE"/>
                  <w:w w:val="87"/>
                </w:rPr>
                <w:t>Consolidated statements of operations and comprehensive income for the years ended December 31, 2006, 2007 and 2008</w:t>
              </w:r>
            </w:hyperlink>
          </w:p>
        </w:tc>
        <w:tc>
          <w:tcPr>
            <w:tcW w:w="126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F-4</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Consolidated statements of shareholders’ equity for the years ended December 31, 2006, 2007 and 2008</w:t>
              </w:r>
            </w:hyperlink>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F-5</w:t>
            </w:r>
          </w:p>
        </w:tc>
      </w:tr>
      <w:tr>
        <w:trPr>
          <w:trHeight w:val="304"/>
        </w:trPr>
        <w:tc>
          <w:tcPr>
            <w:tcW w:w="66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40">
              <w:r>
                <w:rPr>
                  <w:rFonts w:ascii="Arial" w:cs="Arial" w:eastAsia="Arial" w:hAnsi="Arial"/>
                  <w:sz w:val="18"/>
                  <w:szCs w:val="18"/>
                  <w:color w:val="0000EE"/>
                  <w:w w:val="87"/>
                </w:rPr>
                <w:t>Consolidated statements of cash flows for the years ended December 31, 2006, 2007 and 2008</w:t>
              </w:r>
            </w:hyperlink>
          </w:p>
        </w:tc>
        <w:tc>
          <w:tcPr>
            <w:tcW w:w="680" w:type="dxa"/>
            <w:vAlign w:val="bottom"/>
            <w:tcBorders>
              <w:top w:val="single" w:sz="8" w:color="0000EE"/>
            </w:tcBorders>
          </w:tcPr>
          <w:p>
            <w:pPr>
              <w:spacing w:after="0"/>
              <w:rPr>
                <w:sz w:val="24"/>
                <w:szCs w:val="24"/>
                <w:color w:val="auto"/>
              </w:rPr>
            </w:pPr>
          </w:p>
        </w:tc>
        <w:tc>
          <w:tcPr>
            <w:tcW w:w="2580" w:type="dxa"/>
            <w:vAlign w:val="bottom"/>
            <w:gridSpan w:val="2"/>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F-6</w:t>
            </w:r>
          </w:p>
        </w:tc>
      </w:tr>
      <w:tr>
        <w:trPr>
          <w:trHeight w:val="304"/>
        </w:trPr>
        <w:tc>
          <w:tcPr>
            <w:tcW w:w="3240" w:type="dxa"/>
            <w:vAlign w:val="bottom"/>
            <w:tcBorders>
              <w:bottom w:val="single" w:sz="8" w:color="0000EE"/>
            </w:tcBorders>
          </w:tcPr>
          <w:p>
            <w:pPr>
              <w:spacing w:after="0"/>
              <w:rPr>
                <w:rFonts w:ascii="Arial" w:cs="Arial" w:eastAsia="Arial" w:hAnsi="Arial"/>
                <w:sz w:val="18"/>
                <w:szCs w:val="18"/>
                <w:color w:val="0000EE"/>
                <w:w w:val="87"/>
              </w:rPr>
            </w:pPr>
            <w:hyperlink w:anchor="page141">
              <w:r>
                <w:rPr>
                  <w:rFonts w:ascii="Arial" w:cs="Arial" w:eastAsia="Arial" w:hAnsi="Arial"/>
                  <w:sz w:val="18"/>
                  <w:szCs w:val="18"/>
                  <w:color w:val="0000EE"/>
                  <w:w w:val="87"/>
                </w:rPr>
                <w:t>Notes to the consolidated financial statements</w:t>
              </w:r>
            </w:hyperlink>
          </w:p>
        </w:tc>
        <w:tc>
          <w:tcPr>
            <w:tcW w:w="6660" w:type="dxa"/>
            <w:vAlign w:val="bottom"/>
            <w:gridSpan w:val="7"/>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w w:val="81"/>
              </w:rPr>
              <w:t>F-7</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management of NetEase.com, Inc., or the Company, is responsible for establishing and maintaining adequate internal control over financial reporting as defined in Rule 13a-15(f) and 15d-15(f) promulgated under the Securities Exchange Act of 1934, as amended.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2008. In making this assessment, the Company’s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Based on its assessment, management concluded that, as of the end of the Company’s most recent fiscal year, December 31, 2008,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is effective based on those criteria.</w:t>
      </w:r>
    </w:p>
    <w:p>
      <w:pPr>
        <w:spacing w:after="0" w:line="1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PricewaterhouseCoopers Zhong Tian CPAs Limited Company, our independent registered public accounting firm, has audited the effectiveness of the Company’s internal control over financial reporting as of December 31, 2008, as stated in their report, which is included herein.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NetEase.com, Inc.:</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of shareholders’ equity and of cash flows expressed in Chinese Renminbi (“RMB”) present fairly, in all material respects, the financial position of NetEase.com, Inc.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F-1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CPAs Limited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Note</w:t>
            </w:r>
          </w:p>
        </w:tc>
        <w:tc>
          <w:tcPr>
            <w:tcW w:w="130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2,482,820,821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793,407,922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116,292,843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Time deposits</w:t>
            </w:r>
          </w:p>
        </w:tc>
        <w:tc>
          <w:tcPr>
            <w:tcW w:w="4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1,675,813,944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4,820,000,100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706,485,907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166,727,514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231,030,576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Prepayments and other current assets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45,143,728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104,092,051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15,257,172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10(c)</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65,787,113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25,248,842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4,436,293,120</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5,973,779,491</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875,599,780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Non-current rental deposit</w:t>
            </w:r>
          </w:p>
        </w:tc>
        <w:tc>
          <w:tcPr>
            <w:tcW w:w="4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3,033,171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3,443,249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equipment and software, net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183,471,666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258,787,534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Land use right, net</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26,956,800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12,563,485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 for license right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27,463,600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10(c)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19,060,225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12,444,636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16,844,399</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57,411,308</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Total non-current assets</w:t>
            </w:r>
          </w:p>
        </w:tc>
        <w:tc>
          <w:tcPr>
            <w:tcW w:w="4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249,366,261</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372,113,812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54,542,149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4,685,659,381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6,345,893,303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930,141,929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Zero-coupon convertible subordinated notes due July 15, 2023</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641,778,908</w:t>
            </w:r>
          </w:p>
        </w:tc>
        <w:tc>
          <w:tcPr>
            <w:tcW w:w="2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89,143,868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119,829,878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17,563,925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Salary and welfare payable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68,653,742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94,922,963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13,913,223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92,438,670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104,754,356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354,966,697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447,725,795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65,624,888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29,844,067</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61,815,070</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1,276,825,952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829,048,062</w:t>
            </w: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121,516,756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Other long-term payable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10,200,000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payable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10,200,000</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1,287,025,952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829,248,062</w:t>
            </w: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121,546,071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4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207,798</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209,265</w:t>
            </w: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30,673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Ordinary shares, US$0.0001 par value: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1,000,300,000,000 shares authorized, 3,036,270,590 shares issued and outstanding as of</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December 31, 2007 and 3,206,468,735 shares issued and outstanding as of December 31,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2,525,952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2,642,105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15,20</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578,845,159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84,843,556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168,729,214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195,872,087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1,332,300</w:t>
            </w:r>
          </w:p>
        </w:tc>
        <w:tc>
          <w:tcPr>
            <w:tcW w:w="2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3,225,838,165</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4,739,076,625</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694,624,643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3,398,425,631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5,516,435,976</w:t>
            </w: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808,565,185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4,685,659,381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6,345,893,303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930,141,929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Note</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3"/>
              </w:rPr>
              <w:t>For the year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Online game services</w:t>
            </w:r>
          </w:p>
        </w:tc>
        <w:tc>
          <w:tcPr>
            <w:tcW w:w="38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1,856,062,971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1,932,634,947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2,498,518,103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366,217,384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services</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285,772,653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305,057,556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405,887,007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Wireless value-added services and others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75,406,121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68,018,461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71,718,938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10,512,120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2,217,241,745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2,305,710,964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2,976,124,048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436,221,920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Business tax (expense)/benefit</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10(b)</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(52,882,275)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(92,424,200)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108,460,101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15,897,413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2,164,359,470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2,213,286,764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3,084,584,149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452,119,333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(381,298,181)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(415,453,046)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(559,605,362)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(82,023,505)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1,783,061,289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1,797,833,718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2,524,978,787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370,095,828</w:t>
            </w:r>
          </w:p>
        </w:tc>
        <w:tc>
          <w:tcPr>
            <w:tcW w:w="0" w:type="dxa"/>
            <w:vAlign w:val="bottom"/>
          </w:tcPr>
          <w:p>
            <w:pPr>
              <w:spacing w:after="0"/>
              <w:rPr>
                <w:sz w:val="1"/>
                <w:szCs w:val="1"/>
                <w:color w:val="auto"/>
              </w:rPr>
            </w:pPr>
          </w:p>
        </w:tc>
      </w:tr>
      <w:tr>
        <w:trPr>
          <w:trHeight w:val="33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(170,142,691)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(235,318,304)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(221,551,138)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(32,473,600)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(179,879,602)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(176,178,740)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(181,841,322)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(26,653,180)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(153,162,158)</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(180,734,713)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(207,023,649)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(30,344,250)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(503,184,451)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(592,231,757)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(610,416,109)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(89,471,030)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1,279,876,838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1,205,601,961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1,914,562,678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280,624,798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340,721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1,517,890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94,364,852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112,599,994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144,805,368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21,224,678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Exchange losses</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(958,435)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(50,891,094)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(167,101,510)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1,239,105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(1,084,240)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3,551,919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1,374,863,081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1,266,701,067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1,897,336,345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278,099,867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10(a)</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(132,485,543)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(2,689,309)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(300,673,321)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(44,070,842)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after tax</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1,242,377,538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1,264,011,758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1,596,663,024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234,029,025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Minority interests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400,046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74,364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24,883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1,242,777,584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1,264,086,122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1,596,687,907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234,032,672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Unrealized gains on investments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1,332,300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1,242,777,584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1,265,418,422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1,596,687,907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234,032,672</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120" w:type="dxa"/>
            <w:vAlign w:val="bottom"/>
            <w:gridSpan w:val="2"/>
          </w:tcPr>
          <w:p>
            <w:pPr>
              <w:spacing w:after="0"/>
              <w:rPr>
                <w:sz w:val="20"/>
                <w:szCs w:val="20"/>
                <w:color w:val="auto"/>
              </w:rPr>
            </w:pPr>
            <w:r>
              <w:rPr>
                <w:rFonts w:ascii="Arial" w:cs="Arial" w:eastAsia="Arial" w:hAnsi="Arial"/>
                <w:sz w:val="18"/>
                <w:szCs w:val="18"/>
                <w:color w:val="auto"/>
              </w:rPr>
              <w:t>Earnings per share, basic</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ADS, basic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diluted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0.36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ADS, diluted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3,231,832,008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3,086,451,412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3,117,117,306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3,117,117,306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ADS outstanding, basic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129,273,280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123,458,056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124,684,692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124,684,692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ordinary shares outstanding, diluted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3,498,405,110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3,307,538,379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3,234,214,324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3,234,214,324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ADS outstanding, diluted</w:t>
            </w: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139,936,204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132,301,535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129,368,573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129,368,573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7" w:name="page138"/>
    <w:bookmarkEnd w:id="13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Ordinary shares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12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Additional</w:t>
            </w:r>
          </w:p>
        </w:tc>
        <w:tc>
          <w:tcPr>
            <w:tcW w:w="2400" w:type="dxa"/>
            <w:vAlign w:val="bottom"/>
            <w:gridSpan w:val="4"/>
            <w:vMerge w:val="continue"/>
          </w:tcPr>
          <w:p>
            <w:pPr>
              <w:spacing w:after="0"/>
              <w:rPr>
                <w:sz w:val="12"/>
                <w:szCs w:val="12"/>
                <w:color w:val="auto"/>
              </w:rPr>
            </w:pPr>
          </w:p>
        </w:tc>
        <w:tc>
          <w:tcPr>
            <w:tcW w:w="9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1"/>
              </w:rPr>
              <w:t>Statutory</w:t>
            </w:r>
          </w:p>
        </w:tc>
        <w:tc>
          <w:tcPr>
            <w:tcW w:w="12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Retained</w:t>
            </w:r>
          </w:p>
        </w:tc>
        <w:tc>
          <w:tcPr>
            <w:tcW w:w="10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comprehensive</w:t>
            </w:r>
          </w:p>
        </w:tc>
        <w:tc>
          <w:tcPr>
            <w:tcW w:w="11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Share</w:t>
            </w:r>
          </w:p>
        </w:tc>
        <w:tc>
          <w:tcPr>
            <w:tcW w:w="7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2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paid-in capital</w:t>
            </w:r>
          </w:p>
        </w:tc>
        <w:tc>
          <w:tcPr>
            <w:tcW w:w="114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Share</w:t>
            </w:r>
          </w:p>
        </w:tc>
        <w:tc>
          <w:tcPr>
            <w:tcW w:w="10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3"/>
              </w:rPr>
              <w:t>reserves</w:t>
            </w:r>
          </w:p>
        </w:tc>
        <w:tc>
          <w:tcPr>
            <w:tcW w:w="12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earnings</w:t>
            </w: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1"/>
              </w:rPr>
              <w:t>income</w:t>
            </w:r>
          </w:p>
        </w:tc>
        <w:tc>
          <w:tcPr>
            <w:tcW w:w="11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3,263,526,525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2,700,407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1,129,733,009</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135,238,835 1,123,210,272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210,838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2,391,093,361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8"/>
              </w:rPr>
              <w:t>Ordinary shares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issued upon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employee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44,488,200</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35,338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44,092,079</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44,127,417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(149,629,675)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(873,406,019)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(873,406,019)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Cancellation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(112,990,000)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(89,804)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(684,514,116)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112,990,000</w:t>
            </w:r>
          </w:p>
        </w:tc>
        <w:tc>
          <w:tcPr>
            <w:tcW w:w="1080" w:type="dxa"/>
            <w:vAlign w:val="bottom"/>
          </w:tcPr>
          <w:p>
            <w:pPr>
              <w:jc w:val="right"/>
              <w:spacing w:after="0"/>
              <w:rPr>
                <w:sz w:val="20"/>
                <w:szCs w:val="20"/>
                <w:color w:val="auto"/>
              </w:rPr>
            </w:pPr>
            <w:r>
              <w:rPr>
                <w:rFonts w:ascii="Arial" w:cs="Arial" w:eastAsia="Arial" w:hAnsi="Arial"/>
                <w:sz w:val="18"/>
                <w:szCs w:val="18"/>
                <w:color w:val="auto"/>
              </w:rPr>
              <w:t>684,603,920</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compensation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(Note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17(a))</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101,286,676</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101,286,676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9"/>
              </w:rPr>
              <w:t>Appropriation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statutory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reserves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27,879,093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(27,879,093)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1,242,777,584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1,242,777,584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Reversal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translation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(210,838)</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(210,838)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w:t>
            </w: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3,195,024,725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2,645,941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590,597,648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(36,639,675)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(188,802,099)</w:t>
            </w:r>
          </w:p>
        </w:tc>
        <w:tc>
          <w:tcPr>
            <w:tcW w:w="2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163,117,928 2,338,108,763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2,905,668,181</w:t>
            </w:r>
          </w:p>
        </w:tc>
        <w:tc>
          <w:tcPr>
            <w:tcW w:w="0" w:type="dxa"/>
            <w:vAlign w:val="bottom"/>
          </w:tcPr>
          <w:p>
            <w:pPr>
              <w:spacing w:after="0"/>
              <w:rPr>
                <w:sz w:val="1"/>
                <w:szCs w:val="1"/>
                <w:color w:val="auto"/>
              </w:rPr>
            </w:pPr>
          </w:p>
        </w:tc>
      </w:tr>
      <w:tr>
        <w:trPr>
          <w:trHeight w:val="215"/>
        </w:trPr>
        <w:tc>
          <w:tcPr>
            <w:tcW w:w="1300" w:type="dxa"/>
            <w:vAlign w:val="bottom"/>
            <w:gridSpan w:val="2"/>
          </w:tcPr>
          <w:p>
            <w:pPr>
              <w:spacing w:after="0"/>
              <w:rPr>
                <w:sz w:val="20"/>
                <w:szCs w:val="20"/>
                <w:color w:val="auto"/>
              </w:rPr>
            </w:pPr>
            <w:r>
              <w:rPr>
                <w:rFonts w:ascii="Arial" w:cs="Arial" w:eastAsia="Arial" w:hAnsi="Arial"/>
                <w:sz w:val="18"/>
                <w:szCs w:val="18"/>
                <w:color w:val="auto"/>
                <w:w w:val="99"/>
              </w:rPr>
              <w:t>Ordinary shares</w:t>
            </w: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issued upon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employee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39,681,250</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32,052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43,201,379</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43,233,431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8"/>
              </w:rPr>
              <w:t>Ordinary shares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upon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conversion of</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24,922,115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92,405,555</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92,424,750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Repurchase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(186,717,825)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(1,003,747,328)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(1,003,747,328)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(223,357,500)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(171,236)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(821,632,757)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223,357,500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1,192,549,427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(370,745,434)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Share-based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w w:val="94"/>
              </w:rPr>
              <w:t>compensation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cost (Note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17(a))</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95,428,175</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95,428,175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9"/>
              </w:rPr>
              <w:t>Appropriation to</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statutory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5,611,286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(5,611,286)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Net profit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1,264,086,122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1,264,086,122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gains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1,332,300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1,332,300</w:t>
            </w:r>
          </w:p>
        </w:tc>
        <w:tc>
          <w:tcPr>
            <w:tcW w:w="0" w:type="dxa"/>
            <w:vAlign w:val="bottom"/>
          </w:tcPr>
          <w:p>
            <w:pPr>
              <w:spacing w:after="0"/>
              <w:rPr>
                <w:sz w:val="1"/>
                <w:szCs w:val="1"/>
                <w:color w:val="auto"/>
              </w:rPr>
            </w:pPr>
          </w:p>
        </w:tc>
      </w:tr>
      <w:tr>
        <w:trPr>
          <w:trHeight w:val="215"/>
        </w:trPr>
        <w:tc>
          <w:tcPr>
            <w:tcW w:w="1300" w:type="dxa"/>
            <w:vAlign w:val="bottom"/>
            <w:gridSpan w:val="2"/>
          </w:tcPr>
          <w:p>
            <w:pPr>
              <w:spacing w:after="0"/>
              <w:rPr>
                <w:sz w:val="20"/>
                <w:szCs w:val="20"/>
                <w:color w:val="auto"/>
              </w:rPr>
            </w:pPr>
            <w:r>
              <w:rPr>
                <w:rFonts w:ascii="Arial" w:cs="Arial" w:eastAsia="Arial" w:hAnsi="Arial"/>
                <w:sz w:val="18"/>
                <w:szCs w:val="18"/>
                <w:color w:val="auto"/>
              </w:rPr>
              <w:t>Balance as of</w:t>
            </w: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w w:val="93"/>
              </w:rPr>
              <w:t>December 31,</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3,036,270,590</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2,525,952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168,729,214 3,225,838,165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1,332,300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3,398,425,631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8"/>
              </w:rPr>
              <w:t>Ordinary shares</w:t>
            </w: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upon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19,427,900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18,393,913</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18,407,235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8"/>
              </w:rPr>
              <w:t>Ordinary shares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issued upon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w w:val="98"/>
              </w:rPr>
              <w:t>conversion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convertible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notes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182,720,495</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125,034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601,900,538</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602,025,572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(31,950,250)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(165,726,730)</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(165,726,730)</w:t>
            </w: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Cancellation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(31,950,250)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(22,203)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(109,397,953)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31,950,250</w:t>
            </w:r>
          </w:p>
        </w:tc>
        <w:tc>
          <w:tcPr>
            <w:tcW w:w="1080" w:type="dxa"/>
            <w:vAlign w:val="bottom"/>
          </w:tcPr>
          <w:p>
            <w:pPr>
              <w:jc w:val="right"/>
              <w:spacing w:after="0"/>
              <w:rPr>
                <w:sz w:val="20"/>
                <w:szCs w:val="20"/>
                <w:color w:val="auto"/>
              </w:rPr>
            </w:pPr>
            <w:r>
              <w:rPr>
                <w:rFonts w:ascii="Arial" w:cs="Arial" w:eastAsia="Arial" w:hAnsi="Arial"/>
                <w:sz w:val="18"/>
                <w:szCs w:val="18"/>
                <w:color w:val="auto"/>
              </w:rPr>
              <w:t>165,726,730</w:t>
            </w:r>
          </w:p>
        </w:tc>
        <w:tc>
          <w:tcPr>
            <w:tcW w:w="1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(56,306,574)</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compensation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(Note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17(a))</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67,948,661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67,948,661</w:t>
            </w: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9"/>
              </w:rPr>
              <w:t>Appropriation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statutory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reserves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w w:val="93"/>
              </w:rPr>
              <w:t>27,142,873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(27,142,873)</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1,596,687,907</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1,596,687,907</w:t>
            </w: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Disposal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(1,332,300)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(1,332,300)</w:t>
            </w: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w:t>
            </w: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3,206,468,735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2,642,105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578,845,159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195,872,087 4,739,076,625</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5,516,435,976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40"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5"/>
              </w:rPr>
              <w:t>For the year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2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2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1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profit</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1,242,777,584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1,264,086,122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1,596,687,907</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234,032,672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78,370,029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99,110,799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90,962,041</w:t>
            </w:r>
          </w:p>
        </w:tc>
        <w:tc>
          <w:tcPr>
            <w:tcW w:w="1000" w:type="dxa"/>
            <w:vAlign w:val="bottom"/>
          </w:tcPr>
          <w:p>
            <w:pPr>
              <w:jc w:val="right"/>
              <w:spacing w:after="0"/>
              <w:rPr>
                <w:sz w:val="20"/>
                <w:szCs w:val="20"/>
                <w:color w:val="auto"/>
              </w:rPr>
            </w:pPr>
            <w:r>
              <w:rPr>
                <w:rFonts w:ascii="Arial" w:cs="Arial" w:eastAsia="Arial" w:hAnsi="Arial"/>
                <w:sz w:val="18"/>
                <w:szCs w:val="18"/>
                <w:color w:val="auto"/>
              </w:rPr>
              <w:t>13,332,655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cost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101,286,676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95,428,175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67,948,661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Allowance/(reversal) of provision for doubtful debts</w:t>
            </w:r>
          </w:p>
        </w:tc>
        <w:tc>
          <w:tcPr>
            <w:tcW w:w="1120" w:type="dxa"/>
            <w:vAlign w:val="bottom"/>
          </w:tcPr>
          <w:p>
            <w:pPr>
              <w:jc w:val="right"/>
              <w:spacing w:after="0"/>
              <w:rPr>
                <w:sz w:val="20"/>
                <w:szCs w:val="20"/>
                <w:color w:val="auto"/>
              </w:rPr>
            </w:pPr>
            <w:r>
              <w:rPr>
                <w:rFonts w:ascii="Arial" w:cs="Arial" w:eastAsia="Arial" w:hAnsi="Arial"/>
                <w:sz w:val="18"/>
                <w:szCs w:val="18"/>
                <w:color w:val="auto"/>
              </w:rPr>
              <w:t>7,487,619</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(5,334,898)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8,604,654</w:t>
            </w:r>
          </w:p>
        </w:tc>
        <w:tc>
          <w:tcPr>
            <w:tcW w:w="1000" w:type="dxa"/>
            <w:vAlign w:val="bottom"/>
          </w:tcPr>
          <w:p>
            <w:pPr>
              <w:jc w:val="right"/>
              <w:spacing w:after="0"/>
              <w:rPr>
                <w:sz w:val="20"/>
                <w:szCs w:val="20"/>
                <w:color w:val="auto"/>
              </w:rPr>
            </w:pPr>
            <w:r>
              <w:rPr>
                <w:rFonts w:ascii="Arial" w:cs="Arial" w:eastAsia="Arial" w:hAnsi="Arial"/>
                <w:sz w:val="18"/>
                <w:szCs w:val="18"/>
                <w:color w:val="auto"/>
              </w:rPr>
              <w:t>1,261,217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issuance cost of convertible notes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4,331,016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Loss on disposal of property, equipment and software</w:t>
            </w:r>
          </w:p>
        </w:tc>
        <w:tc>
          <w:tcPr>
            <w:tcW w:w="1120" w:type="dxa"/>
            <w:vAlign w:val="bottom"/>
          </w:tcPr>
          <w:p>
            <w:pPr>
              <w:jc w:val="right"/>
              <w:spacing w:after="0"/>
              <w:rPr>
                <w:sz w:val="20"/>
                <w:szCs w:val="20"/>
                <w:color w:val="auto"/>
              </w:rPr>
            </w:pPr>
            <w:r>
              <w:rPr>
                <w:rFonts w:ascii="Arial" w:cs="Arial" w:eastAsia="Arial" w:hAnsi="Arial"/>
                <w:sz w:val="18"/>
                <w:szCs w:val="18"/>
                <w:color w:val="auto"/>
              </w:rPr>
              <w:t>586,254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830,169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316,916</w:t>
            </w:r>
          </w:p>
        </w:tc>
        <w:tc>
          <w:tcPr>
            <w:tcW w:w="1000" w:type="dxa"/>
            <w:vAlign w:val="bottom"/>
          </w:tcPr>
          <w:p>
            <w:pPr>
              <w:jc w:val="right"/>
              <w:spacing w:after="0"/>
              <w:rPr>
                <w:sz w:val="20"/>
                <w:szCs w:val="20"/>
                <w:color w:val="auto"/>
              </w:rPr>
            </w:pPr>
            <w:r>
              <w:rPr>
                <w:rFonts w:ascii="Arial" w:cs="Arial" w:eastAsia="Arial" w:hAnsi="Arial"/>
                <w:sz w:val="18"/>
                <w:szCs w:val="18"/>
                <w:color w:val="auto"/>
              </w:rPr>
              <w:t>46,452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Write-off of property, equipment and software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13,663,387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Unrealized exchange losses</w:t>
            </w:r>
          </w:p>
        </w:tc>
        <w:tc>
          <w:tcPr>
            <w:tcW w:w="1120" w:type="dxa"/>
            <w:vAlign w:val="bottom"/>
          </w:tcPr>
          <w:p>
            <w:pPr>
              <w:jc w:val="right"/>
              <w:spacing w:after="0"/>
              <w:rPr>
                <w:sz w:val="20"/>
                <w:szCs w:val="20"/>
                <w:color w:val="auto"/>
              </w:rPr>
            </w:pPr>
            <w:r>
              <w:rPr>
                <w:rFonts w:ascii="Arial" w:cs="Arial" w:eastAsia="Arial" w:hAnsi="Arial"/>
                <w:sz w:val="18"/>
                <w:szCs w:val="18"/>
                <w:color w:val="auto"/>
              </w:rPr>
              <w:t>584,612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50,891,094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166,712,075</w:t>
            </w:r>
          </w:p>
        </w:tc>
        <w:tc>
          <w:tcPr>
            <w:tcW w:w="1000" w:type="dxa"/>
            <w:vAlign w:val="bottom"/>
          </w:tcPr>
          <w:p>
            <w:pPr>
              <w:jc w:val="right"/>
              <w:spacing w:after="0"/>
              <w:rPr>
                <w:sz w:val="20"/>
                <w:szCs w:val="20"/>
                <w:color w:val="auto"/>
              </w:rPr>
            </w:pPr>
            <w:r>
              <w:rPr>
                <w:rFonts w:ascii="Arial" w:cs="Arial" w:eastAsia="Arial" w:hAnsi="Arial"/>
                <w:sz w:val="18"/>
                <w:szCs w:val="18"/>
                <w:color w:val="auto"/>
              </w:rPr>
              <w:t>24,435,628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share of loss from associated companies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2,028,154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Share of loss by minority interests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(400,046)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(74,364)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(24,884)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278,322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(69,580,977)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(29,756,151)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(72,907,716)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Prepayments and other current assets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(13,921,921)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(16,535,099)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(52,387,633)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(7,678,657)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(5,744,969)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(40,112,645)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40,538,271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Deferred tax assets - non-current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(5,502,361)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(13,557,864)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6,615,589</w:t>
            </w:r>
          </w:p>
        </w:tc>
        <w:tc>
          <w:tcPr>
            <w:tcW w:w="1000" w:type="dxa"/>
            <w:vAlign w:val="bottom"/>
          </w:tcPr>
          <w:p>
            <w:pPr>
              <w:jc w:val="right"/>
              <w:spacing w:after="0"/>
              <w:rPr>
                <w:sz w:val="20"/>
                <w:szCs w:val="20"/>
                <w:color w:val="auto"/>
              </w:rPr>
            </w:pPr>
            <w:r>
              <w:rPr>
                <w:rFonts w:ascii="Arial" w:cs="Arial" w:eastAsia="Arial" w:hAnsi="Arial"/>
                <w:sz w:val="18"/>
                <w:szCs w:val="18"/>
                <w:color w:val="auto"/>
              </w:rPr>
              <w:t>969,672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45,117,500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945,594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32,756,625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Salary and welfare payables</w:t>
            </w:r>
          </w:p>
        </w:tc>
        <w:tc>
          <w:tcPr>
            <w:tcW w:w="1120" w:type="dxa"/>
            <w:vAlign w:val="bottom"/>
          </w:tcPr>
          <w:p>
            <w:pPr>
              <w:jc w:val="right"/>
              <w:spacing w:after="0"/>
              <w:rPr>
                <w:sz w:val="20"/>
                <w:szCs w:val="20"/>
                <w:color w:val="auto"/>
              </w:rPr>
            </w:pPr>
            <w:r>
              <w:rPr>
                <w:rFonts w:ascii="Arial" w:cs="Arial" w:eastAsia="Arial" w:hAnsi="Arial"/>
                <w:sz w:val="18"/>
                <w:szCs w:val="18"/>
                <w:color w:val="auto"/>
              </w:rPr>
              <w:t>9,411,771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13,216,566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26,269,221</w:t>
            </w:r>
          </w:p>
        </w:tc>
        <w:tc>
          <w:tcPr>
            <w:tcW w:w="1000" w:type="dxa"/>
            <w:vAlign w:val="bottom"/>
          </w:tcPr>
          <w:p>
            <w:pPr>
              <w:jc w:val="right"/>
              <w:spacing w:after="0"/>
              <w:rPr>
                <w:sz w:val="20"/>
                <w:szCs w:val="20"/>
                <w:color w:val="auto"/>
              </w:rPr>
            </w:pPr>
            <w:r>
              <w:rPr>
                <w:rFonts w:ascii="Arial" w:cs="Arial" w:eastAsia="Arial" w:hAnsi="Arial"/>
                <w:sz w:val="18"/>
                <w:szCs w:val="18"/>
                <w:color w:val="auto"/>
              </w:rPr>
              <w:t>3,850,381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23,434,362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(2,750,313)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12,315,686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154,049,749</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(30,754,023)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92,759,098</w:t>
            </w:r>
          </w:p>
        </w:tc>
        <w:tc>
          <w:tcPr>
            <w:tcW w:w="1000" w:type="dxa"/>
            <w:vAlign w:val="bottom"/>
          </w:tcPr>
          <w:p>
            <w:pPr>
              <w:jc w:val="right"/>
              <w:spacing w:after="0"/>
              <w:rPr>
                <w:sz w:val="20"/>
                <w:szCs w:val="20"/>
                <w:color w:val="auto"/>
              </w:rPr>
            </w:pPr>
            <w:r>
              <w:rPr>
                <w:rFonts w:ascii="Arial" w:cs="Arial" w:eastAsia="Arial" w:hAnsi="Arial"/>
                <w:sz w:val="18"/>
                <w:szCs w:val="18"/>
                <w:color w:val="auto"/>
              </w:rPr>
              <w:t>13,596,057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(549,100)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(3,391,754)</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10,707,608</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(3,168,330)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(1,379,171)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(202,150)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1,596,108,793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1,379,902,442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2,017,799,188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295,756,567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software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(142,513,502)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(71,515,551)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(133,329,185)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(19,542,570)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sale of property, equipment and software</w:t>
            </w:r>
          </w:p>
        </w:tc>
        <w:tc>
          <w:tcPr>
            <w:tcW w:w="1120" w:type="dxa"/>
            <w:vAlign w:val="bottom"/>
          </w:tcPr>
          <w:p>
            <w:pPr>
              <w:jc w:val="right"/>
              <w:spacing w:after="0"/>
              <w:rPr>
                <w:sz w:val="20"/>
                <w:szCs w:val="20"/>
                <w:color w:val="auto"/>
              </w:rPr>
            </w:pPr>
            <w:r>
              <w:rPr>
                <w:rFonts w:ascii="Arial" w:cs="Arial" w:eastAsia="Arial" w:hAnsi="Arial"/>
                <w:sz w:val="18"/>
                <w:szCs w:val="18"/>
                <w:color w:val="auto"/>
              </w:rPr>
              <w:t>148,076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55,675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280,714</w:t>
            </w:r>
          </w:p>
        </w:tc>
        <w:tc>
          <w:tcPr>
            <w:tcW w:w="1000" w:type="dxa"/>
            <w:vAlign w:val="bottom"/>
          </w:tcPr>
          <w:p>
            <w:pPr>
              <w:jc w:val="right"/>
              <w:spacing w:after="0"/>
              <w:rPr>
                <w:sz w:val="20"/>
                <w:szCs w:val="20"/>
                <w:color w:val="auto"/>
              </w:rPr>
            </w:pPr>
            <w:r>
              <w:rPr>
                <w:rFonts w:ascii="Arial" w:cs="Arial" w:eastAsia="Arial" w:hAnsi="Arial"/>
                <w:sz w:val="18"/>
                <w:szCs w:val="18"/>
                <w:color w:val="auto"/>
              </w:rPr>
              <w:t>41,145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 for land use right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(26,956,800)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(822,182)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Incentive received on land use right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15,000,000</w:t>
            </w:r>
          </w:p>
        </w:tc>
        <w:tc>
          <w:tcPr>
            <w:tcW w:w="1000" w:type="dxa"/>
            <w:vAlign w:val="bottom"/>
          </w:tcPr>
          <w:p>
            <w:pPr>
              <w:jc w:val="right"/>
              <w:spacing w:after="0"/>
              <w:rPr>
                <w:sz w:val="20"/>
                <w:szCs w:val="20"/>
                <w:color w:val="auto"/>
              </w:rPr>
            </w:pPr>
            <w:r>
              <w:rPr>
                <w:rFonts w:ascii="Arial" w:cs="Arial" w:eastAsia="Arial" w:hAnsi="Arial"/>
                <w:sz w:val="18"/>
                <w:szCs w:val="18"/>
                <w:color w:val="auto"/>
              </w:rPr>
              <w:t>2,198,608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 of license right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(27,463,600)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Prepayment for royalties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(13,687,749)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associated companies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(33,559,525)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cash paid upon closure of VIE</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(1,217,831)</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time deposits with terms of three months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(563,980,613)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160,300,370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(520,970,208)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(76,360,602)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Placement/rollover of matured time deposits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(1,600,926,277)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(636,577,729)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(3,732,114,167)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(547,030,292)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Uplift of matured time deposits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1,125,107,444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1,530,798,027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1,042,752,487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152,840,233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increase in other assets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(36,077,586)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(87,737)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(5,344,734)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(783,398)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(1,218,242,458)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952,298,424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(3,409,258,149)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(499,708,045)</w:t>
            </w: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employees exercising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44,127,417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43,232,921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18,407,235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Repurchase of company shares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(873,406,019)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(1,003,747,328)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(165,726,730)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(24,291,203)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other long-term payable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(177,256)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(177,256)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Capital contribution from minority shareholders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400,046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282,162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26,351</w:t>
            </w:r>
          </w:p>
        </w:tc>
        <w:tc>
          <w:tcPr>
            <w:tcW w:w="1000" w:type="dxa"/>
            <w:vAlign w:val="bottom"/>
          </w:tcPr>
          <w:p>
            <w:pPr>
              <w:jc w:val="right"/>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(829,055,812)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(960,409,501)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(157,293,144)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(23,055,060)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 held in foreign currencies</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280" w:type="dxa"/>
            <w:vAlign w:val="bottom"/>
            <w:gridSpan w:val="2"/>
            <w:vMerge w:val="continue"/>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(28,078,078)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(95,447,070)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(140,660,794)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(20,617,192)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(479,267,555)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1,276,344,295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(1,689,412,899)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(247,623,730)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Cash, beginning of the year</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1,685,744,081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1,206,476,526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2,482,820,821</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363,916,573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the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1,206,476,526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2,482,820,821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793,407,922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116,292,843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for income taxes, net of tax refund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125,238,532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71,797,010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250,080,776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 cancellation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684,603,920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1,192,549,427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165,726,730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Fixed asset purchases financed by accounts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20,051,899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6,112,886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37,302,324</w:t>
            </w:r>
          </w:p>
        </w:tc>
        <w:tc>
          <w:tcPr>
            <w:tcW w:w="1000" w:type="dxa"/>
            <w:vAlign w:val="bottom"/>
          </w:tcPr>
          <w:p>
            <w:pPr>
              <w:jc w:val="right"/>
              <w:spacing w:after="0"/>
              <w:rPr>
                <w:sz w:val="20"/>
                <w:szCs w:val="20"/>
                <w:color w:val="auto"/>
              </w:rPr>
            </w:pPr>
            <w:r>
              <w:rPr>
                <w:rFonts w:ascii="Arial" w:cs="Arial" w:eastAsia="Arial" w:hAnsi="Arial"/>
                <w:sz w:val="18"/>
                <w:szCs w:val="18"/>
                <w:color w:val="auto"/>
              </w:rPr>
              <w:t>5,467,545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Conversion of convertible notes to ordinary shares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92,424,750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602,041,878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88,243,588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999"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8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The Group</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NetEase.com, Inc. (the “Company”) was incorporated in the Cayman Islands on July 6, 1999. The Company has been listed on the Nasdaq National Market in the United States of America since July 2000. As of December 31, 2008, the Company had nine subsidiaries and six variable interest entities (“VIEs”) for which the Company is the primary beneficiary. The Company, its subsidiaries and VIEs are hereinafter collectively referred to as the “Group” or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controlled entities and consolidated VIEs are described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Place and date of</w:t>
            </w:r>
          </w:p>
        </w:tc>
      </w:tr>
      <w:tr>
        <w:trPr>
          <w:trHeight w:val="175"/>
        </w:trPr>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incorporation</w:t>
            </w:r>
          </w:p>
        </w:tc>
      </w:tr>
      <w:tr>
        <w:trPr>
          <w:trHeight w:val="169"/>
        </w:trPr>
        <w:tc>
          <w:tcPr>
            <w:tcW w:w="14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87"/>
              </w:rPr>
              <w:t>Controlled entities:</w:t>
            </w:r>
          </w:p>
        </w:tc>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6"/>
        </w:trPr>
        <w:tc>
          <w:tcPr>
            <w:tcW w:w="9160" w:type="dxa"/>
            <w:vAlign w:val="bottom"/>
            <w:gridSpan w:val="2"/>
          </w:tcPr>
          <w:p>
            <w:pPr>
              <w:spacing w:after="0"/>
              <w:rPr>
                <w:sz w:val="20"/>
                <w:szCs w:val="20"/>
                <w:color w:val="auto"/>
              </w:rPr>
            </w:pPr>
            <w:r>
              <w:rPr>
                <w:rFonts w:ascii="Arial" w:cs="Arial" w:eastAsia="Arial" w:hAnsi="Arial"/>
                <w:sz w:val="18"/>
                <w:szCs w:val="18"/>
                <w:color w:val="auto"/>
              </w:rPr>
              <w:t>NetEase Information Technology (Beijing) Co., Ltd. (“NetEase Beijing”)</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Beijing,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August 30, 1999</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NetEase Interactive Entertainment Ltd. (“NetEase Interactive”)</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British Virgin Islands</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April 12, 2002</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Guangzhou NetEase Interactive Entertainment Ltd. (“Guangzhou Interactive”)</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Guangzhou,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October 15, 2002</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Guangzhou Boguan Telecommunication Technology Ltd. (“Boguan”)</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Guangzhou,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December 8, 2003</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w w:val="95"/>
              </w:rPr>
              <w:t>NetEase Youdao Information Technology (Beijing) Co., Ltd. (Formerly known as NetEase Yodao Information Technology</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Beijing, China</w:t>
            </w:r>
          </w:p>
        </w:tc>
      </w:tr>
      <w:tr>
        <w:trPr>
          <w:trHeight w:val="222"/>
        </w:trPr>
        <w:tc>
          <w:tcPr>
            <w:tcW w:w="9160" w:type="dxa"/>
            <w:vAlign w:val="bottom"/>
            <w:gridSpan w:val="2"/>
          </w:tcPr>
          <w:p>
            <w:pPr>
              <w:ind w:left="220"/>
              <w:spacing w:after="0"/>
              <w:rPr>
                <w:sz w:val="20"/>
                <w:szCs w:val="20"/>
                <w:color w:val="auto"/>
              </w:rPr>
            </w:pPr>
            <w:r>
              <w:rPr>
                <w:rFonts w:ascii="Arial" w:cs="Arial" w:eastAsia="Arial" w:hAnsi="Arial"/>
                <w:sz w:val="18"/>
                <w:szCs w:val="18"/>
                <w:color w:val="auto"/>
              </w:rPr>
              <w:t>(Beijing) Co., Ltd.) (“Youdao Information”)</w:t>
            </w: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March 21, 2006</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NetEase (Hangzhou) Network Co., Ltd. (“NetEase Hangzhou”)</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Hangzhou,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June 2, 2006</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Hong Kong NetEase Interactive Entertainment Limited (“Hong Kong NetEase Interactive”)</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Hong Kong,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November 26, 2007</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NetEase (Hong Kong) Limited (“NetEase Hong Kong”)</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Hong Kong,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November 26, 2007</w:t>
            </w:r>
          </w:p>
        </w:tc>
      </w:tr>
      <w:tr>
        <w:trPr>
          <w:trHeight w:val="331"/>
        </w:trPr>
        <w:tc>
          <w:tcPr>
            <w:tcW w:w="9160" w:type="dxa"/>
            <w:vAlign w:val="bottom"/>
            <w:gridSpan w:val="2"/>
          </w:tcPr>
          <w:p>
            <w:pPr>
              <w:spacing w:after="0"/>
              <w:rPr>
                <w:sz w:val="20"/>
                <w:szCs w:val="20"/>
                <w:color w:val="auto"/>
              </w:rPr>
            </w:pPr>
            <w:r>
              <w:rPr>
                <w:rFonts w:ascii="Arial" w:cs="Arial" w:eastAsia="Arial" w:hAnsi="Arial"/>
                <w:sz w:val="18"/>
                <w:szCs w:val="18"/>
                <w:color w:val="auto"/>
              </w:rPr>
              <w:t>Guangzhou NetEase Information Technology Limited (“Guangzhou Information”)</w:t>
            </w:r>
          </w:p>
        </w:tc>
        <w:tc>
          <w:tcPr>
            <w:tcW w:w="4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Guangzhou, China</w:t>
            </w:r>
          </w:p>
        </w:tc>
      </w:tr>
      <w:tr>
        <w:trPr>
          <w:trHeight w:val="222"/>
        </w:trPr>
        <w:tc>
          <w:tcPr>
            <w:tcW w:w="14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June 24, 2008</w:t>
            </w:r>
          </w:p>
        </w:tc>
      </w:tr>
      <w:tr>
        <w:trPr>
          <w:trHeight w:val="378"/>
        </w:trPr>
        <w:tc>
          <w:tcPr>
            <w:tcW w:w="1460" w:type="dxa"/>
            <w:vAlign w:val="bottom"/>
          </w:tcPr>
          <w:p>
            <w:pPr>
              <w:spacing w:after="0"/>
              <w:rPr>
                <w:sz w:val="24"/>
                <w:szCs w:val="24"/>
                <w:color w:val="auto"/>
              </w:rPr>
            </w:pPr>
          </w:p>
        </w:tc>
        <w:tc>
          <w:tcPr>
            <w:tcW w:w="7700" w:type="dxa"/>
            <w:vAlign w:val="bottom"/>
          </w:tcPr>
          <w:p>
            <w:pPr>
              <w:ind w:left="4140"/>
              <w:spacing w:after="0"/>
              <w:rPr>
                <w:sz w:val="20"/>
                <w:szCs w:val="20"/>
                <w:color w:val="auto"/>
              </w:rPr>
            </w:pPr>
            <w:r>
              <w:rPr>
                <w:rFonts w:ascii="Arial" w:cs="Arial" w:eastAsia="Arial" w:hAnsi="Arial"/>
                <w:sz w:val="18"/>
                <w:szCs w:val="18"/>
                <w:color w:val="auto"/>
              </w:rPr>
              <w:t>F-7</w:t>
            </w: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Arial" w:cs="Arial" w:eastAsia="Arial" w:hAnsi="Arial"/>
                <w:sz w:val="18"/>
                <w:szCs w:val="18"/>
                <w:b w:val="1"/>
                <w:bCs w:val="1"/>
                <w:color w:val="auto"/>
              </w:rPr>
              <w:t>1.</w:t>
            </w:r>
          </w:p>
        </w:tc>
        <w:tc>
          <w:tcPr>
            <w:tcW w:w="9140" w:type="dxa"/>
            <w:vAlign w:val="bottom"/>
            <w:gridSpan w:val="2"/>
          </w:tcPr>
          <w:p>
            <w:pPr>
              <w:ind w:left="240"/>
              <w:spacing w:after="0"/>
              <w:rPr>
                <w:sz w:val="20"/>
                <w:szCs w:val="20"/>
                <w:color w:val="auto"/>
              </w:rPr>
            </w:pPr>
            <w:r>
              <w:rPr>
                <w:rFonts w:ascii="Arial" w:cs="Arial" w:eastAsia="Arial" w:hAnsi="Arial"/>
                <w:sz w:val="18"/>
                <w:szCs w:val="18"/>
                <w:b w:val="1"/>
                <w:bCs w:val="1"/>
                <w:color w:val="auto"/>
              </w:rPr>
              <w:t>Organization and Nature of Operations (Con’d)</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65"/>
        </w:trPr>
        <w:tc>
          <w:tcPr>
            <w:tcW w:w="220" w:type="dxa"/>
            <w:vAlign w:val="bottom"/>
          </w:tcPr>
          <w:p>
            <w:pPr>
              <w:spacing w:after="0"/>
              <w:rPr>
                <w:sz w:val="20"/>
                <w:szCs w:val="20"/>
                <w:color w:val="auto"/>
              </w:rPr>
            </w:pPr>
            <w:r>
              <w:rPr>
                <w:rFonts w:ascii="Arial" w:cs="Arial" w:eastAsia="Arial" w:hAnsi="Arial"/>
                <w:sz w:val="18"/>
                <w:szCs w:val="18"/>
                <w:b w:val="1"/>
                <w:bCs w:val="1"/>
                <w:color w:val="auto"/>
                <w:w w:val="90"/>
              </w:rPr>
              <w:t>(a)</w:t>
            </w:r>
          </w:p>
        </w:tc>
        <w:tc>
          <w:tcPr>
            <w:tcW w:w="914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Group (Cont’d)</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6"/>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Place and date of</w:t>
            </w:r>
          </w:p>
        </w:tc>
      </w:tr>
      <w:tr>
        <w:trPr>
          <w:trHeight w:val="175"/>
        </w:trPr>
        <w:tc>
          <w:tcPr>
            <w:tcW w:w="9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incorporation</w:t>
            </w:r>
          </w:p>
        </w:tc>
      </w:tr>
      <w:tr>
        <w:trPr>
          <w:trHeight w:val="169"/>
        </w:trPr>
        <w:tc>
          <w:tcPr>
            <w:tcW w:w="14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w w:val="88"/>
              </w:rPr>
              <w:t>Consolidated VIEs:</w:t>
            </w: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6"/>
        </w:trPr>
        <w:tc>
          <w:tcPr>
            <w:tcW w:w="9360" w:type="dxa"/>
            <w:vAlign w:val="bottom"/>
            <w:gridSpan w:val="3"/>
          </w:tcPr>
          <w:p>
            <w:pPr>
              <w:spacing w:after="0"/>
              <w:rPr>
                <w:sz w:val="20"/>
                <w:szCs w:val="20"/>
                <w:color w:val="auto"/>
              </w:rPr>
            </w:pPr>
            <w:r>
              <w:rPr>
                <w:rFonts w:ascii="Arial" w:cs="Arial" w:eastAsia="Arial" w:hAnsi="Arial"/>
                <w:sz w:val="18"/>
                <w:szCs w:val="18"/>
                <w:color w:val="auto"/>
              </w:rPr>
              <w:t>Guangzhou NetEase Computer System Co., Ltd. (“Guangzhou NetEase”)</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Guangzhou, China</w:t>
            </w:r>
          </w:p>
        </w:tc>
      </w:tr>
      <w:tr>
        <w:trPr>
          <w:trHeight w:val="222"/>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June 24, 1997</w:t>
            </w: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rPr>
              <w:t>Beijing Guangyitong Advertising Co., Ltd. (“Guangyitong Advertising”)</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Beijing, China</w:t>
            </w:r>
          </w:p>
        </w:tc>
      </w:tr>
      <w:tr>
        <w:trPr>
          <w:trHeight w:val="222"/>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8, 1999</w:t>
            </w: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w w:val="93"/>
              </w:rPr>
              <w:t>Beijing NetEase Youdao Computer System Co., Ltd. (Formerly known as Beijing NetEase Yodao Computer System Co., Ltd.)</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Beijing, China</w:t>
            </w:r>
          </w:p>
        </w:tc>
      </w:tr>
      <w:tr>
        <w:trPr>
          <w:trHeight w:val="222"/>
        </w:trPr>
        <w:tc>
          <w:tcPr>
            <w:tcW w:w="2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(“Youdao Computer”)</w:t>
            </w: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September 4, 2007</w:t>
            </w: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rPr>
              <w:t>Shanghai EaseNet Network Technology Limited (“SH EaseNet”)</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Shanghai, China</w:t>
            </w:r>
          </w:p>
        </w:tc>
      </w:tr>
      <w:tr>
        <w:trPr>
          <w:trHeight w:val="222"/>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January 3, 2008</w:t>
            </w: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w w:val="97"/>
              </w:rPr>
              <w:t>StormNet Information Technology (Hong Kong) Limited (Formerly known as “Hong Kong NetEase Computer Technology</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Hong Kong, China</w:t>
            </w:r>
          </w:p>
        </w:tc>
      </w:tr>
      <w:tr>
        <w:trPr>
          <w:trHeight w:val="222"/>
        </w:trPr>
        <w:tc>
          <w:tcPr>
            <w:tcW w:w="2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Limited”) (“StormNet IT HK”)</w:t>
            </w: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April 18, 2008</w:t>
            </w: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rPr>
              <w:t>StormNet Information Technology (Shanghai) Limited (“StormNet IT SH”)</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Shanghai, China</w:t>
            </w:r>
          </w:p>
        </w:tc>
      </w:tr>
      <w:tr>
        <w:trPr>
          <w:trHeight w:val="222"/>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December 9, 2008</w:t>
            </w:r>
          </w:p>
        </w:tc>
      </w:tr>
    </w:tbl>
    <w:p>
      <w:pPr>
        <w:spacing w:after="0" w:line="16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Group dissolved NetEase Information Technology (Shanghai) Co., Ltd. in February 2006. Guangzhou Ling Yi Electronics Technology Ltd., a VIE of the Group, was dissolved in August 2007.</w:t>
      </w:r>
    </w:p>
    <w:p>
      <w:pPr>
        <w:spacing w:after="0" w:line="132"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In September 2007, Guangzhou NetEase and three Chinese citizens incorporated a domestic enterprise, Youdao Computer, for the purpose of applying for an internet content provider license under the applicable Chinese telecommunication laws to operate the Group’s own proprietary internet search engine, Youdao.</w:t>
      </w:r>
    </w:p>
    <w:p>
      <w:pPr>
        <w:spacing w:after="0" w:line="62"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In November 2007, the Company incorporated two new investment holding companies in Hong Kong, namely Hong Kong NetEase Interactive and NetEase Hong Kong. These new investment holding companies have become the holding companies of the Company’s various foreign investment enterprises in China.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 (Cont’d)</w:t>
      </w:r>
    </w:p>
    <w:p>
      <w:pPr>
        <w:spacing w:after="0" w:line="15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The Group (Cont’d)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August 2008 and April 2009, Blizzard Entertainment, Inc. (“Blizzard”) agreed to license certain online games to SH EaseNet for operation in China. SH EaseNet is a PRC company owned by William Lei Ding, the Company’s Chief Executive Officer, director and major shareholder, and has contractual arrangements with the joint venture established between, and owned equally by, Blizzard and the Company, and with the Company. The joint venture was established concurrently with the licensing of the games in August 2008 and will provide technical services to SH EaseNet. The joint venture currently consists of two companies, StormNet IT HK and StormNet IT SH. SH EaseNet, StormNet IT HK and StormNet IT SH did not have significant operation in 2008.</w:t>
      </w:r>
    </w:p>
    <w:p>
      <w:pPr>
        <w:spacing w:after="0" w:line="1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June 2008, the Company incorporated Guangzhou Information in China, which will operate along with the Group’s other PRC subsidiaries in providing technical consulting and related services to the VIEs.</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Group is principally engaged in developing and providing a range of Internet-related services including online games, advertising and wireless value-added services and others in China. Details of the Group’s business are described in Note 1(b).</w:t>
      </w:r>
    </w:p>
    <w:p>
      <w:pPr>
        <w:spacing w:after="0" w:line="248"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industry in which the Group operates is subject to a number of industry-specific risk factors, including, but not limited to, rapidly changing technologies; stringent rules imposed by the mobile operators; significant numbers of new entrants; dependence on key individuals; competition of similar services from larger companies; customer preferences; and the need for the continued successful development, marketing and selling of its services.</w:t>
      </w:r>
    </w:p>
    <w:p>
      <w:pPr>
        <w:spacing w:after="0" w:line="107" w:lineRule="exact"/>
        <w:rPr>
          <w:sz w:val="20"/>
          <w:szCs w:val="20"/>
          <w:color w:val="auto"/>
        </w:rPr>
      </w:pPr>
    </w:p>
    <w:p>
      <w:pPr>
        <w:ind w:right="200"/>
        <w:spacing w:after="0" w:line="303" w:lineRule="auto"/>
        <w:rPr>
          <w:sz w:val="20"/>
          <w:szCs w:val="20"/>
          <w:color w:val="auto"/>
        </w:rPr>
      </w:pPr>
      <w:r>
        <w:rPr>
          <w:rFonts w:ascii="Arial" w:cs="Arial" w:eastAsia="Arial" w:hAnsi="Arial"/>
          <w:sz w:val="15"/>
          <w:szCs w:val="15"/>
          <w:color w:val="auto"/>
        </w:rPr>
        <w:t>The Group is currently targeting the Chinese market.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w:t>
      </w:r>
    </w:p>
    <w:p>
      <w:pPr>
        <w:spacing w:after="0" w:line="1"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To comply with the existing Chinese laws and regulations, the Company and certain of its subsidiaries have entered into a series of contractual arrangements with certain VIEs (see Note 1(a)) with respect to the operation of the NetEase websites in connection with the provision of online games, Internet content and wireless value-added services, as well as the provision of advertising services. The revenue earned by the VIEs largely flows through to the Company and its subsidiaries pursuant to the series of contractual arrangements. Based on these agreements, NetEase Beijing, Guangzhou Interactive, Boguan and NetEase Hangzhou provide technical consulting and related services to the VIEs. Guangzhou NetEase, Guangyitong Advertising, and Ling Yi (dissolved in August 2007) are legally owned by two citizens of China, one of whom is the principal shareholder of the Company and the other is his brother. Management believes that the Group’s present operations are structured to comply with the Chinese law. However, many Chinese regulations are subject to extensive interpretive powers of governmental agencies and commissions. The Group cannot be certain that the Chinese government will not take action to prohibit or restrict its business activities. Future changes in Chinese government policies affecting the provision of information services, including the provision of online services, Internet access, e-commerce services and online advertising, may impose additional regulatory requirements on the Group or its service providers or otherwise harm its business.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90"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VIEs for which the Company is the primary beneficiary with the ownership interests of minority investors reported as minority interests. All significant transactions and balances among the Company, its subsidiaries and VIEs have been eliminated upon consolidation. On January 1, 2004, the Company adopted Financial Accounting Standards Board (“FASB”) Interpretation No. 46 “Consolidation of Variable Interest Entities, an interpretation of ARB 51” (“FIN 46”), which was further revised in December 2003 (“FIN 46-R”). FIN 46-R requires a Company to consolidate a VIE if that Company will absorb a majority of the entities’ expected losses, receive a majority of the entity’s expected residual returns, or both.</w:t>
      </w:r>
    </w:p>
    <w:p>
      <w:pPr>
        <w:spacing w:after="0" w:line="26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 This basis of accounting differs from that used in the statutory accounts of the Company’s controlled entities and VIEs incorporated in China, which are prepared in accordance with accounting principles and the relevant financial regulations applicable to enterprises established in China (“PRC GAAP”).</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the ability to estimate lives of the permanent in-game items, the determination of whether sales prices are fixed or determinable and collection is probable or reasonably assured and the recoverability of accounts receivable, research and development costs, software development costs, deferred tax assets and the determination of uncertain tax positions, useful lives of property, equipment and software and intangibles, and fair value of the Company’s stock options.</w:t>
      </w:r>
    </w:p>
    <w:p>
      <w:pPr>
        <w:spacing w:after="0" w:line="23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Group recognizes revenue when persuasive evidence of an arrangement exists, delivery has occurred, the sales price is fixed or determinable and collectibility is reasonably assured.</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Revenues presented in the consolidated statements of operations and comprehensive income represent revenues from online game services, advertising services and wireless value-added services and others recognized by Guangzhou NetEase, Guangyitong Advertising and Ling Yi (dissolved in August 2007) net of sales discount.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(cont’d)</w:t>
      </w:r>
    </w:p>
    <w:p>
      <w:pPr>
        <w:spacing w:after="0" w:line="164"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Online game services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Group sells prepaid point cards through Guangzhou NetEase to the end user.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cards or bank transfers, and receive the prepaid point information over the Internet. Customers can use the points to play the Group’s online games, pay for in-game items and use other fee-based services. Proceeds received from the sales of prepaid point cards and online points to players are recorded as deferred revenues. The Group earns revenue through providing online game services to players under two types of revenue models: time-based revenue model and item-based revenue model. For online games using the time-based model, players are charged based on the time they spend playing games.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item-based model, the basic game play functions are free of charge, and players are charged for purchases of in-game items. Revenues from the sales of in-game items are recognized when the items are consumed by the customers or over the estimated lives of the in-game items. The Company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in-game items. The Group assesses the estimated lives of the permanent in-game items for the item-based games on a quarterly basis. Adjustments arising from the changes of estimated lives of permanent in-game items are applied prospectively as such changes are resulted from new information indicating a change in the game player behavior patterns.</w:t>
      </w:r>
    </w:p>
    <w:p>
      <w:pPr>
        <w:spacing w:after="0" w:line="24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Advertising services</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Group derives its advertising revenues principally from short-term advertising contracts. With respect to the advertising contracts that do not include a fixed delivery pattern for the advertising services, recognition of revenues is deferred until completion of the contracts. For the advertising contracts with a fixed delivery pattern, revenues are recognized ratably over the period in which the advertisement is displayed and only if collection of the resulting receivables is probable. The Group’s obligations may also include guarantees of a minimum number of impressions or times that an advertisement appears in pages viewed by users. To the extent that minimum guaranteed impressions are not met within the contractual time period, the Group defers recognition of the corresponding revenues until the remaining guaranteed impression levels are achieved. In addition, Guangyitong Advertising occasionally enters into “cost per action” (“CPA”) advertising contracts and receives fees when an online user performs a specific action such as purchasing a product from or registering with the advertiser. Revenue for CPA contracts is recognized when the specific action is completed.</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 has adopted the consensus reached in Emerging Issue Task Force (“EITF”) 99-17 to account for advertising barter transactions. According to EITF 99-17, revenue and expense should be recognized at fair value from a barter transaction involving advertising services provided by the Group only if the fair value of the advertising services surrendered in the transaction is determinable based on the entity’s own historical practice of receiving cash, marketable securities, or other consideration that is readily convertible to a known amount of cash for similar advertising from buyers unrelated to the counterparty in the barter transaction.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(cont’d)</w:t>
      </w:r>
    </w:p>
    <w:p>
      <w:pPr>
        <w:spacing w:after="0" w:line="164"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Advertising services (cont’d)</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years ended December 31, 2006, 2007 and 2008, the Group engaged in certain advertising barter transactions for which the fair value was not determinable within the limits of EITF 99-17 and APB 29, as amended by FAS 153 and therefore no revenues or expenses derived from these barter transactions were recognized. These transactions primarily involved exchanges of advertising services rendered by the Group for advertising, promotional benefits, content, consulting services and software provided by the counterparties.</w:t>
      </w:r>
    </w:p>
    <w:p>
      <w:pPr>
        <w:spacing w:after="0" w:line="26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Wireless value-added services and others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substantial portion of the Group’s revenue from wireless value-added services (“WVAS”) is predominantly derived from activities related to short messaging services (“SMS”) and non-SMS services such as multimedia messaging, wireless application protocol and interactive voice response services. The Group derives WVAS revenues principally from providing value-added services such as friends matching, news and information services, ring-tone and logo downloads and various other related products to mobile phone users under co-operative arrangements with mobile phone operators. WVAS revenues recognized by the Group represent its share of the revenues under these co-operative arrangements net of the amounts retained by the mobile phone operators for their services performed. The Group recognizes revenue under these co-operative arrangements in the month in which the services are performed based on the monthly confirmation from the mobile phone operators for the service period when the message, content or service is delivered. Where a confirmation has not been received from a mobile phone operator, the Group estimates the revenue, as well as the amounts of billing and transmission failures, applicable to the services provided through that operator and recognizes the estimated revenue net of estimated billing and transmission failures.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fee-based premium services revenues, operated on a monthly subscription basis, are derived principally from providing premium e-mail, friends matching and dating services and photo services. Prepaid subscription revenues are deferred and are recognized by the Group on a straight-line basis over the period in which the services are provided.</w:t>
      </w:r>
    </w:p>
    <w:p>
      <w:pPr>
        <w:spacing w:after="0" w:line="256"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Costs of online game services, advertising services and wireless value-added services and others consist primarily of staff costs of those departments directly involved in providing such services, depreciation and amortization of computers and software, server custody fees, bandwidth, business tax paid by the Company and its subsidiaries on intra-group revenues from the VIEs and other direct costs of providing these services. These costs are charged to the consolidated statements of operations and comprehensive income as incurred.</w:t>
      </w:r>
    </w:p>
    <w:p>
      <w:pPr>
        <w:spacing w:after="0" w:line="259"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recognizes costs to develop its online game products in accordance with Statement of Financial Accounting Standards (“SFAS”) No. 86, “Accounting for Costs of Computer Software to be Sold, Leased or Otherwise Marketed”. Costs incurred for the development of online game products prior to the establishment of technological feasibility are expensed when incurred.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 (cont’d)</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Once an online game has reached technological feasibility with a proven ability to operate in the Chinese market, all subsequent online game development costs are capitalized until that game is marketed. Technical feasibility is evaluated on a product-by-product basis, but typically encompasses both technical design and game design documentation. The costs incurred for development of on-line game products are not capitalized because the period before the date technical feasibility is reached and the time when the game is marketed is short historically and the development cost incurred in the period are insignificant. All online game development costs have been expensed when incurred for the years ended December 31, 2006, 2007 and 2008.</w:t>
      </w:r>
    </w:p>
    <w:p>
      <w:pPr>
        <w:spacing w:after="0" w:line="1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Group recognizes website and internally used software development costs in accordance with Statement of Position (“SOP”) No. 98-1, “Accounting for the Costs of Computer Software Developed or Obtained for Internal Use”. Accordingly, the Group expenses all costs that are incurred in connection with the planning and implementation phases of development and costs that are associated with repair or maintenance of the existing websites and software. Direct costs incurred to develop the software during the application development stage that can provide future benefits are capitalized.</w:t>
      </w:r>
    </w:p>
    <w:p>
      <w:pPr>
        <w:spacing w:after="0" w:line="228"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time deposits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Cash represents cash on hand and demand deposits placed with large reputable banks or financial institutions in Hong Kong or China with terms of less than three months. As of December 31, 2007, there were demand deposits with terms of less than three months denominated in US dollars and HK dollars amounting to US$265.6 million and approximately HK$17,000, respectively (equivalent to approximately RMB1.8 billion and RMB15,000, respectively). As of December 31, 2008, there were demand deposits with terms of less than three months denominated in US dollars and HK dollars amounting to US$84.3 million and approximately HK$249,000, respectively (equivalent to approximately RMB575.5 million and RMB220,000, respectively).</w:t>
      </w:r>
    </w:p>
    <w:p>
      <w:pPr>
        <w:spacing w:after="0" w:line="116"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Time deposits represent time deposits placed with banks with original maturities of three months or more. As of December 31, 2007, there were time deposits denominated in US dollars amounting to US$0.4 million (equivalent to approximately RMB2.5 million). As of December 31, 2008, there were time deposits denominated in US dollars and Euro amounting to US$31.5 million and Euro77.1 million (equivalent to approximately RMB214.7 million and 745.0 million, respectively).</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December 31, 2006, the Company had a lien in an amount of US$50,000 on its deposit balance with respect to its corporate credit card servicing agreement with a commercial bank in Hong Kong. The lien was cancelled as a result of the Company’s termination of the corporate credit card servicing agreement with the commercial bank in December 2007. The Company had no lien arrangement during 2008.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Group’s financial instruments, including cash and time deposits with maturity terms no longer than one year, accounts receivable and accounts payable, are carried at cost as of the balance sheet dates. The carrying values approximate their fair values due to the short maturities of these instruments.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Investment in unlisted debt securities is classified as available-for-sale, included in other long-term assets and reported at fair value using the specific identification method. Unrealized gains and losses are excluded from earnings and reported as a component of other comprehensive income (loss), net of related estimated tax provisions or benefits. The Company assesses its available-for-sale investments for other-than-temporary impairment by considering factors including, but not limited to, current economic and market conditions, the operating performance of the companies including current earnings trends and undiscounted cash flows and other company-specific information. The valuation process is based on information that the Company receives from the privately-held company. This information is not subject to the same disclosure requirements as U.S. publicly traded companies, and as such, the basis for valuation is subject to the timing and the accuracy of the data received from this company. A decline in fair value that is considered other-than-temporary is recorded as an impairment of investment in the consolidated statements of operations and comprehensive income.</w:t>
      </w:r>
    </w:p>
    <w:p>
      <w:pPr>
        <w:spacing w:after="0" w:line="234"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associated companies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Investments in associated companies in which the Company is in a position to exercise significant influence by participating in, but not controlling or jointly controlling, the financial and operating policies are accounted for using the equity method and are reported under other long-term assets in the consolidated balance sheets.</w:t>
      </w:r>
    </w:p>
    <w:p>
      <w:pPr>
        <w:spacing w:after="0" w:line="256"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ectPr>
          <w:pgSz w:w="11900" w:h="16838" w:orient="portrait"/>
          <w:cols w:equalWidth="0" w:num="1">
            <w:col w:w="11280"/>
          </w:cols>
          <w:pgMar w:left="240" w:top="459" w:right="3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Furniture, fixtures and office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lesser of the term of the lease and the estimated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useful lives of the assets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5-10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years</w:t>
      </w:r>
    </w:p>
    <w:p>
      <w:pPr>
        <w:spacing w:after="0" w:line="165" w:lineRule="exact"/>
        <w:rPr>
          <w:sz w:val="20"/>
          <w:szCs w:val="20"/>
          <w:color w:val="auto"/>
        </w:rPr>
      </w:pPr>
    </w:p>
    <w:p>
      <w:pPr>
        <w:sectPr>
          <w:pgSz w:w="11900" w:h="16838" w:orient="portrait"/>
          <w:cols w:equalWidth="0" w:num="2">
            <w:col w:w="5240" w:space="720"/>
            <w:col w:w="5320"/>
          </w:cols>
          <w:pgMar w:left="240" w:top="459" w:right="379" w:bottom="1440" w:gutter="0" w:footer="0" w:header="0"/>
          <w:type w:val="continuous"/>
        </w:sectPr>
      </w:pPr>
    </w:p>
    <w:p>
      <w:pPr>
        <w:ind w:right="220"/>
        <w:spacing w:after="0" w:line="332" w:lineRule="auto"/>
        <w:rPr>
          <w:sz w:val="20"/>
          <w:szCs w:val="20"/>
          <w:color w:val="auto"/>
        </w:rPr>
      </w:pPr>
      <w:r>
        <w:rPr>
          <w:rFonts w:ascii="Arial" w:cs="Arial" w:eastAsia="Arial" w:hAnsi="Arial"/>
          <w:sz w:val="16"/>
          <w:szCs w:val="16"/>
          <w:color w:val="auto"/>
        </w:rPr>
        <w:t>Costs associated with the Company’s current project for the construction of a research and development center in Hangzhou are capitalized in construction in progress to the extent they are incurred for the purposes of bringing the construction development to a usable state.</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Repairs and maintenance expenditures, which are not considered improvement and do not extend the useful life of the property and equipment, are expensed as incurred.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80"/>
          </w:cols>
          <w:pgMar w:left="240" w:top="459" w:right="3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 (Cont’d)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the Company retires or disposes its property, equipment and software, it records any gain or loss arising from the retirement or disposal under Other, net in its consolidated statements of operations and comprehensive income.</w:t>
      </w:r>
    </w:p>
    <w:p>
      <w:pPr>
        <w:spacing w:after="0" w:line="248"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expenses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Group recognizes advertising expenses in accordance with AICPA SOP 93-7 “Reporting on Advertising Costs”. As such, the Group expenses the costs of producing advertisements at the time production occurs, and expenses the cost of communicating advertising in the period in which the advertising space or airtime is used. Advertising expenses totaled approximately RMB20.7 million, RMB52.1 million and RMB12.1 million for the years ended December 31, 2006, 2007 and 2008, respectively.</w:t>
      </w:r>
    </w:p>
    <w:p>
      <w:pPr>
        <w:spacing w:after="0" w:line="25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functional currency of the Group is RMB. Transactions denominated in currencies other than RMB are translated into RMB at the exchange rates quoted by the People’s Bank of China (the “PBOC”) prevailing at the dates of the transactions. Monetary assets and liabilities denominated in foreign currencies are translated into RMB using the applicable exchange rates quoted by the PBOC at the balance sheet dates. The resulting exchange differences are included in the consolidated statements of operations and comprehensive income.</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financial records of one of the Company’s previously owned subsidiary were maintained in US dollars, which was its functional currency. For consolidation purposes, the assets and liabilities of such entity were translated at the exchange rates at the balance sheet dates, equity accounts were translated at historical exchange rates and revenues, expenses, gains and losses were translated using the average exchange rate for the year. Translation adjustments were reported as cumulative translation adjustments and were shown as a separate component of the accumulated other comprehensive income in the consolidated statements of shareholders’ equity. The cumulative translation adjustments of RMB 210,838 were charged to the consolidated statements of operations and comprehensive income upon the dissolution of that subsidiary in 2006.</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Translations of amounts from RMB into United States dollars for the convenience of the reader were calculated at the noon buying rate of US$1.00 = RMB6.8225 on December 31, 2008 in The City of New York for cable transfers of RMB as certified for customs purposes by the Federal Reserve Bank of New York. No representation is made that the RMB amounts could have been, or could be, converted into United States dollars at such rate.</w:t>
      </w:r>
    </w:p>
    <w:p>
      <w:pPr>
        <w:spacing w:after="0" w:line="222"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Effective January 1, 2006, the Company adopted the fair value recognition provisions of SFAS No. 123 (revised 2004), “Stock-Based Payment” (“SFAS 123R”), which revises SFAS 123, “Accounting-Based Compensation” (“SFAS 123”) and supersedes Accounting Principles Board Opinion No. 25, “Accounting for Stock Issued to Employees” (“APB 25”). Under the fair value recognition provisions of SFAS 123R, the Company is required to measure the cost of employee services received in exchange for stock-based compensation measured at the grant date fair value of the award.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recognizes the stock-based compensation costs, net of a forfeiture rate, on a straight-line basis over the requisite service period of the award, which is the vesting term (generally three to four years for stock options).</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adopted the Black-Scholes option pricing model to determine the fair value of stock options under SFAS 123R. The Company elected to implement SFAS 123R using the modified-prospective method, with no restatement of prior results. Under the modified prospective method, the valuation provisions of SFAS 123R applied to new grants and to grants that were outstanding as of the effective date. Estimated compensation expense for grants that were outstanding as of the effective date is recognized over the remaining service period using the compensation cost estimated for the SFAS 123R pro forma disclosures. SFAS 123R requires forfeitures to be estimated at the time of grant and revised, if necessary, in subsequent periods if actual forfeitures differ from those estimates.</w:t>
      </w:r>
    </w:p>
    <w:p>
      <w:pPr>
        <w:spacing w:after="0" w:line="14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Forfeitures were estimated based on the Company’s weighted average historical forfeiture rate to date. Differences between actual and estimated forfeitures are expensed in the period that the differences occur. Prior to the adoption of SFAS 123R, the Company accounted for forfeitures as they occurred. See Note 17 for further information regarding stock-based compensation assumptions and expense.</w:t>
      </w:r>
    </w:p>
    <w:p>
      <w:pPr>
        <w:spacing w:after="0" w:line="256"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Deferred income taxes are provided using the balance sheet liability method. Under this method, deferred income taxes are recognized for the tax consequences of significant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purposes. The effect on deferred taxes of a change in tax rates is recognized in income in the period that includes the enactment date. A valuation allowance is provided to reduce the amount of deferred tax assets if it is considered more likely than not that some portion of, or all of, the deferred tax assets will not be realized.</w:t>
      </w:r>
    </w:p>
    <w:p>
      <w:pPr>
        <w:spacing w:after="0" w:line="1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adopted FASB Interpretation No. 48, “Accounting for Uncertainty in Income Taxes—an Interpretation of FASB Statement No. 109” (“FIN 48”), on January 1, 2007. FIN 48 clarifies the accounting for uncertainty in income taxes recognized in the Company’s financial statements in accordance with FASB Statement 109, “Accounting for Income Taxes”, and prescribes a more likely than not threshold for financial statement recognition and measurement of a tax position taken or expected to be taken in a tax return. It also provides guidance on derecognition of income tax assets and liabilities, classification of current and deferred income tax assets and liabilities, accounting for interest and penalties associated with tax positions, accounting for income taxes in interim periods, and income tax disclosures. The Company did not have any adjustment to the opening balance of retained earnings as of January 1, 2007, as a result of the implementation of FIN 48. As of December 31, 2007 and 2008, the Company did not have any significant unrecognized uncertain tax positions. The Company did not incur any interest and penalties associated with tax positions for the years ended December 31, 2007 and 2008,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classifies deferred tax liabilities and assets into current and non-current based on the classification of the related asset or liability for financial reporting. A deferred tax liability or asset that is not related to an asset or liability for financial reporting, including deferred tax assets related to tax loss carryforwards, shall be classified according to the expected reversal date of the temporary difference pursuant to SFAS No. 37, “Balance Sheet Classification of Deferred Income Taxes”. The valuation allowance for a particular tax jurisdiction is allocated between current and non-current deferred tax assets for that tax jurisdiction on a pro rata basis. For a particular tax-paying component of an enterprise and within a particular tax jurisdiction, (a) all current deferred tax liabilities and assets are offset and presented as a single amount and (b) all non-current deferred tax liabilities and assets are offset and presented as a single amount. The Company does not offset deferred tax liabilities and assets attributable to different tax-paying components of the enterprise or to different tax jurisdictions.</w:t>
      </w:r>
    </w:p>
    <w:p>
      <w:pPr>
        <w:spacing w:after="0" w:line="23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 (“EPS”) and per American Depositary Share (“ADS”)</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accordance with SFAS No. 128, “Computation of Earnings Per Share,” basic EPS is computed by dividing net profit attributable to ordinary shareholders by the weighted average number of ordinary shares outstanding during the year. Diluted EPS is calculated using the weighted average number of ordinary and dilutive ordinary equivalent shares outstanding during the year. Ordinary equivalent shares consist of the ordinary shares issuable upon conversion of the Convertible Notes (using the if-converted method) and ordinary shares issuable upon the exercise of outstanding stock options (using the treasury stock method).</w:t>
      </w:r>
    </w:p>
    <w:p>
      <w:pPr>
        <w:spacing w:after="0" w:line="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Effective from March 27, 2006, the Company changed its ADS to ordinary share ratio from the one ADS for every 100 ordinary shares to one ADS for every 25 ordinary shares.</w:t>
      </w:r>
    </w:p>
    <w:p>
      <w:pPr>
        <w:spacing w:after="0" w:line="13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When calculating the fully diluted earnings per ADS for the years ended December 31, 2006, 2007 and 2008, the Company adopted the consensus reached on EITF Issue No. 04-08, “The Effect of Contingently Convertible Instruments on Diluted Earnings per Share”. EITF 04-08 is applicable to the Company because the conversion of its Convertible Notes depends on, among other things, whether the market price of the Company’s ADS exceeds a pre-scripted conversion price. Application of the consensus requires the dilutive impact of the Convertible Notes to be included in the calculation of diluted earnings per share, notwithstanding whether the Company’s market prices of the Company’s ADS at each balance sheet date exceeds the pre-scripted conversion price of the Convertible Notes.</w:t>
      </w:r>
    </w:p>
    <w:p>
      <w:pPr>
        <w:spacing w:after="0" w:line="26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subsidiaries and VIEs incorporated in China are required to make appropriations to certain non-distributable statutory reserves. In accordance with the laws applicable to China’s Foreign Investment Enterprises,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two reserve funds is at the discretion of the board of directors of the respective company.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(Cont’d)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same time, the Company’s VIEs, in accordance with the China Company Laws, must make appropriations from its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general reserve fund and statutory surplus fund are restricted for set off against losses, expansion of production and operation or increase in the registered capital of the respective companies. The enterprise expansion fund can be used to expand production or to increase capital. The staff bonus and welfare fund is available to fund payments of special bonuses to staff and for collective welfare benefits. Upon approval by the Board of Directors, the discretionary surplus can be used to offset accumulated losses or to increase capital.</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32"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Company’s subsidiaries and VIEs incorporated in China did not make appropriation to enterprise expansion fund, staff bonus and welfare fund or discretionary surplus fund for the years ended December 31, 2006, 2007 and 2008.</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presents the Group’s appropriations to general reserve fund and statutory surplus fund for the years ended December 31, 2006, 2007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0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6"/>
              </w:rPr>
              <w:t>For the year ended December 31,</w:t>
            </w:r>
          </w:p>
        </w:tc>
      </w:tr>
      <w:tr>
        <w:trPr>
          <w:trHeight w:val="142"/>
        </w:trPr>
        <w:tc>
          <w:tcPr>
            <w:tcW w:w="84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1160" w:type="dxa"/>
            <w:vAlign w:val="bottom"/>
            <w:tcBorders>
              <w:top w:val="single" w:sz="8" w:color="auto"/>
            </w:tcBorders>
            <w:gridSpan w:val="2"/>
          </w:tcPr>
          <w:p>
            <w:pPr>
              <w:jc w:val="center"/>
              <w:ind w:left="419"/>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129"/>
        </w:trPr>
        <w:tc>
          <w:tcPr>
            <w:tcW w:w="84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1"/>
                <w:szCs w:val="11"/>
                <w:color w:val="auto"/>
              </w:rPr>
            </w:pPr>
          </w:p>
        </w:tc>
      </w:tr>
      <w:tr>
        <w:trPr>
          <w:trHeight w:val="161"/>
        </w:trPr>
        <w:tc>
          <w:tcPr>
            <w:tcW w:w="8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 million)</w:t>
            </w:r>
          </w:p>
        </w:tc>
        <w:tc>
          <w:tcPr>
            <w:tcW w:w="5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(in million)</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 million)</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NetEase Beijing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Boguan</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Guangzhou NetEase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NetEase Hangzhou</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For the years ended December 31, 2007 and 2008, NetEase Beijing, Guangzhou Interactive and Boguan did not make appropriations to statutory reserves as their cumulative appropriations in the past have already reached the statutory limit, namely 50% of the registered capital of the respective companies. The Company’s other controlled entities and VIEs incorporated in China did not make appropriations to statutory reserves for the years ended December 31, 2006, 2007 and 2008 as a result of their respective accumulated loss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w:t>
      </w:r>
    </w:p>
    <w:p>
      <w:pPr>
        <w:spacing w:after="0" w:line="201"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Comprehensive income is defined as the change in equity of the Company during a period arising from transactions and other events and circumstances excluding transactions resulting from investments by shareholders and distributions to shareholders.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was no income tax expense/benefit associated with the reported component of other comprehensive income for the years ended December 31, 2006, 2007 and 2008.</w:t>
      </w:r>
    </w:p>
    <w:p>
      <w:pPr>
        <w:spacing w:after="0" w:line="248"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SFAS No. 131 “Disclosures about Segments of an Enterprise and Related Information” (“SFAS 131”), establishes standards for reporting information about operating segments on a basis consistent with the Group’s internal organizational structure as well as information about geographical areas, business segments and major customers in financial statements (see Note 21) for details on the Group’s business segments.</w:t>
      </w:r>
    </w:p>
    <w:p>
      <w:pPr>
        <w:spacing w:after="0" w:line="222"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2007, the FASB issued SFAS No. 141 (revised 2007), “Business Combinations “ (“SFAS 141R”). This statement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fiscal years beginning after December 15, 2008. Adoption is prospective and early adoption is not permitted. Accordingly, any business combinations the Company engages in will be recorded and disclosed following existing US GAAP until January 1, 2009. Adoption of SFAS 141R will not impact the Company’s accounting for business combinations closed prior to its adoption. The Company believes that the adoption of SFAS 141R will not have a material impact on its consolidated financial statements.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(“SFAS 160”). This Statement amends Accounting Research Bulletin No. 51, Consolidated Financial Statements,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It requires consolidated net income to be reported at amounts that include the amounts attributable to both the parent and the noncontrolling interest. This statement establishes a single method of accounting for changes in a parent’s ownership interest in a subsidiary that do not result in deconsolidation. SFAS 160 is effective for fiscal years beginning after December 15, 2008. The Company believes that the adoption of SFAS 160 will not have a material impact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(Cont’d)</w:t>
      </w:r>
    </w:p>
    <w:p>
      <w:pPr>
        <w:spacing w:after="0" w:line="158"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(Cont’d)</w:t>
      </w:r>
    </w:p>
    <w:p>
      <w:pPr>
        <w:spacing w:after="0" w:line="164"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In December 2007, the SEC issued Staff Accounting Bulletin No. 110 (“SAB 110) relating to SFAS 123R which provides that in developing an estimate of expected term of “plain vanilla” share options in accordance with SFAS 123R, under certain circumstances, the use of the simplified method beyond December 31, 2007 will remain acceptable. This SAB is effective January 1, 2008. The adoption of SAB 110 has not resulted in a material impact on the Company’s consolidated financial statements.</w:t>
      </w:r>
    </w:p>
    <w:p>
      <w:pPr>
        <w:spacing w:after="0" w:line="14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SFAS 161 expands the disclosure requirements about an entity’s derivative instruments and hedging activities. SFAS 161 is effective for financial statements issued for fiscal years and interim periods beginning after November 15, 2008. The Company believes that the adoption of SFAS 161 will not have a material impact on its consolidated financial statements.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paragraph 11(d) of Statement 142 so that an entity will use its own assumptions about renewal or extension of an arrangement, adjusted for the entity-specific factors even when there is likely to be substantial cost or material modifications. In addition FSP FAS 142-3 expands the required disclosure requirements about the accounting policy on the treatment of costs incurred to renew or extend the term of a recognized intangible asset, the weighted-average period prior to the next renewal or extension by major intangible asset class and the total amount of costs incurred in the period to renew or extend the term of a recognized intangible asset by major intangible asset class. This FSP shall be effective for financial statements issued for fiscal years beginning after December 15, 2008, and interim periods within those fiscal years. Early adoption is prohibited. The Company believes that the adoption of FAS 142-3 will not have a material impact on its consolidated financial statements.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2008, the FASB issued FASB Staff Position APB 14-1, “Accounting for Convertible Instruments That May Be Settled in Cash upon Conversion (Including Partial Cash Settlement)” (“FSP APB 14-1”). FSP APB 14-1 requires issuers to account separately for the liability and equity components of certain convertible debt instruments in a manner that reflects the issuer’s nonconvertible debt (unsecured debt) borrowing rate when interest cost is recognized. FSP APB 14-1 requires bifurcation of a component of the debt, classification of that component in equity and the accretion of the resulting discount on the debt to be recognized as part of interest expense in a company’s consolidated statement of operations. FSP APB 14-1 requires retrospective application to the terms of instruments as they existed for all periods presented. FSP APB 14-1 is effective as of January 1, 2009 and early adoption is not permitted. See Note 14 for further information.</w:t>
      </w:r>
    </w:p>
    <w:p>
      <w:pPr>
        <w:spacing w:after="0" w:line="14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SFAS 162 identifies the sources of accounting principles and the framework for selecting the principles to be used in the preparation of financial statements that are presented in conformity with generally accepted accounting principles in the United States. This statement is effective 60 days following the SEC’s approval of the Public Company Accounting Oversight Board amendments to AU Section 411, “The Meaning of Present Fairly in Conformity with Generally Accepted Accounting Principles.” The Company does not expect SFAS 162 to have a material impact on its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90"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Bandwidth and server custody service provider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Group relies on two telecommunications service providers and their affiliates for bandwidth and server custody service.</w:t>
      </w:r>
    </w:p>
    <w:p>
      <w:pPr>
        <w:spacing w:after="0" w:line="287"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typically unsecured and are generally derived from revenue earned from advertising services.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Group’s significant customers with a receivable balance exceeding 10% of the total accounts receivable balance as of December 31, 2007 and 2008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6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740" w:type="dxa"/>
            <w:vAlign w:val="bottom"/>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Customer B</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bl>
    <w:p>
      <w:pPr>
        <w:spacing w:after="0" w:line="1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With respect to the account receivable balances of the above-mentioned significant customers, the Company set up an allowance for doubtful accounts totaling approximately RMB40,000 and RMB6.0 million as of December 31, 2007 and 2008, respectively.</w:t>
      </w:r>
    </w:p>
    <w:p>
      <w:pPr>
        <w:spacing w:after="0" w:line="248"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the Company’s total revenues for the years ended December 31, 2006, 2007 and 2008.</w:t>
      </w:r>
    </w:p>
    <w:p>
      <w:pPr>
        <w:spacing w:after="0" w:line="287"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Online Games</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derived a combined total of 84.6%, 81.4% and 73.5% of its total net revenues for the years ended December 31, 2006, 2007 and 2008, respectively from two massively multi-player online role-playing games (“MMORPG”), Westward Journey Online II and Fantasy Westward Journey.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movements of the allowance for doubtful accounts for the years ended December 31, 2006, 2007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Write-off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receivable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(write-back</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balances and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against) cost</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corresponding</w:t>
            </w:r>
          </w:p>
        </w:tc>
        <w:tc>
          <w:tcPr>
            <w:tcW w:w="120" w:type="dxa"/>
            <w:vAlign w:val="bottom"/>
          </w:tcPr>
          <w:p>
            <w:pPr>
              <w:spacing w:after="0"/>
              <w:rPr>
                <w:sz w:val="12"/>
                <w:szCs w:val="12"/>
                <w:color w:val="auto"/>
              </w:rPr>
            </w:pPr>
          </w:p>
        </w:tc>
        <w:tc>
          <w:tcPr>
            <w:tcW w:w="13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January 1,</w:t>
            </w:r>
          </w:p>
        </w:tc>
        <w:tc>
          <w:tcPr>
            <w:tcW w:w="3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and expenses</w:t>
            </w: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provisions</w:t>
            </w:r>
          </w:p>
        </w:tc>
        <w:tc>
          <w:tcPr>
            <w:tcW w:w="120" w:type="dxa"/>
            <w:vAlign w:val="bottom"/>
          </w:tcPr>
          <w:p>
            <w:pPr>
              <w:spacing w:after="0"/>
              <w:rPr>
                <w:sz w:val="14"/>
                <w:szCs w:val="14"/>
                <w:color w:val="auto"/>
              </w:rPr>
            </w:pPr>
          </w:p>
        </w:tc>
        <w:tc>
          <w:tcPr>
            <w:tcW w:w="1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06"/>
              <w:spacing w:after="0" w:line="142" w:lineRule="exact"/>
              <w:rPr>
                <w:sz w:val="20"/>
                <w:szCs w:val="20"/>
                <w:color w:val="auto"/>
              </w:rPr>
            </w:pPr>
            <w:r>
              <w:rPr>
                <w:rFonts w:ascii="Arial" w:cs="Arial" w:eastAsia="Arial" w:hAnsi="Arial"/>
                <w:sz w:val="14"/>
                <w:szCs w:val="14"/>
                <w:b w:val="1"/>
                <w:bCs w:val="1"/>
                <w:color w:val="auto"/>
                <w:w w:val="93"/>
              </w:rPr>
              <w:t>RMB</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21,673,437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7,487,619</w:t>
            </w: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(5,093,832)</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24,067,224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2007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24,067,224</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(5,334,898)</w:t>
            </w:r>
          </w:p>
        </w:tc>
        <w:tc>
          <w:tcPr>
            <w:tcW w:w="1180" w:type="dxa"/>
            <w:vAlign w:val="bottom"/>
            <w:gridSpan w:val="3"/>
          </w:tcPr>
          <w:p>
            <w:pPr>
              <w:ind w:left="120"/>
              <w:spacing w:after="0"/>
              <w:rPr>
                <w:sz w:val="20"/>
                <w:szCs w:val="20"/>
                <w:color w:val="auto"/>
              </w:rPr>
            </w:pPr>
            <w:r>
              <w:rPr>
                <w:rFonts w:ascii="Arial" w:cs="Arial" w:eastAsia="Arial" w:hAnsi="Arial"/>
                <w:sz w:val="18"/>
                <w:szCs w:val="18"/>
                <w:color w:val="auto"/>
              </w:rPr>
              <w:t>(6,099,416)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12,632,910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12,632,910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8,604,654</w:t>
            </w: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(1,390,030)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19,847,534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98"/>
        </w:trPr>
        <w:tc>
          <w:tcPr>
            <w:tcW w:w="440" w:type="dxa"/>
            <w:vAlign w:val="bottom"/>
          </w:tcPr>
          <w:p>
            <w:pPr>
              <w:spacing w:after="0"/>
              <w:rPr>
                <w:sz w:val="20"/>
                <w:szCs w:val="20"/>
                <w:color w:val="auto"/>
              </w:rPr>
            </w:pPr>
            <w:r>
              <w:rPr>
                <w:rFonts w:ascii="Arial" w:cs="Arial" w:eastAsia="Arial" w:hAnsi="Arial"/>
                <w:sz w:val="18"/>
                <w:szCs w:val="18"/>
                <w:b w:val="1"/>
                <w:bCs w:val="1"/>
                <w:color w:val="auto"/>
              </w:rPr>
              <w:t>5.</w:t>
            </w:r>
          </w:p>
        </w:tc>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Prepayments and Other Current Assets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440" w:type="dxa"/>
            <w:vAlign w:val="bottom"/>
            <w:gridSpan w:val="3"/>
          </w:tcPr>
          <w:p>
            <w:pPr>
              <w:spacing w:after="0"/>
              <w:rPr>
                <w:sz w:val="20"/>
                <w:szCs w:val="20"/>
                <w:color w:val="auto"/>
              </w:rPr>
            </w:pPr>
            <w:r>
              <w:rPr>
                <w:rFonts w:ascii="Arial" w:cs="Arial" w:eastAsia="Arial" w:hAnsi="Arial"/>
                <w:sz w:val="18"/>
                <w:szCs w:val="18"/>
                <w:color w:val="auto"/>
              </w:rPr>
              <w:t>The following is a summary of prepayments and other current assets: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4"/>
                <w:szCs w:val="2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jc w:val="center"/>
              <w:ind w:left="761"/>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top w:val="single" w:sz="8" w:color="auto"/>
            </w:tcBorders>
            <w:gridSpan w:val="2"/>
          </w:tcPr>
          <w:p>
            <w:pPr>
              <w:jc w:val="center"/>
              <w:ind w:left="226"/>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8,517,856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37,358,852</w:t>
            </w:r>
          </w:p>
        </w:tc>
        <w:tc>
          <w:tcPr>
            <w:tcW w:w="20" w:type="dxa"/>
            <w:vAlign w:val="bottom"/>
          </w:tcPr>
          <w:p>
            <w:pPr>
              <w:spacing w:after="0"/>
              <w:rPr>
                <w:sz w:val="18"/>
                <w:szCs w:val="18"/>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Prepaid income taxes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11,811,099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26,715,775</w:t>
            </w:r>
          </w:p>
        </w:tc>
        <w:tc>
          <w:tcPr>
            <w:tcW w:w="20" w:type="dxa"/>
            <w:vAlign w:val="bottom"/>
          </w:tcPr>
          <w:p>
            <w:pPr>
              <w:spacing w:after="0"/>
              <w:rPr>
                <w:sz w:val="18"/>
                <w:szCs w:val="18"/>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Prepayments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14,948,030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21,395,540</w:t>
            </w:r>
          </w:p>
        </w:tc>
        <w:tc>
          <w:tcPr>
            <w:tcW w:w="20" w:type="dxa"/>
            <w:vAlign w:val="bottom"/>
          </w:tcPr>
          <w:p>
            <w:pPr>
              <w:spacing w:after="0"/>
              <w:rPr>
                <w:sz w:val="18"/>
                <w:szCs w:val="18"/>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Prepayment for royalties—current portion (see Note 9)</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4,578,278</w:t>
            </w:r>
          </w:p>
        </w:tc>
        <w:tc>
          <w:tcPr>
            <w:tcW w:w="20" w:type="dxa"/>
            <w:vAlign w:val="bottom"/>
          </w:tcPr>
          <w:p>
            <w:pPr>
              <w:spacing w:after="0"/>
              <w:rPr>
                <w:sz w:val="18"/>
                <w:szCs w:val="18"/>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advances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3,389,976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7,862,834</w:t>
            </w:r>
          </w:p>
        </w:tc>
        <w:tc>
          <w:tcPr>
            <w:tcW w:w="20" w:type="dxa"/>
            <w:vAlign w:val="bottom"/>
          </w:tcPr>
          <w:p>
            <w:pPr>
              <w:spacing w:after="0"/>
              <w:rPr>
                <w:sz w:val="18"/>
                <w:szCs w:val="18"/>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Consumables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1,201,133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627,376</w:t>
            </w:r>
          </w:p>
        </w:tc>
        <w:tc>
          <w:tcPr>
            <w:tcW w:w="20" w:type="dxa"/>
            <w:vAlign w:val="bottom"/>
          </w:tcPr>
          <w:p>
            <w:pPr>
              <w:spacing w:after="0"/>
              <w:rPr>
                <w:sz w:val="18"/>
                <w:szCs w:val="18"/>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and rental deposits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2,960,514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2,966,829</w:t>
            </w:r>
          </w:p>
        </w:tc>
        <w:tc>
          <w:tcPr>
            <w:tcW w:w="20" w:type="dxa"/>
            <w:vAlign w:val="bottom"/>
          </w:tcPr>
          <w:p>
            <w:pPr>
              <w:spacing w:after="0"/>
              <w:rPr>
                <w:sz w:val="18"/>
                <w:szCs w:val="18"/>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2,315,120</w:t>
            </w:r>
          </w:p>
        </w:tc>
        <w:tc>
          <w:tcPr>
            <w:tcW w:w="10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2,586,567</w:t>
            </w:r>
          </w:p>
        </w:tc>
        <w:tc>
          <w:tcPr>
            <w:tcW w:w="20" w:type="dxa"/>
            <w:vAlign w:val="bottom"/>
          </w:tcPr>
          <w:p>
            <w:pPr>
              <w:spacing w:after="0"/>
              <w:rPr>
                <w:sz w:val="19"/>
                <w:szCs w:val="19"/>
                <w:color w:val="auto"/>
              </w:rPr>
            </w:pPr>
          </w:p>
        </w:tc>
      </w:tr>
      <w:tr>
        <w:trPr>
          <w:trHeight w:val="216"/>
        </w:trPr>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45,143,728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104,092,051</w:t>
            </w:r>
          </w:p>
        </w:tc>
        <w:tc>
          <w:tcPr>
            <w:tcW w:w="2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2007 and 2008, one of the Group’s subsidiaries reported prepaid income taxes of RMB11.8 million and RMB26.7 million, respectively. Such prepaid income taxes are computed based on the regular income tax payable in excess of the preferred tax rate granted to the said subsidiary as a certified software enterprise for fiscal years 2007 and 2008. According to the tax administration procedures in China, the excess tax payments for a fiscal year are refunded to the enterprise only when the enterprise completes its tax return filing for the fiscal year concerned, which is due within five months after the enterprise’s fiscal year end.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Current Assets (Cont’d)</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amount of employee advances listed above included staff housing loan balances of RMB2.2 million and RMB3.2 million repayable within 12 months from December 31, 2007 and 2008, respectively (see Note 9). No advances were made directly or indirectly to the Company’s executive officers for their personal benefit for the years ended December 31, 2007 and 2008.</w:t>
      </w:r>
    </w:p>
    <w:p>
      <w:pPr>
        <w:spacing w:after="0" w:line="256"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property, equipment and software: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9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8,159,389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jc w:val="right"/>
              <w:spacing w:after="0"/>
              <w:rPr>
                <w:sz w:val="20"/>
                <w:szCs w:val="20"/>
                <w:color w:val="auto"/>
              </w:rPr>
            </w:pPr>
            <w:r>
              <w:rPr>
                <w:rFonts w:ascii="Arial" w:cs="Arial" w:eastAsia="Arial" w:hAnsi="Arial"/>
                <w:sz w:val="18"/>
                <w:szCs w:val="18"/>
                <w:color w:val="auto"/>
              </w:rPr>
              <w:t>66,425,573</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66,785,388</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24,005,783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27,424,810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Vehicles</w:t>
            </w:r>
          </w:p>
        </w:tc>
        <w:tc>
          <w:tcPr>
            <w:tcW w:w="940" w:type="dxa"/>
            <w:vAlign w:val="bottom"/>
          </w:tcPr>
          <w:p>
            <w:pPr>
              <w:jc w:val="right"/>
              <w:spacing w:after="0"/>
              <w:rPr>
                <w:sz w:val="20"/>
                <w:szCs w:val="20"/>
                <w:color w:val="auto"/>
              </w:rPr>
            </w:pPr>
            <w:r>
              <w:rPr>
                <w:rFonts w:ascii="Arial" w:cs="Arial" w:eastAsia="Arial" w:hAnsi="Arial"/>
                <w:sz w:val="18"/>
                <w:szCs w:val="18"/>
                <w:color w:val="auto"/>
              </w:rPr>
              <w:t>2,109,341</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2,208,654</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334,952,146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362,109,725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Software</w:t>
            </w:r>
          </w:p>
        </w:tc>
        <w:tc>
          <w:tcPr>
            <w:tcW w:w="940" w:type="dxa"/>
            <w:vAlign w:val="bottom"/>
          </w:tcPr>
          <w:p>
            <w:pPr>
              <w:jc w:val="right"/>
              <w:spacing w:after="0"/>
              <w:rPr>
                <w:sz w:val="20"/>
                <w:szCs w:val="20"/>
                <w:color w:val="auto"/>
              </w:rPr>
            </w:pPr>
            <w:r>
              <w:rPr>
                <w:rFonts w:ascii="Arial" w:cs="Arial" w:eastAsia="Arial" w:hAnsi="Arial"/>
                <w:sz w:val="18"/>
                <w:szCs w:val="18"/>
                <w:color w:val="auto"/>
              </w:rPr>
              <w:t>25,455,213</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26,823,213</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3,479,318</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113,073,932</w:t>
            </w:r>
          </w:p>
        </w:tc>
        <w:tc>
          <w:tcPr>
            <w:tcW w:w="100" w:type="dxa"/>
            <w:vAlign w:val="bottom"/>
            <w:shd w:val="clear" w:color="auto" w:fill="CCEEFF"/>
          </w:tcPr>
          <w:p>
            <w:pPr>
              <w:spacing w:after="0"/>
              <w:rPr>
                <w:sz w:val="18"/>
                <w:szCs w:val="18"/>
                <w:color w:val="auto"/>
              </w:rPr>
            </w:pPr>
          </w:p>
        </w:tc>
      </w:tr>
      <w:tr>
        <w:trPr>
          <w:trHeight w:val="221"/>
        </w:trPr>
        <w:tc>
          <w:tcPr>
            <w:tcW w:w="9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463,227,374</w:t>
            </w:r>
          </w:p>
        </w:tc>
        <w:tc>
          <w:tcPr>
            <w:tcW w:w="3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606,585,111</w:t>
            </w:r>
          </w:p>
        </w:tc>
      </w:tr>
      <w:tr>
        <w:trPr>
          <w:trHeight w:val="218"/>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(279,755,708)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(347,797,577)</w:t>
            </w:r>
          </w:p>
        </w:tc>
      </w:t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Net book value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183,471,666</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258,787,534</w:t>
            </w:r>
          </w:p>
        </w:tc>
        <w:tc>
          <w:tcPr>
            <w:tcW w:w="10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RMB78.4 million, RMB99.1 million and RMB89.8 million for the years ended 2006, 2007 and 2008, respectively.</w:t>
      </w:r>
    </w:p>
    <w:p>
      <w:pPr>
        <w:spacing w:after="0" w:line="1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occupies a building in Guangzhou with floor space of approximately 20,000 square meters which is owned by a third party property developer. Title for the property has not yet been granted by the local government authorities, and William Lei Ding, the Company’s Chief Executive Officer, director and major shareholder, has agreed to indemnify the Company for any losses or expenses it may incur due to the absence of the title. In addition, Mr. Ding has paid a deposit to the property developer and agreed to purchase the property once the title is issued. The Company and Mr. Ding had negotiated with the property developer to return Mr. Ding’s deposit and grant the Company the right to purchase the property upon the title being issued. However, these negotiations have been unsuccessful to date, and it is noted that the property developer has mortgaged his interest in the property. In February 2009, the Company and</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Ding agreed that Mr. Ding would initiate certain arbitration proceedings against the property developer to demand that the developer discharge the mortgage and complete registration for the transfer of title to Mr. Ding who has agreed to on-sell the property to NetEase at cost. In March 2009, the Company deposited RMB82.0 million with a court in Guangzhou, China as a security deposit for this arbitration under the relevant Chinese legal requirements. The amount to be refunded will depend on the outcome of the arbitration.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 (Cont’d)</w:t>
      </w:r>
    </w:p>
    <w:p>
      <w:pPr>
        <w:spacing w:after="0" w:line="16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From the date the Company commenced occupying this property in July 2006 to the present, the Company has not paid any rent for its occupation of this property. The Company has incurred expenses for various improvements to the property and installation of equipment in the aggregate amount of approximately RMB70.1 million (US$10.3 million) as of December 31, 2008. Although the Company has not currently paid any rent for this property, it reported imputed rent (based on the prevailing market rental) in its consolidated statement of operations and comprehensive income in the amount of RMB3.7 million for 2006 and RMB9.4 million each for 2007 and 2008. The provision of the imputed rent was reported under accounts payable in the Company’s consolidated balance sheets.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2007, the Company initiated a project to construct a new research and development center in Hangzhou, China. As of December 31, 2007 and 2008, the Company reported total costs of construction in progress for its new research and development center totaling RMB3.5 million and RMB111.7 million, respectively. In addition, the Company reported a construction in progress balance of RMB1.4 million as of December 31, 2008, primarily related to its enterprise resource planning project which was completed in mid-February of 2009.</w:t>
      </w:r>
    </w:p>
    <w:p>
      <w:pPr>
        <w:spacing w:after="0" w:line="25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acquired the land use right in 2007 for the purposes of constructing a new research and development center in Hangzhou, China. Amortization of the land use right is made over the remaining term of the land use right period of 50 years from March 13, 2008 when the Company first obtained the land use right certificate from the local authorities. The land use right will be fully amortized by August 31, 2057.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26,956,800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26,956,800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Additional payment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822,182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Incentive payment from Hangzhou local government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(15,000,000)</w:t>
            </w: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(215,497)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8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26,956,800</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12,563,485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for License Right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August 2008, Blizzard agreed to license to SH EaseNet on an exclusive basis in China three personal computer strategy games: StarCraft II, a sequel to</w:t>
      </w:r>
    </w:p>
    <w:p>
      <w:pPr>
        <w:spacing w:after="0" w:line="3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Blizzard’s highly popular space-themed game, which is currently in development; Warcraft III: Reign of Chaos, a fantasy-themed game; and Warcraft III: The Frozen Throne, an expansion pack to Warcraft III: Reign of Chaos. Blizzard will also license on an exclusive basis its Battle.net platform which enables multiplayer interaction within these games and other online services. The term of the license will be three years, with an additional one year extension upon agreement of the parties, commencing from the commercial release of StarCraft II in China. StarCraft II has not been launched yet. On behalf of SH EaseNet as licensee of the games, the Company has paid to Blizzard US$4.0 million (RMB27.5 million) as an initial license fee as of December 31, 2008 and recorded the payment as prepayment for license right. The Company will start amortizing the prepayment for license right over the expected remaining term of the contract upon the commercial release of StarCraft II in China.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04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r>
      <w:tr>
        <w:trPr>
          <w:trHeight w:val="142"/>
        </w:trPr>
        <w:tc>
          <w:tcPr>
            <w:tcW w:w="94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associated companies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33,480,329</w:t>
            </w:r>
          </w:p>
        </w:tc>
        <w:tc>
          <w:tcPr>
            <w:tcW w:w="20" w:type="dxa"/>
            <w:vAlign w:val="bottom"/>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920" w:type="dxa"/>
            <w:vAlign w:val="bottom"/>
          </w:tcPr>
          <w:p>
            <w:pPr>
              <w:jc w:val="right"/>
              <w:spacing w:after="0"/>
              <w:rPr>
                <w:sz w:val="20"/>
                <w:szCs w:val="20"/>
                <w:color w:val="auto"/>
              </w:rPr>
            </w:pPr>
            <w:r>
              <w:rPr>
                <w:rFonts w:ascii="Arial" w:cs="Arial" w:eastAsia="Arial" w:hAnsi="Arial"/>
                <w:sz w:val="18"/>
                <w:szCs w:val="18"/>
                <w:color w:val="auto"/>
              </w:rPr>
              <w:t>8,626,900</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royalties - non-current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14,972,244</w:t>
            </w:r>
          </w:p>
        </w:tc>
        <w:tc>
          <w:tcPr>
            <w:tcW w:w="20" w:type="dxa"/>
            <w:vAlign w:val="bottom"/>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Staff housing loans</w:t>
            </w:r>
          </w:p>
        </w:tc>
        <w:tc>
          <w:tcPr>
            <w:tcW w:w="920" w:type="dxa"/>
            <w:vAlign w:val="bottom"/>
          </w:tcPr>
          <w:p>
            <w:pPr>
              <w:jc w:val="right"/>
              <w:spacing w:after="0"/>
              <w:rPr>
                <w:sz w:val="20"/>
                <w:szCs w:val="20"/>
                <w:color w:val="auto"/>
              </w:rPr>
            </w:pPr>
            <w:r>
              <w:rPr>
                <w:rFonts w:ascii="Arial" w:cs="Arial" w:eastAsia="Arial" w:hAnsi="Arial"/>
                <w:sz w:val="18"/>
                <w:szCs w:val="18"/>
                <w:color w:val="auto"/>
              </w:rPr>
              <w:t>6,137,041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8,825,961</w:t>
            </w:r>
          </w:p>
        </w:tc>
        <w:tc>
          <w:tcPr>
            <w:tcW w:w="2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132,774</w:t>
            </w:r>
          </w:p>
        </w:tc>
        <w:tc>
          <w:tcPr>
            <w:tcW w:w="20" w:type="dxa"/>
            <w:vAlign w:val="bottom"/>
          </w:tcPr>
          <w:p>
            <w:pPr>
              <w:spacing w:after="0"/>
              <w:rPr>
                <w:sz w:val="18"/>
                <w:szCs w:val="18"/>
                <w:color w:val="auto"/>
              </w:rPr>
            </w:pPr>
          </w:p>
        </w:tc>
      </w:tr>
      <w:tr>
        <w:trPr>
          <w:trHeight w:val="222"/>
        </w:trPr>
        <w:tc>
          <w:tcPr>
            <w:tcW w:w="9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16,844,399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57,411,308</w:t>
            </w:r>
          </w:p>
        </w:tc>
      </w:tr>
      <w:tr>
        <w:trPr>
          <w:trHeight w:val="20"/>
        </w:trPr>
        <w:tc>
          <w:tcPr>
            <w:tcW w:w="9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2008, the Company acquired a 38.5% equity interest in SunEase, Inc., a provider of email integration solution and corporate email post office operation services, sales of domain names and search engine marketing, for a consideration of approximately RMB31.0 million in cash. The investment was accounted for under the equity method of accounting and resulted in goodwill of RMB14.0 million.</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RMB</w:t>
            </w:r>
          </w:p>
        </w:tc>
      </w:tr>
      <w:tr>
        <w:trPr>
          <w:trHeight w:val="142"/>
        </w:trPr>
        <w:tc>
          <w:tcPr>
            <w:tcW w:w="86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Allocation of the purchase price was as follows: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Tangible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12,050</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6,722</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14,046</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(1,818)</w:t>
            </w:r>
          </w:p>
        </w:tc>
      </w:tr>
      <w:tr>
        <w:trPr>
          <w:trHeight w:val="222"/>
        </w:trPr>
        <w:tc>
          <w:tcPr>
            <w:tcW w:w="8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above intangible assets consisted of trade name, customer contracts and relationships and technology valued at RMB2.3 million, 2.8 million and 1.6 million, respectively.</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recorded equity share of losses from associated companies totaling RMB0.6 million and RMB2.0 million for the years ended December 31, 2007 and 2008, respectively.</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February 2006, the Company acquired at par value of US$1.0 million (RMB6.8 million) interest-bearing convertible notes (“the notes”) issued by a privately-held enterprise. The notes maturing on February 10, 2010 bear interest at the United States federal funds rate payable annually. The notes are classified as available-for-sale investments. The fair value of the notes was approximately RMB8.6 million as of December 31, 2007. As a result, the Company recorded an unrealized gain of RMB1.3 million associated with the investment as part of in its comprehensive income for the year ended December 31,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Assets (Cont’d)</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October 2008, the Company and this privately-held enterprise and another company associated with this privately-held enterprise from which the Company licensed certain technologies to operate its item-based game, entered into a three-party agreement whereby the Company agreed to pay US$3 million (equivalent to RMB20.5 million) to the licensing company for releasing the Company’s obligation to pay any further royalties under the original agreement. Payment of the US$3 million was partially satisfied by the discharge of the interest bearing convertible notes issued to the Company by this privately-held enterprise. The original agreement was entered into by the licensor and the Company in August 2003. Under the original agreement, the Company was granted a non-exclusive license to use certain licensed technology in the design, development and operation of the games for an up-front non-cancellable and non-refundable license fee and a quarterly royalty fee computed based on a fixed percentage of the gross revenues of the Company’s game developed using the licensed technology. As a result of the foregoing-mentioned three-party agreement, the Company recorded a prepayment for royalties totaling RMB20.5 million, which can be summarized as follows:</w:t>
      </w:r>
    </w:p>
    <w:p>
      <w:pPr>
        <w:sectPr>
          <w:pgSz w:w="11900" w:h="16838" w:orient="portrait"/>
          <w:cols w:equalWidth="0" w:num="1">
            <w:col w:w="11420"/>
          </w:cols>
          <w:pgMar w:left="240" w:top="460" w:right="239" w:bottom="1440" w:gutter="0" w:footer="0" w:header="0"/>
        </w:sectPr>
      </w:pPr>
    </w:p>
    <w:p>
      <w:pPr>
        <w:spacing w:after="0" w:line="3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Discharge of interest-bearing convertible notes,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Previously reported unrealized gains on investments in account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Total amount of prepayment for royalties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transactions related to the prepayment for royalties for the year ended December 31, 2008:</w:t>
      </w:r>
    </w:p>
    <w:p>
      <w:pPr>
        <w:spacing w:after="0" w:line="3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 for royalties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Amortization</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Current portion (see Note 5)</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RMB</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8,132,451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(1,332,300)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13,687,749</w:t>
      </w:r>
    </w:p>
    <w:p>
      <w:pPr>
        <w:spacing w:after="0" w:line="53" w:lineRule="exact"/>
        <w:rPr>
          <w:sz w:val="20"/>
          <w:szCs w:val="20"/>
          <w:color w:val="auto"/>
        </w:rPr>
      </w:pPr>
    </w:p>
    <w:p>
      <w:pPr>
        <w:jc w:val="center"/>
        <w:ind w:right="1020"/>
        <w:spacing w:after="0"/>
        <w:rPr>
          <w:sz w:val="20"/>
          <w:szCs w:val="20"/>
          <w:color w:val="auto"/>
        </w:rPr>
      </w:pPr>
      <w:r>
        <w:rPr>
          <w:rFonts w:ascii="Arial" w:cs="Arial" w:eastAsia="Arial" w:hAnsi="Arial"/>
          <w:sz w:val="15"/>
          <w:szCs w:val="15"/>
          <w:u w:val="single" w:color="auto"/>
          <w:color w:val="auto"/>
        </w:rPr>
        <w:t>20,487,900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5060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RMB</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20,487,900</w:t>
      </w:r>
    </w:p>
    <w:p>
      <w:pPr>
        <w:spacing w:after="0" w:line="24"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(937,378)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060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jc w:val="right"/>
        <w:ind w:right="1020"/>
        <w:spacing w:after="0"/>
        <w:rPr>
          <w:sz w:val="20"/>
          <w:szCs w:val="20"/>
          <w:color w:val="auto"/>
        </w:rPr>
      </w:pPr>
      <w:r>
        <w:rPr>
          <w:rFonts w:ascii="Arial" w:cs="Arial" w:eastAsia="Arial" w:hAnsi="Arial"/>
          <w:sz w:val="15"/>
          <w:szCs w:val="15"/>
          <w:color w:val="auto"/>
        </w:rPr>
        <w:t>19,550,522</w:t>
      </w:r>
    </w:p>
    <w:p>
      <w:pPr>
        <w:spacing w:after="0" w:line="50" w:lineRule="exact"/>
        <w:rPr>
          <w:sz w:val="20"/>
          <w:szCs w:val="20"/>
          <w:color w:val="auto"/>
        </w:rPr>
      </w:pPr>
    </w:p>
    <w:p>
      <w:pPr>
        <w:jc w:val="right"/>
        <w:ind w:right="1020"/>
        <w:spacing w:after="0"/>
        <w:rPr>
          <w:sz w:val="20"/>
          <w:szCs w:val="20"/>
          <w:color w:val="auto"/>
        </w:rPr>
      </w:pPr>
      <w:r>
        <w:rPr>
          <w:rFonts w:ascii="Arial" w:cs="Arial" w:eastAsia="Arial" w:hAnsi="Arial"/>
          <w:sz w:val="16"/>
          <w:szCs w:val="16"/>
          <w:u w:val="single" w:color="auto"/>
          <w:color w:val="auto"/>
        </w:rPr>
        <w:t>4,578,278</w:t>
      </w:r>
    </w:p>
    <w:p>
      <w:pPr>
        <w:spacing w:after="0" w:line="53" w:lineRule="exact"/>
        <w:rPr>
          <w:sz w:val="20"/>
          <w:szCs w:val="20"/>
          <w:color w:val="auto"/>
        </w:rPr>
      </w:pPr>
    </w:p>
    <w:p>
      <w:pPr>
        <w:jc w:val="center"/>
        <w:ind w:right="1020"/>
        <w:spacing w:after="0"/>
        <w:rPr>
          <w:sz w:val="20"/>
          <w:szCs w:val="20"/>
          <w:color w:val="auto"/>
        </w:rPr>
      </w:pPr>
      <w:r>
        <w:rPr>
          <w:rFonts w:ascii="Arial" w:cs="Arial" w:eastAsia="Arial" w:hAnsi="Arial"/>
          <w:sz w:val="15"/>
          <w:szCs w:val="15"/>
          <w:u w:val="single" w:color="auto"/>
          <w:color w:val="auto"/>
        </w:rPr>
        <w:t>14,972,244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5060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880" w:space="720"/>
            <w:col w:w="1820"/>
          </w:cols>
          <w:pgMar w:left="240" w:top="460" w:right="239" w:bottom="1440" w:gutter="0" w:footer="0" w:header="0"/>
          <w:type w:val="continuous"/>
        </w:sectPr>
      </w:pPr>
    </w:p>
    <w:p>
      <w:pPr>
        <w:spacing w:after="0" w:line="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recorded the current portion of the prepayment for royalties of RMB4.6 million under prepayments and other current assets (see Note 5) and reported the remaining balance of prepaid royalties under other long-term assets. The royalties are expected to be fully amortized over an expected useful life of approximately 3 years.</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staff housing loans represent loans granted to the Company’s employees (excluding executive officers) for house purchases via a third-party commercial bank in China. The Company extended housing loans to its employees totaling RMB5.3 million and RMB6.3 million for the years ended December 31, 2007 and 2008, respectively. Individual staff housing loan is secured either by the property for which the loan is extended or by approved personal guarantees for the loan amount granted. The repayment term ranges between two to five years from the date of drawdown. The interest rates ranged between 2.25% to 3.6% and 3.6% to</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4.1% per annum for the years ended December 31, 2007 and 2008, respectively. The current portion of the staff housing loans amounted to approximately RMB2.2 million and RMB3.2 million repayable within 12 months from December 31, 2007 and 2008, respectively, and are reported under prepayments and other current assets in the consolidated balance sheets (see Note 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90"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Cayman Islands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 Additionally, upon payments of dividends by the Company to its shareholders, no Cayman Islands withholding tax will be imposed.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NetEase Interactive is exempted from income tax on its foreign-derived income in the BVI. There are no withholding taxes in the BVI.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Hong Kong NetEase Interactive, NetEase Hong Kong and StormNet IT HK are subject to 17.5% and 16.5% income tax for 2007 and 2008, respectively, on their taxable income generated from operation in Hong Kong. The payment of dividends by Hong Kong NetEase Interactive, NetEase Hong Kong and StormNet IT HK to the Company are not subject to any Hong Kong withholding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“the Income Tax Law of the People’s Republic of China concerning Foreign Investment Enterprises and Foreign Enterprises and local income tax laws” (“the previous income tax laws”) prevailing prior to January 1, 2008, foreign invested enterprises were generally subject to a national and local enterprise income tax (“EIT”) at the statutory rates of 30% and 3%, respectively.</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 March 16, 2007, the National People’s Congress of PRC enacted the Corporate Income Tax Law, under which Foreign Investment Enterprises (“FIEs”) and domestic companies would be subject to EIT at a uniform rate of 25%. Preferential tax treatments will continue to be granted to FIEs or domestic companies which conduct businesses in certain encouraged sectors and to entities otherwise classified as “Software Enterprises” and/or “High and New Technology Enterprises”. The Corporate Income Tax Law became effective on January 1, 2008.</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Corporate Income Tax Law provides a five-year transition period for FIEs to gradually increase their tax rates to the uniform tax rate of 25% for those entities established before March 16, 2007, which enjoyed a favorable income tax rate of less than 25% under the previous income tax laws. In addition, the Corporate Income Tax Law provides grandfather treatment for enterprises which were qualified as “High and New Technology Enterprises” (“HNTEs”) under the previous income tax laws and were established before March 16, 2007, if they continue to be recognized as HNTEs under the Corporate Income Tax Law. The grandfather provision allows these enterprises to continue to enjoy their unexpired tax holiday provided by the previous income tax laws.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158"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(cont’d)</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accordance with the “Working Guidelines for Assessment of High and New Technology Enterprises” issued by the Chinese tax authorities on July 8, 2008, certain of the Company’s PRC subsidiaries proceeded with their applications for the assessment as HNTEs. Upon completion of the assessment process, the Company’s subsidiaries were included in the published HNTEs list of the Science and Technology Department/Commission issued before the end of December 2008. These subsidiaries received certificates dated December 2008 from the relevant tax authorities confirming their respective HNTEs tax status from 2008 to 2010.</w:t>
      </w:r>
    </w:p>
    <w:p>
      <w:pPr>
        <w:spacing w:after="0" w:line="1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Under the previous income tax laws, NetEase Beijing was recognized as an “Advanced Technology Enterprise” and entitled to a reduced EIT rate of 10% for 2006 to 2007 and a full exemption from the local income tax for 2006 and 2007. Based on the HNTEs status granted under the Corporate Income Tax Law, NetEase Beijing will enjoy the preferential tax rate of 15% from 2008 to 2010.</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Guangzhou Interactive was recognized as a “Software Enterprise” and a “High and New Technology Enterprise” respectively under the previous income tax laws and subject to a reduced EIT rate of 7.5% from 2005 to 2007. In 2006, Guangzhou Interactive received tax-exemption from the local tax rate of 3% from 2005 to 2007. In addition to the HNTEs status granted under the Corporate Income Tax Law, Guangzhou Interactive was qualified as “Key Software Enterprise” in 2008 and it therefore enjoyed a preferential tax rate of 10% for 2008.</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Boguan was recognized as a “Software Enterprise” in September 2005 under the previous income tax laws. It was exempted from EIT on its profits for 2006 and 2007, and subject to a 50% reduction in EIT from 2008 to 2010. Boguan was subject to a 3% local income tax rate for 2006 and it was exempted from the 3% local income tax for 2007. In addition, Boguan was granted the HNTEs tax status and therefore was able to enjoy the preferential tax rate of 15% for 2008 to 2010. Boguan paid its corporate income tax at a rate of 12.5% for the first three quarters of 2008 on the understanding that when it was granted the HNTEs tax status in 2008, its would be entitled to a preferential tax rate of 7.5% based on the interpretation of the grandfather provisions under the Corporate Income Tax Law and the related implementation guidelines. This rate was calculated by applying the 50% reduction for Software Enterprises against the 15% preferred tax rate applicable to its HNTEs status. When Boguan was granted the HNTEs tax status in December 2008, the relevant local tax authority duly refunded the excess income tax paid which was computed on the basis of applying the preferred tax rate of 7.5%. Following the issuance of a new tax circular by the State Administration of Taxation in April 2009, the local tax authority notified Boguan in June 2009 to pay the income tax liability for 2008 at the rate of 12.5%. The decision is based on the interpretation of the new circular issued by the State Administration of Taxation in April 2009 that the 50% reduction for Software Enterprises is made against the uniform corporate income rate of 25%, instead of the 15% preferred tax rate applicable to Boguan’s HNTEs status. As such, Boguan recorded an additional tax payable of RMB23.3 million in June 2009.</w:t>
      </w:r>
    </w:p>
    <w:p>
      <w:pPr>
        <w:spacing w:after="0" w:line="1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NetEase Hangzhou was recognized as a “Software Enterprise” in April 2007 and as a “High and New Technology Enterprise” in September 2007 under the previous income tax laws. It was exempted from EIT on its profits for 2007 and 2008. NetEase Hangzhou was subject to a 3% local income tax rate for 2007. Based on the HNTEs status granted under the Corporate Income Tax Law in December, 2008, NetEase Hangzhou will enjoy the preferential tax rate of 15% for 2008 to 2010.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158"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Youdao Information was recognized as a “High and New Technology Enterprise” under previous income tax laws in May 2007. According to an approval granted by the Haidian State Tax Bureau in August 2007, Youdao Information was entitled to a full exemption from EIT in 2007. The applicable tax rate for Youdao Information was 25% in 2008 under the Corporate Income Tax Law.</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Guangyitong Advertising, Ling Yi (dissolved in August 2007) and Youdao Computer (formed in September 2007) are subject to EIT at an overall income tax rate of 33% in 2006 and 2007. Guangzhou NetEase was recognized as a “High and New Technology Enterprise” under previous income tax laws in December 2004. Hence, Guangzhou NetEase was subject to a reduced income tax rate of 15% from 2004 to 2007. Effective January 1, 2008, Guangyitong Advertising, Guangzhou NetEase, SH EaseNet and StormNet IT SH are subject to EIT at the uniform rate of 25% under the Corporate Income Tax Law. Youdao Computer was subject to an EIT rate of 20% in 2008 under the Corporate Income Tax Law.</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presents the increase to net income resulting from the combined effects of EIT exemptions and tax rate reductions enjoyed by the Group for the years ended December 31, 2006, 2007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For the year ended December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Borders>
              <w:top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2006</w:t>
            </w:r>
          </w:p>
        </w:tc>
        <w:tc>
          <w:tcPr>
            <w:tcW w:w="1160" w:type="dxa"/>
            <w:vAlign w:val="bottom"/>
            <w:tcBorders>
              <w:top w:val="single" w:sz="8" w:color="auto"/>
            </w:tcBorders>
            <w:gridSpan w:val="2"/>
          </w:tcPr>
          <w:p>
            <w:pPr>
              <w:jc w:val="center"/>
              <w:ind w:left="16"/>
              <w:spacing w:after="0" w:line="142" w:lineRule="exact"/>
              <w:rPr>
                <w:sz w:val="20"/>
                <w:szCs w:val="20"/>
                <w:color w:val="auto"/>
              </w:rPr>
            </w:pPr>
            <w:r>
              <w:rPr>
                <w:rFonts w:ascii="Arial" w:cs="Arial" w:eastAsia="Arial" w:hAnsi="Arial"/>
                <w:sz w:val="14"/>
                <w:szCs w:val="14"/>
                <w:b w:val="1"/>
                <w:bCs w:val="1"/>
                <w:color w:val="auto"/>
                <w:w w:val="83"/>
              </w:rPr>
              <w:t>2007</w:t>
            </w:r>
          </w:p>
        </w:tc>
        <w:tc>
          <w:tcPr>
            <w:tcW w:w="1140" w:type="dxa"/>
            <w:vAlign w:val="bottom"/>
            <w:tcBorders>
              <w:top w:val="single" w:sz="8" w:color="auto"/>
            </w:tcBorders>
            <w:gridSpan w:val="2"/>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NetEase Beijing</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147,620,463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108,490,470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64,139,220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Guangzhou Interactive</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184,338,309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182,582,163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84,624,284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Boguan</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61,667,029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53,846,047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77,336,648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NetEase Hangzhou</w:t>
            </w:r>
          </w:p>
        </w:tc>
        <w:tc>
          <w:tcPr>
            <w:tcW w:w="4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14,801,867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51,802,637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Guangzhou NetEase</w:t>
            </w:r>
          </w:p>
        </w:tc>
        <w:tc>
          <w:tcPr>
            <w:tcW w:w="4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Aggregate amount</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393,625,801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360,052,726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277,902,789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effect, basic</w:t>
            </w:r>
          </w:p>
        </w:tc>
        <w:tc>
          <w:tcPr>
            <w:tcW w:w="4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Earnings per share effect, diluted</w:t>
            </w: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5180" w:type="dxa"/>
            <w:vAlign w:val="bottom"/>
            <w:gridSpan w:val="2"/>
          </w:tcPr>
          <w:p>
            <w:pPr>
              <w:jc w:val="right"/>
              <w:ind w:right="3161"/>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158"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 of income tax expenses of the Company for the years ended December 31, 2006, 2007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340" w:type="dxa"/>
            <w:vAlign w:val="bottom"/>
            <w:gridSpan w:val="6"/>
          </w:tcPr>
          <w:p>
            <w:pPr>
              <w:ind w:left="7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8100" w:type="dxa"/>
            <w:vAlign w:val="bottom"/>
          </w:tcPr>
          <w:p>
            <w:pPr>
              <w:spacing w:after="0"/>
              <w:rPr>
                <w:sz w:val="12"/>
                <w:szCs w:val="12"/>
                <w:color w:val="auto"/>
              </w:rPr>
            </w:pPr>
          </w:p>
        </w:tc>
        <w:tc>
          <w:tcPr>
            <w:tcW w:w="9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8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144,281,973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114,144,437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253,519,461</w:t>
            </w:r>
          </w:p>
        </w:tc>
        <w:tc>
          <w:tcPr>
            <w:tcW w:w="20" w:type="dxa"/>
            <w:vAlign w:val="bottom"/>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Deferred tax (benefit)/expense, net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(11,796,430)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(405,416)</w:t>
            </w:r>
          </w:p>
        </w:tc>
        <w:tc>
          <w:tcPr>
            <w:tcW w:w="980" w:type="dxa"/>
            <w:vAlign w:val="bottom"/>
          </w:tcPr>
          <w:p>
            <w:pPr>
              <w:jc w:val="right"/>
              <w:spacing w:after="0"/>
              <w:rPr>
                <w:sz w:val="20"/>
                <w:szCs w:val="20"/>
                <w:color w:val="auto"/>
              </w:rPr>
            </w:pPr>
            <w:r>
              <w:rPr>
                <w:rFonts w:ascii="Arial" w:cs="Arial" w:eastAsia="Arial" w:hAnsi="Arial"/>
                <w:sz w:val="18"/>
                <w:szCs w:val="18"/>
                <w:color w:val="auto"/>
              </w:rPr>
              <w:t>12,947,470</w:t>
            </w:r>
          </w:p>
        </w:tc>
        <w:tc>
          <w:tcPr>
            <w:tcW w:w="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Reinvestment incentive tax refund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(54,360,610)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Adjustments of a deferred tax asset for enacted changes in tax laws (see Note 10(c))</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(41,564,699)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of a deferred tax asset for a change in the tax status of the enterprise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(15,124,403)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34,206,390</w:t>
            </w:r>
          </w:p>
        </w:tc>
        <w:tc>
          <w:tcPr>
            <w:tcW w:w="20" w:type="dxa"/>
            <w:vAlign w:val="bottom"/>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Income tax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132,485,543</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2,689,309</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300,673,321</w:t>
            </w:r>
          </w:p>
        </w:tc>
        <w:tc>
          <w:tcPr>
            <w:tcW w:w="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Company’s effective income tax rate for the years ended December 31, 2006, 2007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5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42"/>
        </w:trPr>
        <w:tc>
          <w:tcPr>
            <w:tcW w:w="88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886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Permanent differences</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due to tax-exempt entities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Effect of lower tax rate applicable to high and new technology, and advanced technology enterprises</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(27.4)</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of tax loss utilized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Effect of investment incentive tax refund</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Effect of enacted change in tax laws</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the tax status of the enterprises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2008, certain subsidiaries of the Group had net operating loss carryforwards available to offset future taxable income totaling approximately RMB4.0 million, RMB22.7 million and RMB43.4 million which will expire by 2011, 2012 and 2013,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tax and cultural development fee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the Company’s revenues generally ranges from 3% to 5%. The Company is also subject to cultural development fee on the provision of advertising services in China. The applicable tax rate is 3% of the advertising services revenue.</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Guangzhou NetEase received an approval from the Guangzhou local tax authority allowing it to deduct the service fees paid to its cooperative partners from its gross wireless value-added services revenue in deriving the amount of business taxes payable in accordance with the relevant rules, implemented with retroactive effect from January 1, 2003. As a result, Guangzhou NetEase received a business tax refund in June 2008 of approximately RMB146.8 million for the excess amount paid in previous years. Guangzhou NetEase computes its business taxes on this basis effective from January 1, 2008, subject to any change of policy by the local tax authority in future.</w:t>
      </w:r>
    </w:p>
    <w:p>
      <w:pPr>
        <w:spacing w:after="0" w:line="258"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the tax impact of significant temporary differences between the tax and financial statement bases of assets and liabilities that gave rise to deferred tax assets and liabilities as of December 31, 2007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3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Deferred revenue, primarily for advances from customers for online game services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62,868,714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25,248,842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 and others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1,891,060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40" w:type="dxa"/>
            <w:vAlign w:val="bottom"/>
          </w:tcPr>
          <w:p>
            <w:pPr>
              <w:ind w:left="440"/>
              <w:spacing w:after="0"/>
              <w:rPr>
                <w:sz w:val="20"/>
                <w:szCs w:val="20"/>
                <w:color w:val="auto"/>
              </w:rPr>
            </w:pPr>
            <w:r>
              <w:rPr>
                <w:rFonts w:ascii="Arial" w:cs="Arial" w:eastAsia="Arial" w:hAnsi="Arial"/>
                <w:sz w:val="18"/>
                <w:szCs w:val="18"/>
                <w:color w:val="auto"/>
              </w:rPr>
              <w:t>Accruals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1,027,339</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65,787,113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25,248,842</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color w:val="auto"/>
              </w:rPr>
              <w:t>Deferred tax assets - Non-current: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fixed assets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19,060,225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12,444,636</w:t>
            </w:r>
          </w:p>
        </w:tc>
        <w:tc>
          <w:tcPr>
            <w:tcW w:w="0" w:type="dxa"/>
            <w:vAlign w:val="bottom"/>
          </w:tcPr>
          <w:p>
            <w:pPr>
              <w:spacing w:after="0"/>
              <w:rPr>
                <w:sz w:val="1"/>
                <w:szCs w:val="1"/>
                <w:color w:val="auto"/>
              </w:rPr>
            </w:pPr>
          </w:p>
        </w:tc>
      </w:tr>
      <w:tr>
        <w:trPr>
          <w:trHeight w:val="223"/>
        </w:trPr>
        <w:tc>
          <w:tcPr>
            <w:tcW w:w="9340" w:type="dxa"/>
            <w:vAlign w:val="bottom"/>
          </w:tcPr>
          <w:p>
            <w:pPr>
              <w:ind w:left="440"/>
              <w:spacing w:after="0"/>
              <w:rPr>
                <w:sz w:val="20"/>
                <w:szCs w:val="20"/>
                <w:color w:val="auto"/>
              </w:rPr>
            </w:pPr>
            <w:r>
              <w:rPr>
                <w:rFonts w:ascii="Arial" w:cs="Arial" w:eastAsia="Arial" w:hAnsi="Arial"/>
                <w:sz w:val="18"/>
                <w:szCs w:val="18"/>
                <w:color w:val="auto"/>
              </w:rPr>
              <w:t>Net operating loss carry forward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3,276,955</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10,983,807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22,337,180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23,428,443</w:t>
            </w:r>
          </w:p>
        </w:tc>
        <w:tc>
          <w:tcPr>
            <w:tcW w:w="0" w:type="dxa"/>
            <w:vAlign w:val="bottom"/>
          </w:tcPr>
          <w:p>
            <w:pPr>
              <w:spacing w:after="0"/>
              <w:rPr>
                <w:sz w:val="1"/>
                <w:szCs w:val="1"/>
                <w:color w:val="auto"/>
              </w:rPr>
            </w:pPr>
          </w:p>
        </w:tc>
      </w:tr>
      <w:tr>
        <w:trPr>
          <w:trHeight w:val="223"/>
        </w:trPr>
        <w:tc>
          <w:tcPr>
            <w:tcW w:w="9340" w:type="dxa"/>
            <w:vAlign w:val="bottom"/>
          </w:tcPr>
          <w:p>
            <w:pPr>
              <w:ind w:left="440"/>
              <w:spacing w:after="0"/>
              <w:rPr>
                <w:sz w:val="20"/>
                <w:szCs w:val="20"/>
                <w:color w:val="auto"/>
              </w:rPr>
            </w:pPr>
            <w:r>
              <w:rPr>
                <w:rFonts w:ascii="Arial" w:cs="Arial" w:eastAsia="Arial" w:hAnsi="Arial"/>
                <w:sz w:val="18"/>
                <w:szCs w:val="18"/>
                <w:color w:val="auto"/>
              </w:rPr>
              <w:t>Less: valuation allowance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(3,276,955)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(10,983,807)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19,060,225</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12,444,636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ind w:left="5540"/>
              <w:spacing w:after="0"/>
              <w:rPr>
                <w:sz w:val="20"/>
                <w:szCs w:val="20"/>
                <w:color w:val="auto"/>
              </w:rPr>
            </w:pPr>
            <w:r>
              <w:rPr>
                <w:rFonts w:ascii="Arial" w:cs="Arial" w:eastAsia="Arial" w:hAnsi="Arial"/>
                <w:sz w:val="18"/>
                <w:szCs w:val="18"/>
                <w:color w:val="auto"/>
              </w:rPr>
              <w:t>F-31</w:t>
            </w: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(Cont’d)</w:t>
      </w:r>
    </w:p>
    <w:p>
      <w:pPr>
        <w:spacing w:after="0" w:line="158"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 (cont’d)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movement of the aggregate valuation allowances for deferred assets for the periods presented: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Provision</w:t>
            </w:r>
          </w:p>
        </w:tc>
        <w:tc>
          <w:tcPr>
            <w:tcW w:w="86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(write-back)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61"/>
        </w:trPr>
        <w:tc>
          <w:tcPr>
            <w:tcW w:w="6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w:t>
            </w: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 the year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December 31</w:t>
            </w:r>
          </w:p>
        </w:tc>
      </w:tr>
      <w:tr>
        <w:trPr>
          <w:trHeight w:val="142"/>
        </w:trPr>
        <w:tc>
          <w:tcPr>
            <w:tcW w:w="65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r>
      <w:tr>
        <w:trPr>
          <w:trHeight w:val="216"/>
        </w:trPr>
        <w:tc>
          <w:tcPr>
            <w:tcW w:w="6500" w:type="dxa"/>
            <w:vAlign w:val="bottom"/>
            <w:shd w:val="clear" w:color="auto" w:fill="CCEEFF"/>
          </w:tcPr>
          <w:p>
            <w:pPr>
              <w:jc w:val="right"/>
              <w:ind w:right="6052"/>
              <w:spacing w:after="0"/>
              <w:rPr>
                <w:sz w:val="20"/>
                <w:szCs w:val="20"/>
                <w:color w:val="auto"/>
              </w:rPr>
            </w:pPr>
            <w:r>
              <w:rPr>
                <w:rFonts w:ascii="Arial" w:cs="Arial" w:eastAsia="Arial" w:hAnsi="Arial"/>
                <w:sz w:val="18"/>
                <w:szCs w:val="18"/>
                <w:color w:val="auto"/>
                <w:w w:val="84"/>
              </w:rPr>
              <w:t>2006</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6,979,734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6,979,734</w:t>
            </w:r>
          </w:p>
        </w:tc>
      </w:tr>
      <w:tr>
        <w:trPr>
          <w:trHeight w:val="216"/>
        </w:trPr>
        <w:tc>
          <w:tcPr>
            <w:tcW w:w="6500" w:type="dxa"/>
            <w:vAlign w:val="bottom"/>
          </w:tcPr>
          <w:p>
            <w:pPr>
              <w:jc w:val="right"/>
              <w:ind w:right="6052"/>
              <w:spacing w:after="0"/>
              <w:rPr>
                <w:sz w:val="20"/>
                <w:szCs w:val="20"/>
                <w:color w:val="auto"/>
              </w:rPr>
            </w:pPr>
            <w:r>
              <w:rPr>
                <w:rFonts w:ascii="Arial" w:cs="Arial" w:eastAsia="Arial" w:hAnsi="Arial"/>
                <w:sz w:val="18"/>
                <w:szCs w:val="18"/>
                <w:color w:val="auto"/>
                <w:w w:val="84"/>
              </w:rPr>
              <w:t>2007</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6,949,734</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(3,672,779)</w:t>
            </w:r>
          </w:p>
        </w:tc>
        <w:tc>
          <w:tcPr>
            <w:tcW w:w="860" w:type="dxa"/>
            <w:vAlign w:val="bottom"/>
          </w:tcPr>
          <w:p>
            <w:pPr>
              <w:jc w:val="right"/>
              <w:spacing w:after="0"/>
              <w:rPr>
                <w:sz w:val="20"/>
                <w:szCs w:val="20"/>
                <w:color w:val="auto"/>
              </w:rPr>
            </w:pPr>
            <w:r>
              <w:rPr>
                <w:rFonts w:ascii="Arial" w:cs="Arial" w:eastAsia="Arial" w:hAnsi="Arial"/>
                <w:sz w:val="18"/>
                <w:szCs w:val="18"/>
                <w:color w:val="auto"/>
              </w:rPr>
              <w:t>3,276,955</w:t>
            </w:r>
          </w:p>
        </w:tc>
      </w:tr>
      <w:tr>
        <w:trPr>
          <w:trHeight w:val="216"/>
        </w:trPr>
        <w:tc>
          <w:tcPr>
            <w:tcW w:w="6500" w:type="dxa"/>
            <w:vAlign w:val="bottom"/>
            <w:shd w:val="clear" w:color="auto" w:fill="CCEEFF"/>
          </w:tcPr>
          <w:p>
            <w:pPr>
              <w:jc w:val="right"/>
              <w:ind w:right="6052"/>
              <w:spacing w:after="0"/>
              <w:rPr>
                <w:sz w:val="20"/>
                <w:szCs w:val="20"/>
                <w:color w:val="auto"/>
              </w:rPr>
            </w:pPr>
            <w:r>
              <w:rPr>
                <w:rFonts w:ascii="Arial" w:cs="Arial" w:eastAsia="Arial" w:hAnsi="Arial"/>
                <w:sz w:val="18"/>
                <w:szCs w:val="18"/>
                <w:color w:val="auto"/>
                <w:w w:val="84"/>
              </w:rPr>
              <w:t>2008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3,276,955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7,706,852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10,983,807</w:t>
            </w:r>
          </w:p>
        </w:tc>
      </w:tr>
    </w:tbl>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Historically, deferred tax assets were valued using the previous statutory tax rate of 33% or applicable preferential tax rate of 7.5%, 10% or 15% of the respective legal entities. As of December 31, 2007, the Company was required under applicable accounting standards to report the deferred tax assets at the new statutory tax rate of 25% except for certain entities which were still under tax holiday. The application of the increased statutory tax rate to 25% from the preferential tax rates applicable to the Company’s subsidiaries or VIEs resulted in a tax benefit of approximately RMB41.6 million reported in 2007. Following the Company’s subsidiaries’ successful application for the HNTEs status as mentioned under Note 10(a), the Company reported a reversal of the tax benefit of approximately RMB41.6 million, resulting from the reduction to the deferred tax assets to reflect the lower preferred tax rates as of December 31, 2008.</w:t>
      </w:r>
    </w:p>
    <w:p>
      <w:pPr>
        <w:spacing w:after="0" w:line="1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new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w:t>
      </w:r>
    </w:p>
    <w:p>
      <w:pPr>
        <w:spacing w:after="0" w:line="143"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Based on the interpretation of the current tax laws, management believes that the Company is not considered as a “resident enterprise” in China for corporate income tax purposes. The Company further determines that its FIEs will not declare any dividend should the withholding tax on dividends be applied. Accordingly, the Company did not record any withholding tax on the retained earnings of its FIEs in China for the years ended December 31, 2007 and 2008.</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Taxes Payable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taxes payable as of December 31, 2007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80" w:type="dxa"/>
            <w:vAlign w:val="bottom"/>
            <w:gridSpan w:val="7"/>
          </w:tcPr>
          <w:p>
            <w:pPr>
              <w:ind w:left="80"/>
              <w:spacing w:after="0"/>
              <w:rPr>
                <w:sz w:val="20"/>
                <w:szCs w:val="20"/>
                <w:color w:val="auto"/>
              </w:rPr>
            </w:pPr>
            <w:r>
              <w:rPr>
                <w:rFonts w:ascii="Arial" w:cs="Arial" w:eastAsia="Arial" w:hAnsi="Arial"/>
                <w:sz w:val="14"/>
                <w:szCs w:val="14"/>
                <w:b w:val="1"/>
                <w:bCs w:val="1"/>
                <w:color w:val="auto"/>
                <w:w w:val="89"/>
              </w:rPr>
              <w:t>For the year ended December 31,</w:t>
            </w: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47"/>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32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2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4"/>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Business tax</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11,180,879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Individual income taxes for employees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7,201,568</w:t>
            </w: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11,191,234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68,999,729</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84,290,340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5,056,494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9,272,782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92,438,670</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104,754,356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spacing w:after="0"/>
              <w:rPr>
                <w:sz w:val="20"/>
                <w:szCs w:val="20"/>
                <w:color w:val="auto"/>
              </w:rPr>
            </w:pPr>
            <w:r>
              <w:rPr>
                <w:rFonts w:ascii="Arial" w:cs="Arial" w:eastAsia="Arial" w:hAnsi="Arial"/>
                <w:sz w:val="18"/>
                <w:szCs w:val="18"/>
                <w:color w:val="auto"/>
              </w:rPr>
              <w:t>The following is a summary of accrued liabilities as of December 31, 2007 and 2008: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360" w:type="dxa"/>
            <w:vAlign w:val="bottom"/>
          </w:tcPr>
          <w:p>
            <w:pPr>
              <w:spacing w:after="0"/>
              <w:rPr>
                <w:sz w:val="14"/>
                <w:szCs w:val="14"/>
                <w:color w:val="auto"/>
              </w:rPr>
            </w:pPr>
          </w:p>
        </w:tc>
        <w:tc>
          <w:tcPr>
            <w:tcW w:w="90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3,671,811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Content fees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4,374,472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3,782,631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4,041,043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Server custody fees and telecommunication charges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1,080,369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645,236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Temporary staff costs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1,588,085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Accrued revenue sharing</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12,424,891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10,979,697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Accrued construction-in-progress costs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34,980,173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1,033,396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29,844,067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61,815,070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Deferred revenue represents sales proceeds from prepaid point cards and online points sold and prepaid subscription fees for Internet value-added services for which services are yet to be provided as of the balance sheet 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Zero Coupon Convertible Subordinated Notes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issued and sold US$75 million and US$25 million aggregate principal amounts of Zero Coupon Convertible Subordinated Notes (the “convertible notes”) due July 15, 2023 on July 14, 2003 and on July 31, 2003, respectively, in private offerings. The convertible notes are general unsecured obligations of the Company and are subordinated to any existing or future senior indebtedness of the Company. The convertible notes do not pay any interest except in limited circumstances, have a zero yield to maturity and are convertible into the Company’s ordinary shares at a conversion price of US$0.4815 per ordinary share, subject to adjustments and upon the occurrence of certain other events. Holders of the convertible notes may require the Company to repurchase all or a portion of their notes for cash on July 15, 2006, July 15, 2007, July 15, 2008, July 15, 2013 and July 15, 2018, at a price equal to 100% of the principal amount of the notes, together with accrued and unpaid interest, if any, subject to certain conditions. On or after July 15, 2008, the Company may redeem for cash all or part of the notes at a price equal to 100% of the principal amount, together with accrued and unpaid interest, if any, subject to certain conditions.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By July 11, 2008, the Company’s outstanding convertible notes were fully converted at the request of the noteholders pursuant to a redemption notice issued by the Company to the noteholders dated June 13, 2008.</w:t>
      </w:r>
    </w:p>
    <w:p>
      <w:pPr>
        <w:spacing w:after="0" w:line="248"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The conversion option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convertible notes are financial instruments that consist of an underlying debt and a conversion option. SFAS No. 133, Accounting for Derivative Instruments and Hedging Activities (“SFAS 133”) requires that derivative instruments be bifurcated, unless the scope exception in paragraph 11(a) of SFAS 133 applies (“scope exception”). The scope exception states that a contract is not a derivative, if it is issued by an entity that is both (a) indexed to its own stock and (b) would be classified in stockholders’ equity if it were a freestanding financial instrument. Based on the accounting standards prevailing prior to May 2008, management concluded that the conversion option was “indexed to the Company’s own stock” as that term was defined by EITF Issue No. 01-6, “The Meaning of Indexed to a Company’s Own Stock” and EITF Issue No. 00-19, “Accounting for Derivative Financial Instruments Indexed to, and Potentially Settled in, a Company’s Own Stock”. Accordingly, the conversion option was not bifurcated and the Company has reported its convertible notes at unamortized cost under long-term payable in its consolidated balance sheets since issuance.</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May 2008, the FASB issued FASB Staff Position (“FSP”) APB 14-1, Accounting for Convertible Instruments That May Be Settled in Cash upon Conversion (Including Partial Cash Settlement). As required by FSP APB 14-1, the Company estimated the fair value, as of the date of issuance, of its convertible notes as if the instrument was issued without the conversion option. The difference between the fair value and the principal amount of the instrument was retrospectively recorded as debt discount and as a component of equity. The amortization of the debt discount was recognized over the expected three-year life of the convertible notes as a non-cash increase to interest expense in the historical periods. Although FSP APB 14-1 will have no impact on the Company’s actual past or future cash flows, it requires the Company to record a significant amount of non-cash interest expense as the debt discount is amortized that would not have occurred under previous GAAP. FSP APB 14-1 is applicable to the Company effective January 1, 2009. The Company estimates that the adoption of FSP APB 14-1 would have resulted in a total interest expense of RMB 133.8 million recorded for the periods of July 2003 to July 2006, thus it would have required the Company to record a transfer of RMB133.8 million from its retained earnings to additional paid-in capital as of January 1, 2009.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Zero Coupon Convertible Subordinated Notes (Cont’d)</w:t>
      </w:r>
    </w:p>
    <w:p>
      <w:pPr>
        <w:spacing w:after="0" w:line="158"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17, 2007, the Company entered into a revolving loan facility with a Hong Kong commercial bank, which provides refinancing to its convertible notes upon redemption requests by noteholders. The facility was a committed facility in the amount of US$100 million expiring on July 31, 2008 with an interest rate of 0.10% per annum over the London Inter Bank Offering Rate upon drawdown. Under the committed facility, the lender created a general lien and reserved the right to combine and consolidate all or any of the accounts the Company maintains with the bank in an amount of US$100 million. In light of the committed facility, the Company classified the callable obligations of the convertible notes as long-term payable as of December 31, 2006 in accordance with SFAS No. 6, “Classification of Short-Term Obligations Expected to Be Refinanced”. This classification was consistent with ARB No. 43 and SFAS No. 78, “Classification of Obligations that are Callable by the Creditor”.</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2007, the Company cancelled the above-mentioned revolving loan facility with the bank prior to its expiration. As a result of the termination of the loan facility, the related restriction on the Company’s cash balance was removed on December 31, 2007, and the outstanding convertible notes as of December 31, 2007 were classified as current liabilities as holders of the notes had the right to require the Company to repurchase all or a portion of the notes for cash on July 15, 2008.</w:t>
      </w:r>
    </w:p>
    <w:p>
      <w:pPr>
        <w:spacing w:after="0" w:line="259"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conversion and redemption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conversion and redemption activities related to the convertible notes during 2007 and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Conversion to</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3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Ordinary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61"/>
        </w:trPr>
        <w:tc>
          <w:tcPr>
            <w:tcW w:w="50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for Cash</w:t>
            </w: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December 31</w:t>
            </w:r>
          </w:p>
        </w:tc>
      </w:tr>
      <w:tr>
        <w:trPr>
          <w:trHeight w:val="142"/>
        </w:trPr>
        <w:tc>
          <w:tcPr>
            <w:tcW w:w="50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12"/>
                <w:szCs w:val="12"/>
                <w:color w:val="auto"/>
              </w:rPr>
            </w:pPr>
          </w:p>
        </w:tc>
      </w:tr>
      <w:tr>
        <w:trPr>
          <w:trHeight w:val="216"/>
        </w:trPr>
        <w:tc>
          <w:tcPr>
            <w:tcW w:w="5040" w:type="dxa"/>
            <w:vAlign w:val="bottom"/>
            <w:shd w:val="clear" w:color="auto" w:fill="CCEEFF"/>
          </w:tcPr>
          <w:p>
            <w:pPr>
              <w:jc w:val="right"/>
              <w:ind w:right="4592"/>
              <w:spacing w:after="0"/>
              <w:rPr>
                <w:sz w:val="20"/>
                <w:szCs w:val="20"/>
                <w:color w:val="auto"/>
              </w:rPr>
            </w:pPr>
            <w:r>
              <w:rPr>
                <w:rFonts w:ascii="Arial" w:cs="Arial" w:eastAsia="Arial" w:hAnsi="Arial"/>
                <w:sz w:val="18"/>
                <w:szCs w:val="18"/>
                <w:color w:val="auto"/>
                <w:w w:val="84"/>
              </w:rPr>
              <w:t>2007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99,980,000</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(12,000,000)</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87,980,000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641,778,908</w:t>
            </w:r>
          </w:p>
        </w:tc>
        <w:tc>
          <w:tcPr>
            <w:tcW w:w="20" w:type="dxa"/>
            <w:vAlign w:val="bottom"/>
          </w:tcPr>
          <w:p>
            <w:pPr>
              <w:spacing w:after="0"/>
              <w:rPr>
                <w:sz w:val="18"/>
                <w:szCs w:val="18"/>
                <w:color w:val="auto"/>
              </w:rPr>
            </w:pPr>
          </w:p>
        </w:tc>
      </w:tr>
      <w:tr>
        <w:trPr>
          <w:trHeight w:val="222"/>
        </w:trPr>
        <w:tc>
          <w:tcPr>
            <w:tcW w:w="5040" w:type="dxa"/>
            <w:vAlign w:val="bottom"/>
          </w:tcPr>
          <w:p>
            <w:pPr>
              <w:jc w:val="right"/>
              <w:ind w:right="4592"/>
              <w:spacing w:after="0"/>
              <w:rPr>
                <w:sz w:val="20"/>
                <w:szCs w:val="20"/>
                <w:color w:val="auto"/>
              </w:rPr>
            </w:pPr>
            <w:r>
              <w:rPr>
                <w:rFonts w:ascii="Arial" w:cs="Arial" w:eastAsia="Arial" w:hAnsi="Arial"/>
                <w:sz w:val="18"/>
                <w:szCs w:val="18"/>
                <w:color w:val="auto"/>
                <w:w w:val="84"/>
              </w:rPr>
              <w:t>2008</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87,980,000</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(87,980,000)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the Company’s zero-coupon convertible subordinated notes was approximately RMB 1.0 billion as of December 31, 2007. As mentioned above, all the Company’s outstanding convertible notes were fully converted by July 11, 2008.</w:t>
      </w:r>
    </w:p>
    <w:p>
      <w:pPr>
        <w:spacing w:after="0" w:line="248"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96"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The Company’s subsidiaries and VIEs incorporated in China participate in a government-mandated multi-employer defined contribution plan pursuant to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relevant local labor bureau is responsible for meeting all retirement benefit obligations, hence, the Company has no further commitments beyond its monthly contribution.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Group’s employee welfare benefits for the years ended December 31, 2006, 2007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1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5"/>
              </w:rPr>
              <w:t>For the year ended December 31</w:t>
            </w:r>
          </w:p>
        </w:tc>
      </w:tr>
      <w:tr>
        <w:trPr>
          <w:trHeight w:val="142"/>
        </w:trPr>
        <w:tc>
          <w:tcPr>
            <w:tcW w:w="82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2006</w:t>
            </w:r>
          </w:p>
        </w:tc>
        <w:tc>
          <w:tcPr>
            <w:tcW w:w="1220" w:type="dxa"/>
            <w:vAlign w:val="bottom"/>
            <w:tcBorders>
              <w:top w:val="single" w:sz="8" w:color="auto"/>
            </w:tcBorders>
            <w:gridSpan w:val="2"/>
          </w:tcPr>
          <w:p>
            <w:pPr>
              <w:jc w:val="center"/>
              <w:ind w:left="439"/>
              <w:spacing w:after="0" w:line="142" w:lineRule="exact"/>
              <w:rPr>
                <w:sz w:val="20"/>
                <w:szCs w:val="20"/>
                <w:color w:val="auto"/>
              </w:rPr>
            </w:pPr>
            <w:r>
              <w:rPr>
                <w:rFonts w:ascii="Arial" w:cs="Arial" w:eastAsia="Arial" w:hAnsi="Arial"/>
                <w:sz w:val="14"/>
                <w:szCs w:val="14"/>
                <w:b w:val="1"/>
                <w:bCs w:val="1"/>
                <w:color w:val="auto"/>
                <w:w w:val="83"/>
              </w:rPr>
              <w:t>2007</w:t>
            </w:r>
          </w:p>
        </w:tc>
        <w:tc>
          <w:tcPr>
            <w:tcW w:w="1220" w:type="dxa"/>
            <w:vAlign w:val="bottom"/>
            <w:tcBorders>
              <w:top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29"/>
        </w:trPr>
        <w:tc>
          <w:tcPr>
            <w:tcW w:w="8280" w:type="dxa"/>
            <w:vAlign w:val="bottom"/>
          </w:tcPr>
          <w:p>
            <w:pPr>
              <w:spacing w:after="0"/>
              <w:rPr>
                <w:sz w:val="11"/>
                <w:szCs w:val="11"/>
                <w:color w:val="auto"/>
              </w:rPr>
            </w:pPr>
          </w:p>
        </w:tc>
        <w:tc>
          <w:tcPr>
            <w:tcW w:w="70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1"/>
                <w:szCs w:val="11"/>
                <w:color w:val="auto"/>
              </w:rPr>
            </w:pPr>
          </w:p>
        </w:tc>
        <w:tc>
          <w:tcPr>
            <w:tcW w:w="70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1"/>
                <w:szCs w:val="11"/>
                <w:color w:val="auto"/>
              </w:rPr>
            </w:pPr>
          </w:p>
        </w:tc>
      </w:tr>
      <w:tr>
        <w:trPr>
          <w:trHeight w:val="161"/>
        </w:trPr>
        <w:tc>
          <w:tcPr>
            <w:tcW w:w="8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6"/>
              </w:rPr>
              <w:t>(in millions)</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6"/>
              </w:rPr>
              <w:t>(in millions)</w:t>
            </w:r>
          </w:p>
        </w:tc>
        <w:tc>
          <w:tcPr>
            <w:tcW w:w="5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Other employee benefits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0"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Since the adoption of SFAS 123R effective January 1, 2006, there have been no changes to the Company’s stock option plans or modifications to outstanding stock-based awards. As the stock-based compensation cost recognized on the consolidated statements of operations and comprehensive income is based on awards ultimately expected to vest, such amount has been reduced for estimated forfeitures. SFAS 123R requires forfeitures to be estimated at the time of grant and revised, if necessary, in subsequent periods if actual forfeitures differ from those estimates. Forfeitures were estimated based on the Company’s historical experience over the last five years. Previously, under SFAS 123, the Company recorded forfeitures as they occurred.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Company’s stock-based compensation cost for the years ended December 31, 2006, 2007 and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1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20" w:type="dxa"/>
            <w:vAlign w:val="bottom"/>
            <w:tcBorders>
              <w:top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tcBorders>
              <w:top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16,614,309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14,890,378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13,678,836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5720" w:type="dxa"/>
            <w:vAlign w:val="bottom"/>
            <w:gridSpan w:val="3"/>
          </w:tcPr>
          <w:p>
            <w:pPr>
              <w:jc w:val="right"/>
              <w:ind w:right="100"/>
              <w:spacing w:after="0"/>
              <w:rPr>
                <w:sz w:val="20"/>
                <w:szCs w:val="20"/>
                <w:color w:val="auto"/>
              </w:rPr>
            </w:pPr>
            <w:r>
              <w:rPr>
                <w:rFonts w:ascii="Arial" w:cs="Arial" w:eastAsia="Arial" w:hAnsi="Arial"/>
                <w:sz w:val="18"/>
                <w:szCs w:val="18"/>
                <w:color w:val="auto"/>
              </w:rPr>
              <w:t>21,147,343</w:t>
            </w:r>
          </w:p>
        </w:tc>
        <w:tc>
          <w:tcPr>
            <w:tcW w:w="940" w:type="dxa"/>
            <w:vAlign w:val="bottom"/>
          </w:tcPr>
          <w:p>
            <w:pPr>
              <w:jc w:val="right"/>
              <w:spacing w:after="0"/>
              <w:rPr>
                <w:sz w:val="20"/>
                <w:szCs w:val="20"/>
                <w:color w:val="auto"/>
              </w:rPr>
            </w:pPr>
            <w:r>
              <w:rPr>
                <w:rFonts w:ascii="Arial" w:cs="Arial" w:eastAsia="Arial" w:hAnsi="Arial"/>
                <w:sz w:val="18"/>
                <w:szCs w:val="18"/>
                <w:color w:val="auto"/>
              </w:rPr>
              <w:t>14,357,336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8,564,177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37,360,433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33,887,323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23,586,590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26,164,591</w:t>
            </w:r>
          </w:p>
        </w:tc>
        <w:tc>
          <w:tcPr>
            <w:tcW w:w="940" w:type="dxa"/>
            <w:vAlign w:val="bottom"/>
          </w:tcPr>
          <w:p>
            <w:pPr>
              <w:jc w:val="right"/>
              <w:spacing w:after="0"/>
              <w:rPr>
                <w:sz w:val="20"/>
                <w:szCs w:val="20"/>
                <w:color w:val="auto"/>
              </w:rPr>
            </w:pPr>
            <w:r>
              <w:rPr>
                <w:rFonts w:ascii="Arial" w:cs="Arial" w:eastAsia="Arial" w:hAnsi="Arial"/>
                <w:sz w:val="18"/>
                <w:szCs w:val="18"/>
                <w:color w:val="auto"/>
              </w:rPr>
              <w:t>32,293,138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22,119,058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Effect on net income</w:t>
            </w:r>
          </w:p>
        </w:tc>
        <w:tc>
          <w:tcPr>
            <w:tcW w:w="4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101,286,676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95,428,175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67,948,661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720" w:type="dxa"/>
            <w:vAlign w:val="bottom"/>
            <w:gridSpan w:val="3"/>
          </w:tcPr>
          <w:p>
            <w:pPr>
              <w:jc w:val="right"/>
              <w:ind w:right="3560"/>
              <w:spacing w:after="0"/>
              <w:rPr>
                <w:sz w:val="20"/>
                <w:szCs w:val="20"/>
                <w:color w:val="auto"/>
              </w:rPr>
            </w:pPr>
            <w:r>
              <w:rPr>
                <w:rFonts w:ascii="Arial" w:cs="Arial" w:eastAsia="Arial" w:hAnsi="Arial"/>
                <w:sz w:val="18"/>
                <w:szCs w:val="18"/>
                <w:color w:val="auto"/>
              </w:rPr>
              <w:t>F-36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(Cont’d)</w:t>
      </w:r>
    </w:p>
    <w:p>
      <w:pPr>
        <w:spacing w:after="0" w:line="158"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 (Cont’d)</w:t>
      </w:r>
    </w:p>
    <w:p>
      <w:pPr>
        <w:spacing w:after="0" w:line="16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above stock-based compensation cost included approximately RMB100,000 and RMB35,000 for the years ended December 31, 2007 and 2008, respectively in connection with the Company’s other equity interest awards made to four key employees of Youdao Information and Youdao Computer (see Note 17 (e)).</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2008, total unrecognized compensation cost related to unvested awards not yet recognized related to the stock option plan, adjusted for estimated forfeitures, was US$9.1 million (RMB63.2 million) and is expected to be recognized through the remaining vesting period of each grant. As of December 31, 2008, the weighted average remaining vesting period was 1.82 years.</w:t>
      </w:r>
    </w:p>
    <w:p>
      <w:pPr>
        <w:spacing w:after="0" w:line="256"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assumptions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consistent with the provisions of SFAS 123R and SEC SAB 107. The estimated fair value of each stock option grant was estimated on the date of grant using the Black-Scholes option pricing method with the following assumptions: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86"/>
              </w:rPr>
              <w:t>For the year ended December 31,</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210"/>
        </w:trPr>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820" w:type="dxa"/>
            <w:vAlign w:val="bottom"/>
            <w:gridSpan w:val="3"/>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820" w:type="dxa"/>
            <w:vAlign w:val="bottom"/>
            <w:gridSpan w:val="3"/>
          </w:tcPr>
          <w:p>
            <w:pPr>
              <w:spacing w:after="0"/>
              <w:rPr>
                <w:sz w:val="20"/>
                <w:szCs w:val="20"/>
                <w:color w:val="auto"/>
              </w:rPr>
            </w:pPr>
            <w:r>
              <w:rPr>
                <w:rFonts w:ascii="Arial" w:cs="Arial" w:eastAsia="Arial" w:hAnsi="Arial"/>
                <w:sz w:val="18"/>
                <w:szCs w:val="18"/>
                <w:color w:val="auto"/>
              </w:rPr>
              <w:t>Volatility</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fair value of the underlying shares on the date of option grants (US$)</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820" w:type="dxa"/>
            <w:vAlign w:val="bottom"/>
            <w:gridSpan w:val="3"/>
          </w:tcPr>
          <w:p>
            <w:pPr>
              <w:spacing w:after="0"/>
              <w:rPr>
                <w:sz w:val="20"/>
                <w:szCs w:val="20"/>
                <w:color w:val="auto"/>
              </w:rPr>
            </w:pPr>
            <w:r>
              <w:rPr>
                <w:rFonts w:ascii="Arial" w:cs="Arial" w:eastAsia="Arial" w:hAnsi="Arial"/>
                <w:sz w:val="18"/>
                <w:szCs w:val="18"/>
                <w:color w:val="auto"/>
              </w:rPr>
              <w:t>Weighted average grant-date fair value of options (US$)</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0.257</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60"/>
              <w:spacing w:after="0"/>
              <w:rPr>
                <w:sz w:val="20"/>
                <w:szCs w:val="20"/>
                <w:color w:val="auto"/>
              </w:rPr>
            </w:pPr>
            <w:r>
              <w:rPr>
                <w:rFonts w:ascii="Arial" w:cs="Arial" w:eastAsia="Arial" w:hAnsi="Arial"/>
                <w:sz w:val="18"/>
                <w:szCs w:val="18"/>
                <w:color w:val="auto"/>
              </w:rPr>
              <w:t>Not applicable as the Company did not grant any stock options in 2006 and 2008.</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Arial" w:cs="Arial" w:eastAsia="Arial" w:hAnsi="Arial"/>
                <w:sz w:val="18"/>
                <w:szCs w:val="18"/>
                <w:color w:val="auto"/>
              </w:rPr>
              <w:t>F-37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(Cont’d)</w:t>
      </w:r>
    </w:p>
    <w:p>
      <w:pPr>
        <w:spacing w:after="0" w:line="158"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award activity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Company’s stock options award activities for the years ended December 31, 2006, 2007 and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Senior</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Director and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Employees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Management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consultants</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Number of ordinary shares isssuable upon exercise of stock options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00" w:type="dxa"/>
            <w:vAlign w:val="bottom"/>
            <w:gridSpan w:val="2"/>
          </w:tcPr>
          <w:p>
            <w:pPr>
              <w:spacing w:after="0"/>
              <w:rPr>
                <w:sz w:val="20"/>
                <w:szCs w:val="20"/>
                <w:color w:val="auto"/>
              </w:rPr>
            </w:pPr>
            <w:r>
              <w:rPr>
                <w:rFonts w:ascii="Arial" w:cs="Arial" w:eastAsia="Arial" w:hAnsi="Arial"/>
                <w:sz w:val="18"/>
                <w:szCs w:val="18"/>
                <w:color w:val="auto"/>
              </w:rPr>
              <w:t>Outstanding at January 1, 2006</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148,164,700</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59,410,000</w:t>
            </w:r>
          </w:p>
        </w:tc>
        <w:tc>
          <w:tcPr>
            <w:tcW w:w="800" w:type="dxa"/>
            <w:vAlign w:val="bottom"/>
          </w:tcPr>
          <w:p>
            <w:pPr>
              <w:jc w:val="right"/>
              <w:spacing w:after="0"/>
              <w:rPr>
                <w:sz w:val="20"/>
                <w:szCs w:val="20"/>
                <w:color w:val="auto"/>
              </w:rPr>
            </w:pPr>
            <w:r>
              <w:rPr>
                <w:rFonts w:ascii="Arial" w:cs="Arial" w:eastAsia="Arial" w:hAnsi="Arial"/>
                <w:sz w:val="18"/>
                <w:szCs w:val="18"/>
                <w:color w:val="auto"/>
              </w:rPr>
              <w:t>745,000</w:t>
            </w:r>
          </w:p>
        </w:tc>
        <w:tc>
          <w:tcPr>
            <w:tcW w:w="2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208,319,700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(37,924,600)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(21,235,000)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(332,500)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(59,492,100)</w:t>
            </w:r>
          </w:p>
        </w:tc>
        <w:tc>
          <w:tcPr>
            <w:tcW w:w="560" w:type="dxa"/>
            <w:vAlign w:val="bottom"/>
          </w:tcPr>
          <w:p>
            <w:pPr>
              <w:jc w:val="right"/>
              <w:spacing w:after="0"/>
              <w:rPr>
                <w:sz w:val="20"/>
                <w:szCs w:val="20"/>
                <w:color w:val="auto"/>
              </w:rPr>
            </w:pPr>
            <w:r>
              <w:rPr>
                <w:rFonts w:ascii="Arial" w:cs="Arial" w:eastAsia="Arial" w:hAnsi="Arial"/>
                <w:sz w:val="18"/>
                <w:szCs w:val="18"/>
                <w:color w:val="auto"/>
              </w:rPr>
              <w:t>0.280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 during the year</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(10,272,000)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(3,775,000)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(14,047,000)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2006</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99,968,100</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34,400,000</w:t>
            </w:r>
          </w:p>
        </w:tc>
        <w:tc>
          <w:tcPr>
            <w:tcW w:w="800" w:type="dxa"/>
            <w:vAlign w:val="bottom"/>
          </w:tcPr>
          <w:p>
            <w:pPr>
              <w:jc w:val="right"/>
              <w:spacing w:after="0"/>
              <w:rPr>
                <w:sz w:val="20"/>
                <w:szCs w:val="20"/>
                <w:color w:val="auto"/>
              </w:rPr>
            </w:pPr>
            <w:r>
              <w:rPr>
                <w:rFonts w:ascii="Arial" w:cs="Arial" w:eastAsia="Arial" w:hAnsi="Arial"/>
                <w:sz w:val="18"/>
                <w:szCs w:val="18"/>
                <w:color w:val="auto"/>
              </w:rPr>
              <w:t>412,500</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134,780,600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99,968,100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34,400,000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134,780,600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57,340,000</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5,875,000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63,215,000</w:t>
            </w:r>
          </w:p>
        </w:tc>
        <w:tc>
          <w:tcPr>
            <w:tcW w:w="560" w:type="dxa"/>
            <w:vAlign w:val="bottom"/>
          </w:tcPr>
          <w:p>
            <w:pPr>
              <w:jc w:val="right"/>
              <w:spacing w:after="0"/>
              <w:rPr>
                <w:sz w:val="20"/>
                <w:szCs w:val="20"/>
                <w:color w:val="auto"/>
              </w:rPr>
            </w:pPr>
            <w:r>
              <w:rPr>
                <w:rFonts w:ascii="Arial" w:cs="Arial" w:eastAsia="Arial" w:hAnsi="Arial"/>
                <w:sz w:val="18"/>
                <w:szCs w:val="18"/>
                <w:color w:val="auto"/>
              </w:rPr>
              <w:t>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(36,535,350)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(13,975,000)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(4,025,000)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(54,535,350)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Expired/forfeited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(15,012,500)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(1,755,000)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(16,767,500)</w:t>
            </w:r>
          </w:p>
        </w:tc>
        <w:tc>
          <w:tcPr>
            <w:tcW w:w="560" w:type="dxa"/>
            <w:vAlign w:val="bottom"/>
          </w:tcPr>
          <w:p>
            <w:pPr>
              <w:jc w:val="right"/>
              <w:spacing w:after="0"/>
              <w:rPr>
                <w:sz w:val="20"/>
                <w:szCs w:val="20"/>
                <w:color w:val="auto"/>
              </w:rPr>
            </w:pPr>
            <w:r>
              <w:rPr>
                <w:rFonts w:ascii="Arial" w:cs="Arial" w:eastAsia="Arial" w:hAnsi="Arial"/>
                <w:sz w:val="18"/>
                <w:szCs w:val="18"/>
                <w:color w:val="auto"/>
              </w:rPr>
              <w:t>0.447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due to position change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(6,100,000)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2007</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99,660,250</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20,645,000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6,387,500</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126,692,750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99,660,250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20,645,000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6,387,500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126,692,750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(23,707,725)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(1,675,000)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(5,050,000)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(30,432,725)</w:t>
            </w:r>
          </w:p>
        </w:tc>
        <w:tc>
          <w:tcPr>
            <w:tcW w:w="560" w:type="dxa"/>
            <w:vAlign w:val="bottom"/>
          </w:tcPr>
          <w:p>
            <w:pPr>
              <w:jc w:val="right"/>
              <w:spacing w:after="0"/>
              <w:rPr>
                <w:sz w:val="20"/>
                <w:szCs w:val="20"/>
                <w:color w:val="auto"/>
              </w:rPr>
            </w:pPr>
            <w:r>
              <w:rPr>
                <w:rFonts w:ascii="Arial" w:cs="Arial" w:eastAsia="Arial" w:hAnsi="Arial"/>
                <w:sz w:val="18"/>
                <w:szCs w:val="18"/>
                <w:color w:val="auto"/>
              </w:rPr>
              <w:t>0.432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 during the year</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(6,803,750)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(6,891,250)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2008</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69,148,775</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18,970,000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89,368,775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540" w:right="1900" w:hanging="5539"/>
        <w:spacing w:after="0" w:line="440" w:lineRule="auto"/>
        <w:rPr>
          <w:sz w:val="20"/>
          <w:szCs w:val="20"/>
          <w:color w:val="auto"/>
        </w:rPr>
      </w:pPr>
      <w:r>
        <w:rPr>
          <w:rFonts w:ascii="Arial" w:cs="Arial" w:eastAsia="Arial" w:hAnsi="Arial"/>
          <w:sz w:val="18"/>
          <w:szCs w:val="18"/>
          <w:color w:val="auto"/>
        </w:rPr>
        <w:t>For the year ended December 31, 2008, the numbers of stock options expired and forfeited totaled 860,000 and 6,031,250, respectively. F-38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(Cont’d)</w:t>
      </w:r>
    </w:p>
    <w:p>
      <w:pPr>
        <w:spacing w:after="0" w:line="158"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award activity (cont’d)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for the years ended 2006, 2007 and 2008 was US$28.8 million, US$22.2 million and US$16.4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 options vested was US$13.2 million, US$11.5 million and US$12.2 million for the years ended 2006, 2007 and 2008, respectively.</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the weighted average remaining contractual life and exercise price for the options outstanding and exercisable as of December 31,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Weighted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82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Exercisable</w:t>
            </w: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880" w:type="dxa"/>
            <w:vAlign w:val="bottom"/>
            <w:tcBorders>
              <w:top w:val="single" w:sz="8" w:color="auto"/>
            </w:tcBorders>
          </w:tcPr>
          <w:p>
            <w:pPr>
              <w:spacing w:after="0"/>
              <w:rPr>
                <w:sz w:val="12"/>
                <w:szCs w:val="12"/>
                <w:color w:val="auto"/>
              </w:rPr>
            </w:pPr>
          </w:p>
        </w:tc>
        <w:tc>
          <w:tcPr>
            <w:tcW w:w="5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US$0.300-US$0.320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16,069,750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16,069,750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0.301</w:t>
            </w:r>
          </w:p>
        </w:tc>
        <w:tc>
          <w:tcPr>
            <w:tcW w:w="2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US$0.486-US$0.679</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21,927,500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10,552,500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1.38</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0.486</w:t>
            </w:r>
          </w:p>
        </w:tc>
        <w:tc>
          <w:tcPr>
            <w:tcW w:w="2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US$0.728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51,371,525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8,599,025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0.728</w:t>
            </w:r>
          </w:p>
        </w:tc>
        <w:tc>
          <w:tcPr>
            <w:tcW w:w="2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89,368,775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0.592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35,221,275</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8"/>
              </w:rPr>
              <w:t>0.461</w:t>
            </w:r>
          </w:p>
        </w:tc>
      </w:tr>
      <w:tr>
        <w:trPr>
          <w:trHeight w:val="20"/>
        </w:trPr>
        <w:tc>
          <w:tcPr>
            <w:tcW w:w="8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aggregate intrinsic value of options outstanding, adjusted for forfeiture and fully vested share options as of December 31, 2008 was US$24.9 million and US$14.9 million, respectively. The intrinsic value is calculated as the difference between the Company’s closing stock price of US$22.10 per ADS, or US$0.884 per share as of December 31, 2008 and the exercise price of the underlying options as of that date.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It is the Company’s policy to issue new shares upon share option exercise. The number of stock options available for future grant under the Company’s stock option plans as of December 31, 2008 is set out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29,393,124</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No. of share options expired/forfeited during 2008</w:t>
            </w:r>
          </w:p>
        </w:tc>
        <w:tc>
          <w:tcPr>
            <w:tcW w:w="4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6,891,250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46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36,284,374</w:t>
            </w:r>
          </w:p>
        </w:tc>
      </w:tr>
      <w:tr>
        <w:trPr>
          <w:trHeight w:val="20"/>
        </w:trPr>
        <w:tc>
          <w:tcPr>
            <w:tcW w:w="4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7"/>
        </w:trPr>
        <w:tc>
          <w:tcPr>
            <w:tcW w:w="4080" w:type="dxa"/>
            <w:vAlign w:val="bottom"/>
          </w:tcPr>
          <w:p>
            <w:pPr>
              <w:spacing w:after="0"/>
              <w:rPr>
                <w:sz w:val="24"/>
                <w:szCs w:val="24"/>
                <w:color w:val="auto"/>
              </w:rPr>
            </w:pPr>
          </w:p>
        </w:tc>
        <w:tc>
          <w:tcPr>
            <w:tcW w:w="5500" w:type="dxa"/>
            <w:vAlign w:val="bottom"/>
            <w:gridSpan w:val="2"/>
          </w:tcPr>
          <w:p>
            <w:pPr>
              <w:jc w:val="right"/>
              <w:ind w:right="4532"/>
              <w:spacing w:after="0"/>
              <w:rPr>
                <w:sz w:val="20"/>
                <w:szCs w:val="20"/>
                <w:color w:val="auto"/>
              </w:rPr>
            </w:pPr>
            <w:r>
              <w:rPr>
                <w:rFonts w:ascii="Arial" w:cs="Arial" w:eastAsia="Arial" w:hAnsi="Arial"/>
                <w:sz w:val="18"/>
                <w:szCs w:val="18"/>
                <w:color w:val="auto"/>
              </w:rPr>
              <w:t>F-39</w:t>
            </w: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(Cont’d)</w:t>
      </w:r>
    </w:p>
    <w:p>
      <w:pPr>
        <w:spacing w:after="0" w:line="158"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stock option plan</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December 1999, the Company adopted an incentive and non-statutory stock option plan for the Company’s directors, senior management, employees and consultants (the 1999 Stock Option Plan). The Company had reserved 345,675,000 ordinary shares for issuance under the plan. According to a resolution of the board of directors of the Company in 2000, the 1999 Stock Option Plan was replaced by the 2000 Stock Option Plan.</w:t>
      </w:r>
    </w:p>
    <w:p>
      <w:pPr>
        <w:spacing w:after="0" w:line="10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According to resolutions of the board of directors and the shareholders of the Company in 2001, the 2000 stock option plan was amended and restated. Under the amended plan, the number of ordinary shares available for issuance was increased from 223,715,000 under the prior plan to 323,715,000. The amended plan also included a mechanism for the automatic increase in the number of ordinary shares available for future issuance. This mechanism, which is known as “Evergreen Provision”, provided for a periodic increase so that the number of ordinary shares available under the plan would automatically increase by 3% each year up to a maximum at any given time of 17.5% of the Company’s total outstanding ordinary shares, on a fully-diluted basis. These increases would occur on June 1 of 2001 and January 1 of each year thereafter. The “Evergreen Provision” has been suspended pursuant to a resolution of the board of directors dated March 25, 2002.</w:t>
      </w:r>
    </w:p>
    <w:p>
      <w:pPr>
        <w:spacing w:after="0" w:line="220"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Other equity interest awards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the year ended 2007, the Company granted equity interest awards in Youdao Computer and Youdao Information to four key employees over a four to five year period, beginning from December 1, 2007 and December 13, 2007, respectively, and ending on the respective anniversary dates of initial employment dates of the four key employees concerned. The percentage of equity interest awards ranged from 0.5% to 1.0%, and amounted to a total of 3.5% each in Youdao Computer and Youdao Information, respectively. The exercise price for each vesting period is to be determined based on the equity interest percentage awarded multiplied by the registered share capital of Youdao Computer and Youdao Information at the time of exercise. In accordance with the terms and conditions of the granting of such equity interest awards, awards granted will be forfeited upon grantee’s termination of employment, either voluntarily or involuntarily. If the employees do not exercise any of the vested equity interest awards, such awards will expire twelve months after the last vesting date. The employees duly exercised their awards vested in 2007 and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earnings per share for the years ended December 31, 2006, 2007 and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80" w:type="dxa"/>
            <w:vAlign w:val="bottom"/>
            <w:gridSpan w:val="6"/>
          </w:tcPr>
          <w:p>
            <w:pPr>
              <w:ind w:left="8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 (RMB):</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profit attributable to ordinary shareholders</w:t>
            </w:r>
          </w:p>
        </w:tc>
        <w:tc>
          <w:tcPr>
            <w:tcW w:w="3700" w:type="dxa"/>
            <w:vAlign w:val="bottom"/>
            <w:gridSpan w:val="3"/>
          </w:tcPr>
          <w:p>
            <w:pPr>
              <w:jc w:val="right"/>
              <w:ind w:right="120"/>
              <w:spacing w:after="0"/>
              <w:rPr>
                <w:sz w:val="20"/>
                <w:szCs w:val="20"/>
                <w:color w:val="auto"/>
              </w:rPr>
            </w:pPr>
            <w:r>
              <w:rPr>
                <w:rFonts w:ascii="Arial" w:cs="Arial" w:eastAsia="Arial" w:hAnsi="Arial"/>
                <w:sz w:val="18"/>
                <w:szCs w:val="18"/>
                <w:color w:val="auto"/>
              </w:rPr>
              <w:t>1,242,777,584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1,264,086,122</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1,596,687,907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w w:val="93"/>
              </w:rPr>
              <w:t>Amortization of offering cost of the zero coupon convertible notes</w:t>
            </w:r>
          </w:p>
        </w:tc>
        <w:tc>
          <w:tcPr>
            <w:tcW w:w="3700" w:type="dxa"/>
            <w:vAlign w:val="bottom"/>
            <w:gridSpan w:val="3"/>
          </w:tcPr>
          <w:p>
            <w:pPr>
              <w:jc w:val="right"/>
              <w:ind w:right="120"/>
              <w:spacing w:after="0"/>
              <w:rPr>
                <w:sz w:val="20"/>
                <w:szCs w:val="20"/>
                <w:color w:val="auto"/>
              </w:rPr>
            </w:pPr>
            <w:r>
              <w:rPr>
                <w:rFonts w:ascii="Arial" w:cs="Arial" w:eastAsia="Arial" w:hAnsi="Arial"/>
                <w:sz w:val="18"/>
                <w:szCs w:val="18"/>
                <w:color w:val="auto"/>
              </w:rPr>
              <w:t>4,331,016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for zero coupon convertible notes</w:t>
            </w:r>
          </w:p>
        </w:tc>
        <w:tc>
          <w:tcPr>
            <w:tcW w:w="2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Net profit adjusted for dilutive securities</w:t>
            </w:r>
          </w:p>
        </w:tc>
        <w:tc>
          <w:tcPr>
            <w:tcW w:w="3700" w:type="dxa"/>
            <w:vAlign w:val="bottom"/>
            <w:gridSpan w:val="3"/>
          </w:tcPr>
          <w:p>
            <w:pPr>
              <w:jc w:val="right"/>
              <w:ind w:right="120"/>
              <w:spacing w:after="0"/>
              <w:rPr>
                <w:sz w:val="20"/>
                <w:szCs w:val="20"/>
                <w:color w:val="auto"/>
              </w:rPr>
            </w:pPr>
            <w:r>
              <w:rPr>
                <w:rFonts w:ascii="Arial" w:cs="Arial" w:eastAsia="Arial" w:hAnsi="Arial"/>
                <w:sz w:val="18"/>
                <w:szCs w:val="18"/>
                <w:color w:val="auto"/>
              </w:rPr>
              <w:t>1,247,108,600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1,264,086,122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1,596,687,907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Denominator (No. of shares):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w w:val="95"/>
              </w:rPr>
              <w:t>Weighted average number of ordinary shares outstanding, basic</w:t>
            </w:r>
          </w:p>
        </w:tc>
        <w:tc>
          <w:tcPr>
            <w:tcW w:w="3700" w:type="dxa"/>
            <w:vAlign w:val="bottom"/>
            <w:gridSpan w:val="3"/>
          </w:tcPr>
          <w:p>
            <w:pPr>
              <w:jc w:val="right"/>
              <w:ind w:right="120"/>
              <w:spacing w:after="0"/>
              <w:rPr>
                <w:sz w:val="20"/>
                <w:szCs w:val="20"/>
                <w:color w:val="auto"/>
              </w:rPr>
            </w:pPr>
            <w:r>
              <w:rPr>
                <w:rFonts w:ascii="Arial" w:cs="Arial" w:eastAsia="Arial" w:hAnsi="Arial"/>
                <w:sz w:val="18"/>
                <w:szCs w:val="18"/>
                <w:color w:val="auto"/>
              </w:rPr>
              <w:t>3,231,832,008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3,086,451,412</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3,117,117,306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Dilutive effect of employee stock options and convertible notes</w:t>
            </w:r>
          </w:p>
        </w:tc>
        <w:tc>
          <w:tcPr>
            <w:tcW w:w="2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266,573,102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221,086,967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117,097,018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440"/>
              <w:spacing w:after="0"/>
              <w:rPr>
                <w:sz w:val="20"/>
                <w:szCs w:val="20"/>
                <w:color w:val="auto"/>
              </w:rPr>
            </w:pPr>
            <w:r>
              <w:rPr>
                <w:rFonts w:ascii="Arial" w:cs="Arial" w:eastAsia="Arial" w:hAnsi="Arial"/>
                <w:sz w:val="18"/>
                <w:szCs w:val="18"/>
                <w:color w:val="auto"/>
                <w:w w:val="93"/>
              </w:rPr>
              <w:t>Weighted average number of ordinary shares outstanding, diluted</w:t>
            </w:r>
          </w:p>
        </w:tc>
        <w:tc>
          <w:tcPr>
            <w:tcW w:w="2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3,498,405,110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3,307,538,379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3,234,214,324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basic (RMB)</w:t>
            </w:r>
          </w:p>
        </w:tc>
        <w:tc>
          <w:tcPr>
            <w:tcW w:w="2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earnings per share, diluted (RMB)</w:t>
            </w:r>
          </w:p>
        </w:tc>
        <w:tc>
          <w:tcPr>
            <w:tcW w:w="2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3700" w:type="dxa"/>
            <w:vAlign w:val="bottom"/>
            <w:gridSpan w:val="3"/>
          </w:tcPr>
          <w:p>
            <w:pPr>
              <w:jc w:val="right"/>
              <w:ind w:right="3140"/>
              <w:spacing w:after="0"/>
              <w:rPr>
                <w:sz w:val="20"/>
                <w:szCs w:val="20"/>
                <w:color w:val="auto"/>
              </w:rPr>
            </w:pPr>
            <w:r>
              <w:rPr>
                <w:rFonts w:ascii="Arial" w:cs="Arial" w:eastAsia="Arial" w:hAnsi="Arial"/>
                <w:sz w:val="18"/>
                <w:szCs w:val="18"/>
                <w:color w:val="auto"/>
              </w:rPr>
              <w:t>F-41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leases office space, staff quarters and certain equipment under non-cancelable operating lease agreements, which expire at various dates through March 2013. As of December 31, 2008, future minimum lease under non-cancelable operating lease agreements, capital and Blizzard licensed game commitments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Rental</w:t>
            </w: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Server custody</w:t>
            </w:r>
          </w:p>
        </w:tc>
        <w:tc>
          <w:tcPr>
            <w:tcW w:w="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Office machines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fee commitments</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Commitments</w:t>
            </w:r>
          </w:p>
        </w:tc>
        <w:tc>
          <w:tcPr>
            <w:tcW w:w="16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Commitments</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12,185,649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59,514,459</w:t>
            </w:r>
          </w:p>
        </w:tc>
        <w:tc>
          <w:tcPr>
            <w:tcW w:w="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98,752,147</w:t>
            </w:r>
          </w:p>
        </w:tc>
        <w:tc>
          <w:tcPr>
            <w:tcW w:w="110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87"/>
              </w:rPr>
              <w:t>89,430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170,541,685</w:t>
            </w: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3,664,270</w:t>
            </w:r>
          </w:p>
        </w:tc>
        <w:tc>
          <w:tcPr>
            <w:tcW w:w="2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534"/>
              <w:spacing w:after="0"/>
              <w:rPr>
                <w:sz w:val="20"/>
                <w:szCs w:val="20"/>
                <w:color w:val="auto"/>
              </w:rPr>
            </w:pPr>
            <w:r>
              <w:rPr>
                <w:rFonts w:ascii="Arial" w:cs="Arial" w:eastAsia="Arial" w:hAnsi="Arial"/>
                <w:sz w:val="18"/>
                <w:szCs w:val="18"/>
                <w:color w:val="auto"/>
                <w:w w:val="87"/>
              </w:rPr>
              <w:t>75,191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3,739,461</w:t>
            </w: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87"/>
              </w:rPr>
              <w:t>28,243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739,043</w:t>
            </w: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534"/>
              <w:spacing w:after="0"/>
              <w:rPr>
                <w:sz w:val="20"/>
                <w:szCs w:val="20"/>
                <w:color w:val="auto"/>
              </w:rPr>
            </w:pPr>
            <w:r>
              <w:rPr>
                <w:rFonts w:ascii="Arial" w:cs="Arial" w:eastAsia="Arial" w:hAnsi="Arial"/>
                <w:sz w:val="18"/>
                <w:szCs w:val="18"/>
                <w:color w:val="auto"/>
                <w:w w:val="87"/>
              </w:rPr>
              <w:t>11,400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11,400</w:t>
            </w:r>
          </w:p>
        </w:tc>
        <w:tc>
          <w:tcPr>
            <w:tcW w:w="20" w:type="dxa"/>
            <w:vAlign w:val="bottom"/>
          </w:tcPr>
          <w:p>
            <w:pPr>
              <w:spacing w:after="0"/>
              <w:rPr>
                <w:sz w:val="18"/>
                <w:szCs w:val="18"/>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Beyond 2012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16,560,719</w:t>
            </w:r>
          </w:p>
        </w:tc>
        <w:tc>
          <w:tcPr>
            <w:tcW w:w="2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59,514,459</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w w:val="93"/>
              </w:rPr>
              <w:t>98,752,147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207,589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175,034,914</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After Commercial Launch</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w w:val="87"/>
              </w:rPr>
              <w:t>Blizzard licensed game commitment*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Year One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87"/>
              </w:rPr>
              <w:t>202,469,100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Contract Year Two</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left="334"/>
              <w:spacing w:after="0"/>
              <w:rPr>
                <w:sz w:val="20"/>
                <w:szCs w:val="20"/>
                <w:color w:val="auto"/>
              </w:rPr>
            </w:pPr>
            <w:r>
              <w:rPr>
                <w:rFonts w:ascii="Arial" w:cs="Arial" w:eastAsia="Arial" w:hAnsi="Arial"/>
                <w:sz w:val="18"/>
                <w:szCs w:val="18"/>
                <w:color w:val="auto"/>
                <w:w w:val="87"/>
              </w:rPr>
              <w:t>161,534,100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Year Three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87"/>
              </w:rPr>
              <w:t>160,169,600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8"/>
                <w:szCs w:val="18"/>
                <w:color w:val="auto"/>
                <w:w w:val="87"/>
              </w:rPr>
              <w:t>524,172,800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9" w:lineRule="auto"/>
        <w:tabs>
          <w:tab w:leader="none" w:pos="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figures are calculated on the possibility that StarCraft II is launched in 2009 and do not include the Company’s contractual obligations with regard to the licensing of World of Warcraft which was agreed in April 2009. In addition, as of December 31, 2008, SH EaseNet is also obligated to provide for RMB109.6 million (US$16.1 million) hardware to support the games over the three-year term of the license. The figures represent the amount of payments that the Company has guaranteed if and to the extent SH EaseNet has insufficient funds to make such payments in connection with the licensing of certain online games by Blizzard to SH EaseNet for operation in China. The Company will be entitled to reimbursement of any amounts paid for the marketing of the games and for hardware support to operate the games under the guarantee from any net profits subsequently generated by SH EaseNet, after the deduction of, among others, various fees and expenses payable to Blizzard, the Company and the joint venture with Blizzard which will provide technical services to SH EaseNet. Subsequent to December 31, 2008, additional agreements were signed with Blizzard, see Note 22.</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years ended December 31, 2006, 2007 and 2008, the Company incurred rental expenses in the amounts of approximately RMB19.6 million, RMB25.9 and RMB30.0 million, respectively. The rental expenses for the years ended December 31, 2006, 2007 and 2008 included the imputed rent (based on the prevailing market rental) in the amount of approximately RMB3.7 million, RMB9.4 million and RMB9.4 million, respectively related to the Company’s use of Guangzhou office building even though it has no legal obligation to pay such rent (see Note 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(Cont’d)</w:t>
      </w:r>
    </w:p>
    <w:p>
      <w:pPr>
        <w:spacing w:after="0" w:line="158"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August 2008, Blizzard agreed to license to SH EaseNet on an exclusive basis in China three personal computer strategy games: StarCraft II, a sequel to</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Blizzard’s highly popular space-themed game, which is currently in development; Warcraft III: Reign of Chaos, a fantasy-themed game; and Warcraft III: The Frozen Throne, an expansion pack to Warcraft III: Reign of Chaos. Blizzard will also license on an exclusive basis its Battle.net platform which enables multiplayer interaction within these games and other online services. The term of the license will be three years, with an additional one year extension upon agreement of the parties, commencing from the commercial release of StarCraft II in China. StarCraft II has not been launched yet. On behalf of SH EaseNet as licensee of the games, the Company has paid to Blizzard US$4.0 million as an initial license fee as of December 31, 2008 (See Note 8), with an additional US$6.0 million to be paid as an initial license fee upon the commencement of open beta testing and commercial release in China of a localized version of Blizzard’s Battle.net platform. In addition, SH EaseNet has committed to pay royalties and consultancy fees to Blizzard and a minimum marketing expenditure and hardware support for the above-mentioned games in the aggregate of at least RMB592.8 million (US$86.9 million) over the three-year term of the license. The Company has guaranteed the payment of the foregoing amounts if and to the extent SH EaseNet has insufficient funds to make such payments. The Company or its subsidiaries will be entitled to reimbursement of any amounts paid for the marketing of the games and for hardware support to operate the games under the guarantee from any net profits subsequently generated by SH EaseNet, after the deduction of, among others, various fees and expenses payable to Blizzard, the Company and its joint venture with Blizzard which will provide technical services to SH EaseNet. In total, as of December 31, 2008, the total outstanding commitments the Company has guaranteed within the next three years for the above-mentioned games totaled approximately RMB633.8 million (US$92.9 million). Subsequent to December 31, 2008, additional agreements were signed with Blizzard, see Note 22.</w:t>
      </w:r>
    </w:p>
    <w:p>
      <w:pPr>
        <w:spacing w:after="0" w:line="238"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From time to time, the Company is involved in claims and legal proceedings that arise in the ordinary course of business. Based on currently available information, management does not believe that the ultimate outcome of these unresolved matters, individually and in the aggregate, is likely to have a material adverse effect on the Company’s financial position or results of operations. However, litigation is subject to inherent uncertainties and the Company’s view of these matters may change in the future. Were an unfavorable outcome to occur, there exists the possibility of a material adverse impact on the Company’s financial position and results of operations for the period in which the unfavorable outcome occurs, and potentially in future periods.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Board has approved four share repurchase programs since 2006 authorizing management to repurchase shares of the Company’s ordinary shares to enhance shareholder value. The timing and actual number of shares subject to repurchase are at the discretion of the Company’s management and are contingent on a number of factors and limitations, including the price of the Company’s stock, corporate and regulatory requirements, alternative investment opportunities and other market conditions. The stock repurchase programs specify a maximum number of shares subject to repurchase and have an expiration date and may be limited or terminated at any time without prior notice.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share repurchase programs authorized by the Company’s Board for the years ended 2007 and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960" w:type="dxa"/>
            <w:vAlign w:val="bottom"/>
            <w:gridSpan w:val="5"/>
          </w:tcPr>
          <w:p>
            <w:pPr>
              <w:spacing w:after="0"/>
              <w:rPr>
                <w:sz w:val="20"/>
                <w:szCs w:val="20"/>
                <w:color w:val="auto"/>
              </w:rPr>
            </w:pPr>
            <w:r>
              <w:rPr>
                <w:rFonts w:ascii="Arial" w:cs="Arial" w:eastAsia="Arial" w:hAnsi="Arial"/>
                <w:sz w:val="14"/>
                <w:szCs w:val="14"/>
                <w:b w:val="1"/>
                <w:bCs w:val="1"/>
                <w:color w:val="auto"/>
              </w:rPr>
              <w:t>Date of authorization</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87"/>
              </w:rPr>
              <w:t>Authorized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(US$ in million)</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59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For the year ended December 31, 2007</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tcPr>
          <w:p>
            <w:pPr>
              <w:ind w:left="440"/>
              <w:spacing w:after="0"/>
              <w:rPr>
                <w:sz w:val="20"/>
                <w:szCs w:val="20"/>
                <w:color w:val="auto"/>
              </w:rPr>
            </w:pPr>
            <w:r>
              <w:rPr>
                <w:rFonts w:ascii="Arial" w:cs="Arial" w:eastAsia="Arial" w:hAnsi="Arial"/>
                <w:sz w:val="18"/>
                <w:szCs w:val="18"/>
                <w:color w:val="auto"/>
              </w:rPr>
              <w:t>March 13, 2007 (for a period not to exceed three months)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July 2, 2007 (for one year ended July 1, 2008)</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960" w:type="dxa"/>
            <w:vAlign w:val="bottom"/>
            <w:gridSpan w:val="5"/>
          </w:tcPr>
          <w:p>
            <w:pPr>
              <w:ind w:left="88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59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For the year ended December 31, 2008</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tcPr>
          <w:p>
            <w:pPr>
              <w:ind w:left="440"/>
              <w:spacing w:after="0"/>
              <w:rPr>
                <w:sz w:val="20"/>
                <w:szCs w:val="20"/>
                <w:color w:val="auto"/>
              </w:rPr>
            </w:pPr>
            <w:r>
              <w:rPr>
                <w:rFonts w:ascii="Arial" w:cs="Arial" w:eastAsia="Arial" w:hAnsi="Arial"/>
                <w:sz w:val="18"/>
                <w:szCs w:val="18"/>
                <w:color w:val="auto"/>
              </w:rPr>
              <w:t>September 12, 2008 (for one year ending September 11, 2009)</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360" w:type="dxa"/>
            <w:vAlign w:val="bottom"/>
            <w:gridSpan w:val="8"/>
            <w:vMerge w:val="restart"/>
          </w:tcPr>
          <w:p>
            <w:pPr>
              <w:jc w:val="right"/>
              <w:ind w:right="40"/>
              <w:spacing w:after="0"/>
              <w:rPr>
                <w:sz w:val="20"/>
                <w:szCs w:val="20"/>
                <w:color w:val="auto"/>
              </w:rPr>
            </w:pPr>
            <w:r>
              <w:rPr>
                <w:rFonts w:ascii="Arial" w:cs="Arial" w:eastAsia="Arial" w:hAnsi="Arial"/>
                <w:sz w:val="18"/>
                <w:szCs w:val="18"/>
                <w:color w:val="auto"/>
                <w:w w:val="88"/>
              </w:rPr>
              <w:t>The following is a summary of the Company’s repurchase activities for the years ended December 31, 2007 and 2008:</w:t>
            </w: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8"/>
            <w:vMerge w:val="continue"/>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Total number of</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4"/>
              </w:rPr>
              <w:t>Average price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960" w:type="dxa"/>
            <w:vAlign w:val="bottom"/>
            <w:gridSpan w:val="5"/>
          </w:tcPr>
          <w:p>
            <w:pPr>
              <w:spacing w:after="0"/>
              <w:rPr>
                <w:sz w:val="20"/>
                <w:szCs w:val="20"/>
                <w:color w:val="auto"/>
              </w:rPr>
            </w:pPr>
            <w:r>
              <w:rPr>
                <w:rFonts w:ascii="Arial" w:cs="Arial" w:eastAsia="Arial" w:hAnsi="Arial"/>
                <w:sz w:val="14"/>
                <w:szCs w:val="14"/>
                <w:b w:val="1"/>
                <w:bCs w:val="1"/>
                <w:color w:val="auto"/>
              </w:rPr>
              <w:t>Share repurchase program</w:t>
            </w: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ADS repurchased</w:t>
            </w: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8"/>
              </w:rPr>
              <w:t>paid per ADS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3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Authorized in 2007</w:t>
            </w:r>
          </w:p>
        </w:tc>
        <w:tc>
          <w:tcPr>
            <w:tcW w:w="458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tcPr>
          <w:p>
            <w:pPr>
              <w:spacing w:after="0"/>
              <w:rPr>
                <w:sz w:val="20"/>
                <w:szCs w:val="20"/>
                <w:color w:val="auto"/>
              </w:rPr>
            </w:pPr>
            <w:r>
              <w:rPr>
                <w:rFonts w:ascii="Arial" w:cs="Arial" w:eastAsia="Arial" w:hAnsi="Arial"/>
                <w:sz w:val="18"/>
                <w:szCs w:val="18"/>
                <w:color w:val="auto"/>
              </w:rPr>
              <w:t>March 13</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5,314,544</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95,747,517</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18.0161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July 2</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2,766,484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46,426,026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8,081,028</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142,173,543</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17.5935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3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Authorized in 2008</w:t>
            </w:r>
          </w:p>
        </w:tc>
        <w:tc>
          <w:tcPr>
            <w:tcW w:w="458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gridSpan w:val="5"/>
          </w:tcPr>
          <w:p>
            <w:pPr>
              <w:spacing w:after="0"/>
              <w:rPr>
                <w:sz w:val="20"/>
                <w:szCs w:val="20"/>
                <w:color w:val="auto"/>
              </w:rPr>
            </w:pPr>
            <w:r>
              <w:rPr>
                <w:rFonts w:ascii="Arial" w:cs="Arial" w:eastAsia="Arial" w:hAnsi="Arial"/>
                <w:sz w:val="18"/>
                <w:szCs w:val="18"/>
                <w:color w:val="auto"/>
              </w:rPr>
              <w:t>September 12</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665,695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13,130,717</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19.7248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vMerge w:val="restart"/>
          </w:tcPr>
          <w:p>
            <w:pPr>
              <w:ind w:left="1880"/>
              <w:spacing w:after="0"/>
              <w:rPr>
                <w:sz w:val="20"/>
                <w:szCs w:val="20"/>
                <w:color w:val="auto"/>
              </w:rPr>
            </w:pPr>
            <w:r>
              <w:rPr>
                <w:rFonts w:ascii="Arial" w:cs="Arial" w:eastAsia="Arial" w:hAnsi="Arial"/>
                <w:sz w:val="18"/>
                <w:szCs w:val="18"/>
                <w:color w:val="auto"/>
              </w:rPr>
              <w:t>F-44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Programs (Cont’d)</w:t>
      </w:r>
    </w:p>
    <w:p>
      <w:pPr>
        <w:spacing w:after="0" w:line="164"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The Company accounts for repurchased ordinary shares under the cost method and include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firstly, and any remaining excess is charged entirely to retained earnings.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2008, the Company did not have any repurchased shares pending cancellation.</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As of December 31, 2008, approximately US$86.9 million was available to be used under the Board authorized share repurchase program approved on September 12, 2008.</w:t>
      </w:r>
    </w:p>
    <w:p>
      <w:pPr>
        <w:spacing w:after="0" w:line="248"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0"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segments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Company’s CODM is the Chief Executive Officer.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organizational structure is based on a number of factors that the CODM uses to evaluate, view and run its business operations which include, but are not limited to, customer base, homogeneity of products and technology. The Company’s operating segments are based on this organizational structure and information reviewed by the Company’s CODM to evaluate the operating segment results. The Company has determined that its operations are organized into three reportable segments: 1) Online Game Services; 2) Advertising Services; and 3) Wireless Value-added Services and Others. Future changes to this organizational structure may result in changes to the business segments disclosed.</w:t>
      </w:r>
    </w:p>
    <w:p>
      <w:pPr>
        <w:spacing w:after="0" w:line="231"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9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table below provides a summary of the Group’s operating segment results for the years ended December 31, 2006, 2007 and 2008. The Group does not allocate any operating costs or assets to its business segments as the Company’s CODM does not use this information to measure the performance of the operating segments. There was no transaction between reportable segments for the years ended December 31, 2006, 2007 and 2008.</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60" w:right="3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7420" w:type="dxa"/>
            <w:vAlign w:val="bottom"/>
          </w:tcPr>
          <w:p>
            <w:pPr>
              <w:ind w:left="120"/>
              <w:spacing w:after="0"/>
              <w:rPr>
                <w:sz w:val="20"/>
                <w:szCs w:val="20"/>
                <w:color w:val="auto"/>
              </w:rPr>
            </w:pPr>
            <w:r>
              <w:rPr>
                <w:rFonts w:ascii="Arial" w:cs="Arial" w:eastAsia="Arial" w:hAnsi="Arial"/>
                <w:sz w:val="18"/>
                <w:szCs w:val="18"/>
                <w:b w:val="1"/>
                <w:bCs w:val="1"/>
                <w:color w:val="auto"/>
              </w:rPr>
              <w:t>Segment Information (Cont’d)</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7420" w:type="dxa"/>
            <w:vAlign w:val="bottom"/>
          </w:tcPr>
          <w:p>
            <w:pPr>
              <w:ind w:left="120"/>
              <w:spacing w:after="0"/>
              <w:rPr>
                <w:sz w:val="20"/>
                <w:szCs w:val="20"/>
                <w:color w:val="auto"/>
              </w:rPr>
            </w:pPr>
            <w:r>
              <w:rPr>
                <w:rFonts w:ascii="Arial" w:cs="Arial" w:eastAsia="Arial" w:hAnsi="Arial"/>
                <w:sz w:val="18"/>
                <w:szCs w:val="18"/>
                <w:b w:val="1"/>
                <w:bCs w:val="1"/>
                <w:color w:val="auto"/>
              </w:rPr>
              <w:t>Segment data (cont’d)</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1,856,062,971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1,932,634,947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2,498,518,103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285,772,653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305,057,556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Wireless value-added services and others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75,406,121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68,018,461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71,718,938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2,217,241,745</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2,305,710,964</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2,976,124,048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760" w:type="dxa"/>
            <w:vAlign w:val="bottom"/>
            <w:gridSpan w:val="3"/>
          </w:tcPr>
          <w:p>
            <w:pPr>
              <w:spacing w:after="0"/>
              <w:rPr>
                <w:sz w:val="20"/>
                <w:szCs w:val="20"/>
                <w:color w:val="auto"/>
              </w:rPr>
            </w:pPr>
            <w:r>
              <w:rPr>
                <w:rFonts w:ascii="Arial" w:cs="Arial" w:eastAsia="Arial" w:hAnsi="Arial"/>
                <w:sz w:val="18"/>
                <w:szCs w:val="18"/>
                <w:color w:val="auto"/>
              </w:rPr>
              <w:t>Business tax (expense)/benefit (Note 10(b)):</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(25,769,359)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(63,776,953)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130,666,281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Advertising services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(24,290,676)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(25,929,892)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(34,500,316)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 value-added services and others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(2,822,240)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(2,717,355)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Total business taxes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gridSpan w:val="3"/>
            <w:vMerge w:val="continue"/>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(52,882,275)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(92,424,200)</w:t>
            </w:r>
          </w:p>
        </w:tc>
        <w:tc>
          <w:tcPr>
            <w:tcW w:w="1040" w:type="dxa"/>
            <w:vAlign w:val="bottom"/>
          </w:tcPr>
          <w:p>
            <w:pPr>
              <w:jc w:val="right"/>
              <w:spacing w:after="0"/>
              <w:rPr>
                <w:sz w:val="20"/>
                <w:szCs w:val="20"/>
                <w:color w:val="auto"/>
              </w:rPr>
            </w:pPr>
            <w:r>
              <w:rPr>
                <w:rFonts w:ascii="Arial" w:cs="Arial" w:eastAsia="Arial" w:hAnsi="Arial"/>
                <w:sz w:val="18"/>
                <w:szCs w:val="18"/>
                <w:color w:val="auto"/>
              </w:rPr>
              <w:t>108,460,101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1,830,293,612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1,868,857,994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2,629,184,384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261,481,977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279,127,664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371,386,691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Wireless value-added services and others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72,583,881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65,301,106</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84,013,074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2,164,359,470</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2,213,286,764</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3,084,584,149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76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(178,676,915)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(187,411,229)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(268,574,306)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Advertising services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(125,183,293)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(143,676,057)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(208,907,875)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 value-added services and others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(77,437,973)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(84,365,760)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(82,123,181)</w:t>
            </w: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Total cost of revenues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gridSpan w:val="3"/>
            <w:vMerge w:val="continue"/>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(381,298,181)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(415,453,046)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(559,605,362)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profit/(loss):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1,651,616,697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1,681,446,765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2,360,610,078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136,298,684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135,451,607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162,478,816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Wireless value-added services and others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(4,854,092)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(19,064,654)</w:t>
            </w:r>
          </w:p>
        </w:tc>
        <w:tc>
          <w:tcPr>
            <w:tcW w:w="1040" w:type="dxa"/>
            <w:vAlign w:val="bottom"/>
          </w:tcPr>
          <w:p>
            <w:pPr>
              <w:jc w:val="right"/>
              <w:spacing w:after="0"/>
              <w:rPr>
                <w:sz w:val="20"/>
                <w:szCs w:val="20"/>
                <w:color w:val="auto"/>
              </w:rPr>
            </w:pPr>
            <w:r>
              <w:rPr>
                <w:rFonts w:ascii="Arial" w:cs="Arial" w:eastAsia="Arial" w:hAnsi="Arial"/>
                <w:sz w:val="18"/>
                <w:szCs w:val="18"/>
                <w:color w:val="auto"/>
              </w:rPr>
              <w:t>1,889,893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1,783,061,289</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1,797,833,718</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2,524,978,787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All revenues of the Company’s reportable segments are derived from China based on the geographical locations where services are provided to customers.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2009, Blizzard and the Company announced that Blizzard’s World of Warcraft will also be licensed to SH EaseNet in mainland China for a term of three years following the expiration of its current license agreement on June 5, 2009 with another game operator. This new agreement is in addition to the announcement of both companies’ partnership on Blizzard’s Warcraft III, StarCraft II, and Battle.net gaming platform previously made in August 2008. Under these license agreements, SH EaseNet is required to pay license fees, royalties and consultancy fees to Blizzard for the games, and it also has a minimum marketing expenditure commitment. Over the three-year terms of both licenses, the total committed amount for the above-mentioned items are approximately RMB2,057.1 million (US$301.5 million). SH EaseNet is also obligated to provide funds for hardware to operate the games. The Company has guaranteed the payment of the foregoing amounts if and to the extent SH EaseNet has insufficient funds to make such payments. The Company or its subsidiaries will be entitled to reimbursement of any amounts paid for the marketing of the games and for hardware support to operate the games under the guarantee from any net profits subsequently generated by SH EaseNet, after the deduction of, among others, various fees and expenses payable to Blizzard, the Company and its joint venture with Blizzard which will provide technical services to SH EaseNet.</w:t>
      </w:r>
    </w:p>
    <w:p>
      <w:pPr>
        <w:spacing w:after="0" w:line="238"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Relevant PRC laws and regulations permit PRC companies to pay dividends only out of their retained earnings, if any, as determined in accordance with PRC accounting standards and regulations. Additionally, the Company’s VIEs can only distribute dividends upon approval of the shareholders after they have met the PRC requirements for appropriation to statutory reserve. The statutory general reserve fund requires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RMB1,308 million or 23.7% of the Company’s total consolidated net assets as of December 31, 2008.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 There were no undistributed retained earnings by the equity accounted investees in the consolidated retained earnings due to losses incurred by them.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59" w:right="27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8.1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NETEASE.COM,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Jurisdiction of Organization</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Effective Interest Held</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NetEase Information Technology (Beijing) Co., Ltd.</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People’s Republic of China</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100.0%(2)</w:t>
            </w: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NetEase Interactive Entertainment Ltd.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British Virgin Islands</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w:t>
            </w: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w w:val="92"/>
              </w:rPr>
              <w:t>Guangzhou Boguan Telecommunication Technology</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People’s Republic of China</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100.0%(2)</w:t>
            </w: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w w:val="96"/>
              </w:rPr>
              <w:t>NetEase Youdao Information Technology (Beijing)</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People’s Republic of China</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73.0%(2)</w:t>
            </w: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Co., Ltd (formerly named NetEase Yodao</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Information Technology (Beijing) Co., Ltd.)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Guangzhou NetEase Interactive Entertainment Ltd.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People’s Republic of China</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100.0%(1)</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NetEase (Hangzhou) Network Co., Ltd.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People’s Republic of China</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100.0%(1)</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w w:val="91"/>
              </w:rPr>
              <w:t>Guangzhou NetEase Information Technology Limited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People’s Republic of China</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100.0%(1)</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NetEase (Hong Kong) Limited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w w:val="89"/>
              </w:rPr>
              <w:t>Hong Kong NetEase Interactive Entertainment Limited</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100.0%(1)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Indirectly, through our 100.0% ownership of NetEase Interactive Entertainment Ltd.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Indirectly, through our 100.0% ownership of NetEase (Hong Kong) Limited</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William Lei Ding, certify that:</w:t>
      </w:r>
    </w:p>
    <w:p>
      <w:pPr>
        <w:spacing w:after="0" w:line="171" w:lineRule="exact"/>
        <w:rPr>
          <w:sz w:val="20"/>
          <w:szCs w:val="20"/>
          <w:color w:val="auto"/>
        </w:rPr>
      </w:pPr>
    </w:p>
    <w:p>
      <w:pPr>
        <w:ind w:left="640" w:hanging="176"/>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NetEase.com,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jc w:val="both"/>
        <w:ind w:right="20" w:firstLine="464"/>
        <w:spacing w:after="0" w:line="259" w:lineRule="auto"/>
        <w:tabs>
          <w:tab w:leader="none" w:pos="6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1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jc w:val="both"/>
        <w:ind w:left="1480" w:right="60" w:hanging="567"/>
        <w:spacing w:after="0" w:line="259" w:lineRule="auto"/>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rFonts w:ascii="Arial" w:cs="Arial" w:eastAsia="Arial" w:hAnsi="Arial"/>
          <w:sz w:val="18"/>
          <w:szCs w:val="18"/>
          <w:color w:val="auto"/>
        </w:rPr>
      </w:pPr>
    </w:p>
    <w:p>
      <w:pPr>
        <w:ind w:right="480" w:firstLine="464"/>
        <w:spacing w:after="0" w:line="332" w:lineRule="auto"/>
        <w:tabs>
          <w:tab w:leader="none" w:pos="62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480" w:right="400" w:hanging="567"/>
        <w:spacing w:after="0" w:line="268" w:lineRule="auto"/>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30, 2009</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William Lei Ding</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Onward Choi, certify that:</w:t>
      </w:r>
    </w:p>
    <w:p>
      <w:pPr>
        <w:spacing w:after="0" w:line="171" w:lineRule="exact"/>
        <w:rPr>
          <w:sz w:val="20"/>
          <w:szCs w:val="20"/>
          <w:color w:val="auto"/>
        </w:rPr>
      </w:pPr>
    </w:p>
    <w:p>
      <w:pPr>
        <w:ind w:left="640" w:hanging="176"/>
        <w:spacing w:after="0"/>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NetEase.com,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jc w:val="both"/>
        <w:ind w:right="20" w:firstLine="464"/>
        <w:spacing w:after="0" w:line="259" w:lineRule="auto"/>
        <w:tabs>
          <w:tab w:leader="none" w:pos="6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2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jc w:val="both"/>
        <w:ind w:left="1480" w:right="60" w:hanging="567"/>
        <w:spacing w:after="0" w:line="259" w:lineRule="auto"/>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rFonts w:ascii="Arial" w:cs="Arial" w:eastAsia="Arial" w:hAnsi="Arial"/>
          <w:sz w:val="18"/>
          <w:szCs w:val="18"/>
          <w:color w:val="auto"/>
        </w:rPr>
      </w:pPr>
    </w:p>
    <w:p>
      <w:pPr>
        <w:ind w:right="480" w:firstLine="464"/>
        <w:spacing w:after="0" w:line="332" w:lineRule="auto"/>
        <w:tabs>
          <w:tab w:leader="none" w:pos="62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480" w:right="400" w:hanging="567"/>
        <w:spacing w:after="0" w:line="268" w:lineRule="auto"/>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30, 2009</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Onward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Onward Choi</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Acting Chief Financial Officer</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periodic report of NetEase.com, Inc. (the “Company”) on Form 20-F for the year ended December 31, 2008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40" w:lineRule="exact"/>
        <w:rPr>
          <w:sz w:val="20"/>
          <w:szCs w:val="20"/>
          <w:color w:val="auto"/>
        </w:rPr>
      </w:pPr>
    </w:p>
    <w:p>
      <w:pPr>
        <w:ind w:left="180" w:hanging="172"/>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June 30, 2009</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William Lei Ding</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13.2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periodic report of NetEase.com, Inc. (the “Company”) on Form 20-F for the year ended December 31, 2008 as filed with the Securities and Exchange Commission (the “Report”), I, Onward Choi, the Acting Chief Financial Officer of the Company, hereby certify as of the date hereof, solely for purposes of Title 18, Chapter 63, Section 1350 of the United States Code, that to the best of my knowledge:</w:t>
      </w:r>
    </w:p>
    <w:p>
      <w:pPr>
        <w:spacing w:after="0" w:line="140" w:lineRule="exact"/>
        <w:rPr>
          <w:sz w:val="20"/>
          <w:szCs w:val="20"/>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June 30, 2009</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Onward Choi</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Acting Chief Financial Officer</w:t>
            </w:r>
          </w:p>
        </w:tc>
      </w:tr>
    </w:tbl>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15.2</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[PricewaterhouseCoopers Letterhead]</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 on Form S-8 (No. 333-100069) of NetEase.com, Inc. of our report 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2009 relating to the consolidated financial statements and the effectiveness of internal control over financial reporting, which appears in this Form 20-F.</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Zhong Tian CPAs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563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CPAs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15.3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Maples and Calder]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NetEase.com,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26/F, SP Tower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Tsinghua Science Park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 Zhongguancun East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 Beijing 100084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30 June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NetEase.com, Inc. (the “Company”)</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acted as legal advisors as to the laws of the Cayman Islands to the Company, an exempted limited liability company incorporated in the Cayman Islands, in connection with the filing by the Company with the United States Securities and Exchange Commission of an annual report on Form 20-F for the year ended 31 December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15.4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King &amp; Wood]</w:t>
      </w:r>
    </w:p>
    <w:p>
      <w:pPr>
        <w:spacing w:after="0" w:line="171"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June 30, 2009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NetEase.com,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26/F, SP Tower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Tsinghua Science Park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 Zhongguancun East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 Beijing 100084, People’s Republic of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consent to the reference to our firm under the heading “Enforcement of Civil Liabilities” in the annual report on Form 20-F for the year ended December 31, 2008 of NetEase.com, Inc. to be filed with the Securities and Exchange Commission in the month of June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King &amp;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King &amp; Wood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1."/>
      <w:numFmt w:val="upperLetter"/>
      <w:start w:val="1"/>
    </w:lvl>
  </w:abstractNum>
  <w:abstractNum w:abstractNumId="6">
    <w:nsid w:val="3C5991AA"/>
    <w:multiLevelType w:val="hybridMultilevel"/>
    <w:lvl w:ilvl="0">
      <w:lvlJc w:val="left"/>
      <w:lvlText w:val="(%1)"/>
      <w:numFmt w:val="decimal"/>
      <w:start w:val="1"/>
    </w:lvl>
  </w:abstractNum>
  <w:abstractNum w:abstractNumId="7">
    <w:nsid w:val="4BD8591A"/>
    <w:multiLevelType w:val="hybridMultilevel"/>
    <w:lvl w:ilvl="0">
      <w:lvlJc w:val="left"/>
      <w:lvlText w:val="%1."/>
      <w:numFmt w:val="upperLetter"/>
      <w:start w:val="3"/>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1)"/>
      <w:numFmt w:val="lowerRoman"/>
      <w:start w:val="3"/>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1."/>
      <w:numFmt w:val="upperLetter"/>
      <w:start w:val="1"/>
    </w:lvl>
  </w:abstractNum>
  <w:abstractNum w:abstractNumId="15">
    <w:nsid w:val="4C9B0904"/>
    <w:multiLevelType w:val="hybridMultilevel"/>
    <w:lvl w:ilvl="0">
      <w:lvlJc w:val="left"/>
      <w:lvlText w:val="%1."/>
      <w:numFmt w:val="upperLetter"/>
      <w:start w:val="2"/>
    </w:lvl>
  </w:abstractNum>
  <w:abstractNum w:abstractNumId="16">
    <w:nsid w:val="6AA7B75C"/>
    <w:multiLevelType w:val="hybridMultilevel"/>
    <w:lvl w:ilvl="0">
      <w:lvlJc w:val="left"/>
      <w:lvlText w:val="%1:"/>
      <w:numFmt w:val="upperLetter"/>
      <w:start w:val="6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
      <w:numFmt w:val="bullet"/>
      <w:start w:val="1"/>
    </w:lvl>
  </w:abstractNum>
  <w:abstractNum w:abstractNumId="25">
    <w:nsid w:val="53B0A9E"/>
    <w:multiLevelType w:val="hybridMultilevel"/>
    <w:lvl w:ilvl="0">
      <w:lvlJc w:val="left"/>
      <w:lvlText w:val="•"/>
      <w:numFmt w:val="bullet"/>
      <w:start w:val="1"/>
    </w:lvl>
  </w:abstractNum>
  <w:abstractNum w:abstractNumId="26">
    <w:nsid w:val="34FD6B4F"/>
    <w:multiLevelType w:val="hybridMultilevel"/>
    <w:lvl w:ilvl="0">
      <w:lvlJc w:val="left"/>
      <w:lvlText w:val="%1."/>
      <w:numFmt w:val="upperLetter"/>
      <w:start w:val="3"/>
    </w:lvl>
  </w:abstractNum>
  <w:abstractNum w:abstractNumId="27">
    <w:nsid w:val="5915FF32"/>
    <w:multiLevelType w:val="hybridMultilevel"/>
    <w:lvl w:ilvl="0">
      <w:lvlJc w:val="left"/>
      <w:lvlText w:val="%1."/>
      <w:numFmt w:val="upperLetter"/>
      <w:start w:val="1"/>
    </w:lvl>
  </w:abstractNum>
  <w:abstractNum w:abstractNumId="28">
    <w:nsid w:val="56438D15"/>
    <w:multiLevelType w:val="hybridMultilevel"/>
    <w:lvl w:ilvl="0">
      <w:lvlJc w:val="left"/>
      <w:lvlText w:val="•"/>
      <w:numFmt w:val="bullet"/>
      <w:start w:val="1"/>
    </w:lvl>
  </w:abstractNum>
  <w:abstractNum w:abstractNumId="29">
    <w:nsid w:val="519E3149"/>
    <w:multiLevelType w:val="hybridMultilevel"/>
    <w:lvl w:ilvl="0">
      <w:lvlJc w:val="left"/>
      <w:lvlText w:val="•"/>
      <w:numFmt w:val="bullet"/>
      <w:start w:val="1"/>
    </w:lvl>
  </w:abstractNum>
  <w:abstractNum w:abstractNumId="30">
    <w:nsid w:val="2C6E4AFD"/>
    <w:multiLevelType w:val="hybridMultilevel"/>
    <w:lvl w:ilvl="0">
      <w:lvlJc w:val="left"/>
      <w:lvlText w:val="•"/>
      <w:numFmt w:val="bullet"/>
      <w:start w:val="1"/>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
      <w:numFmt w:val="bullet"/>
      <w:start w:val="1"/>
    </w:lvl>
  </w:abstractNum>
  <w:abstractNum w:abstractNumId="34">
    <w:nsid w:val="5D888A08"/>
    <w:multiLevelType w:val="hybridMultilevel"/>
    <w:lvl w:ilvl="0">
      <w:lvlJc w:val="left"/>
      <w:lvlText w:val="•"/>
      <w:numFmt w:val="bullet"/>
      <w:start w:val="1"/>
    </w:lvl>
  </w:abstractNum>
  <w:abstractNum w:abstractNumId="35">
    <w:nsid w:val="2A082C70"/>
    <w:multiLevelType w:val="hybridMultilevel"/>
    <w:lvl w:ilvl="0">
      <w:lvlJc w:val="left"/>
      <w:lvlText w:val="•"/>
      <w:numFmt w:val="bullet"/>
      <w:start w:val="1"/>
    </w:lvl>
  </w:abstractNum>
  <w:abstractNum w:abstractNumId="36">
    <w:nsid w:val="5EC6AFD4"/>
    <w:multiLevelType w:val="hybridMultilevel"/>
    <w:lvl w:ilvl="0">
      <w:lvlJc w:val="left"/>
      <w:lvlText w:val="•"/>
      <w:numFmt w:val="bullet"/>
      <w:start w:val="1"/>
    </w:lvl>
  </w:abstractNum>
  <w:abstractNum w:abstractNumId="37">
    <w:nsid w:val="19E21BB2"/>
    <w:multiLevelType w:val="hybridMultilevel"/>
    <w:lvl w:ilvl="0">
      <w:lvlJc w:val="left"/>
      <w:lvlText w:val="•"/>
      <w:numFmt w:val="bullet"/>
      <w:start w:val="1"/>
    </w:lvl>
  </w:abstractNum>
  <w:abstractNum w:abstractNumId="38">
    <w:nsid w:val="75E0858A"/>
    <w:multiLevelType w:val="hybridMultilevel"/>
    <w:lvl w:ilvl="0">
      <w:lvlJc w:val="left"/>
      <w:lvlText w:val="•"/>
      <w:numFmt w:val="bullet"/>
      <w:start w:val="1"/>
    </w:lvl>
  </w:abstractNum>
  <w:abstractNum w:abstractNumId="39">
    <w:nsid w:val="57A61A29"/>
    <w:multiLevelType w:val="hybridMultilevel"/>
    <w:lvl w:ilvl="0">
      <w:lvlJc w:val="left"/>
      <w:lvlText w:val="•"/>
      <w:numFmt w:val="bullet"/>
      <w:start w:val="1"/>
    </w:lvl>
  </w:abstractNum>
  <w:abstractNum w:abstractNumId="40">
    <w:nsid w:val="5399C654"/>
    <w:multiLevelType w:val="hybridMultilevel"/>
    <w:lvl w:ilvl="0">
      <w:lvlJc w:val="left"/>
      <w:lvlText w:val="•"/>
      <w:numFmt w:val="bullet"/>
      <w:start w:val="1"/>
    </w:lvl>
  </w:abstractNum>
  <w:abstractNum w:abstractNumId="41">
    <w:nsid w:val="20EE1348"/>
    <w:multiLevelType w:val="hybridMultilevel"/>
    <w:lvl w:ilvl="0">
      <w:lvlJc w:val="left"/>
      <w:lvlText w:val="•"/>
      <w:numFmt w:val="bullet"/>
      <w:start w:val="1"/>
    </w:lvl>
  </w:abstractNum>
  <w:abstractNum w:abstractNumId="42">
    <w:nsid w:val="4427069A"/>
    <w:multiLevelType w:val="hybridMultilevel"/>
    <w:lvl w:ilvl="0">
      <w:lvlJc w:val="left"/>
      <w:lvlText w:val="•"/>
      <w:numFmt w:val="bullet"/>
      <w:start w:val="1"/>
    </w:lvl>
  </w:abstractNum>
  <w:abstractNum w:abstractNumId="43">
    <w:nsid w:val="B37E80A"/>
    <w:multiLevelType w:val="hybridMultilevel"/>
    <w:lvl w:ilvl="0">
      <w:lvlJc w:val="left"/>
      <w:lvlText w:val="•"/>
      <w:numFmt w:val="bullet"/>
      <w:start w:val="1"/>
    </w:lvl>
  </w:abstractNum>
  <w:abstractNum w:abstractNumId="44">
    <w:nsid w:val="2157F6BC"/>
    <w:multiLevelType w:val="hybridMultilevel"/>
    <w:lvl w:ilvl="0">
      <w:lvlJc w:val="left"/>
      <w:lvlText w:val="•"/>
      <w:numFmt w:val="bullet"/>
      <w:start w:val="1"/>
    </w:lvl>
  </w:abstractNum>
  <w:abstractNum w:abstractNumId="45">
    <w:nsid w:val="704E1DD5"/>
    <w:multiLevelType w:val="hybridMultilevel"/>
    <w:lvl w:ilvl="0">
      <w:lvlJc w:val="left"/>
      <w:lvlText w:val="•"/>
      <w:numFmt w:val="bullet"/>
      <w:start w:val="1"/>
    </w:lvl>
  </w:abstractNum>
  <w:abstractNum w:abstractNumId="46">
    <w:nsid w:val="57D2F10E"/>
    <w:multiLevelType w:val="hybridMultilevel"/>
    <w:lvl w:ilvl="0">
      <w:lvlJc w:val="left"/>
      <w:lvlText w:val="•"/>
      <w:numFmt w:val="bullet"/>
      <w:start w:val="1"/>
    </w:lvl>
  </w:abstractNum>
  <w:abstractNum w:abstractNumId="47">
    <w:nsid w:val="BFFAE18"/>
    <w:multiLevelType w:val="hybridMultilevel"/>
    <w:lvl w:ilvl="0">
      <w:lvlJc w:val="left"/>
      <w:lvlText w:val="%1."/>
      <w:numFmt w:val="upperLetter"/>
      <w:start w:val="2"/>
    </w:lvl>
    <w:lvl w:ilvl="1">
      <w:lvlJc w:val="left"/>
      <w:lvlText w:val="•"/>
      <w:numFmt w:val="bullet"/>
      <w:start w:val="1"/>
    </w:lvl>
  </w:abstractNum>
  <w:abstractNum w:abstractNumId="48">
    <w:nsid w:val="E3E47A8"/>
    <w:multiLevelType w:val="hybridMultilevel"/>
    <w:lvl w:ilvl="0">
      <w:lvlJc w:val="left"/>
      <w:lvlText w:val="•"/>
      <w:numFmt w:val="bullet"/>
      <w:start w:val="1"/>
    </w:lvl>
  </w:abstractNum>
  <w:abstractNum w:abstractNumId="49">
    <w:nsid w:val="2E48F044"/>
    <w:multiLevelType w:val="hybridMultilevel"/>
    <w:lvl w:ilvl="0">
      <w:lvlJc w:val="left"/>
      <w:lvlText w:val="•"/>
      <w:numFmt w:val="bullet"/>
      <w:start w:val="1"/>
    </w:lvl>
  </w:abstractNum>
  <w:abstractNum w:abstractNumId="50">
    <w:nsid w:val="49D0FEAC"/>
    <w:multiLevelType w:val="hybridMultilevel"/>
    <w:lvl w:ilvl="0">
      <w:lvlJc w:val="left"/>
      <w:lvlText w:val="•"/>
      <w:numFmt w:val="bullet"/>
      <w:start w:val="1"/>
    </w:lvl>
  </w:abstractNum>
  <w:abstractNum w:abstractNumId="51">
    <w:nsid w:val="4BEE5A5B"/>
    <w:multiLevelType w:val="hybridMultilevel"/>
    <w:lvl w:ilvl="0">
      <w:lvlJc w:val="left"/>
      <w:lvlText w:val="•"/>
      <w:numFmt w:val="bullet"/>
      <w:start w:val="1"/>
    </w:lvl>
  </w:abstractNum>
  <w:abstractNum w:abstractNumId="52">
    <w:nsid w:val="5551B9F3"/>
    <w:multiLevelType w:val="hybridMultilevel"/>
    <w:lvl w:ilvl="0">
      <w:lvlJc w:val="left"/>
      <w:lvlText w:val="%1."/>
      <w:numFmt w:val="upperLetter"/>
      <w:start w:val="3"/>
    </w:lvl>
  </w:abstractNum>
  <w:abstractNum w:abstractNumId="53">
    <w:nsid w:val="24F6AB8E"/>
    <w:multiLevelType w:val="hybridMultilevel"/>
    <w:lvl w:ilvl="0">
      <w:lvlJc w:val="left"/>
      <w:lvlText w:val="%1."/>
      <w:numFmt w:val="upperLetter"/>
      <w:start w:val="4"/>
    </w:lvl>
    <w:lvl w:ilvl="1">
      <w:lvlJc w:val="left"/>
      <w:lvlText w:val="•"/>
      <w:numFmt w:val="bullet"/>
      <w:start w:val="1"/>
    </w:lvl>
  </w:abstractNum>
  <w:abstractNum w:abstractNumId="54">
    <w:nsid w:val="634C574C"/>
    <w:multiLevelType w:val="hybridMultilevel"/>
    <w:lvl w:ilvl="0">
      <w:lvlJc w:val="left"/>
      <w:lvlText w:val="%1."/>
      <w:numFmt w:val="upperLetter"/>
      <w:start w:val="4"/>
    </w:lvl>
    <w:lvl w:ilvl="1">
      <w:lvlJc w:val="left"/>
      <w:lvlText w:val="•"/>
      <w:numFmt w:val="bullet"/>
      <w:start w:val="1"/>
    </w:lvl>
  </w:abstractNum>
  <w:abstractNum w:abstractNumId="55">
    <w:nsid w:val="24E99DD7"/>
    <w:multiLevelType w:val="hybridMultilevel"/>
    <w:lvl w:ilvl="0">
      <w:lvlJc w:val="left"/>
      <w:lvlText w:val="%1."/>
      <w:numFmt w:val="upperLetter"/>
      <w:start w:val="6"/>
    </w:lvl>
  </w:abstractNum>
  <w:abstractNum w:abstractNumId="56">
    <w:nsid w:val="2A31B62D"/>
    <w:multiLevelType w:val="hybridMultilevel"/>
    <w:lvl w:ilvl="0">
      <w:lvlJc w:val="left"/>
      <w:lvlText w:val="*"/>
      <w:numFmt w:val="bullet"/>
      <w:start w:val="1"/>
    </w:lvl>
  </w:abstractNum>
  <w:abstractNum w:abstractNumId="57">
    <w:nsid w:val="1849C29B"/>
    <w:multiLevelType w:val="hybridMultilevel"/>
    <w:lvl w:ilvl="0">
      <w:lvlJc w:val="left"/>
      <w:lvlText w:val="%1."/>
      <w:numFmt w:val="upperLetter"/>
      <w:start w:val="1"/>
    </w:lvl>
  </w:abstractNum>
  <w:abstractNum w:abstractNumId="58">
    <w:nsid w:val="7DFF9D09"/>
    <w:multiLevelType w:val="hybridMultilevel"/>
    <w:lvl w:ilvl="0">
      <w:lvlJc w:val="left"/>
      <w:lvlText w:val="(%1)"/>
      <w:numFmt w:val="decimal"/>
      <w:start w:val="1"/>
    </w:lvl>
  </w:abstractNum>
  <w:abstractNum w:abstractNumId="59">
    <w:nsid w:val="754342"/>
    <w:multiLevelType w:val="hybridMultilevel"/>
    <w:lvl w:ilvl="0">
      <w:lvlJc w:val="left"/>
      <w:lvlText w:val="%1."/>
      <w:numFmt w:val="upperLetter"/>
      <w:start w:val="2"/>
    </w:lvl>
  </w:abstractNum>
  <w:abstractNum w:abstractNumId="60">
    <w:nsid w:val="69E7F3E5"/>
    <w:multiLevelType w:val="hybridMultilevel"/>
    <w:lvl w:ilvl="0">
      <w:lvlJc w:val="left"/>
      <w:lvlText w:val="(%1)"/>
      <w:numFmt w:val="decimal"/>
      <w:start w:val="1"/>
    </w:lvl>
  </w:abstractNum>
  <w:abstractNum w:abstractNumId="61">
    <w:nsid w:val="2A6DE806"/>
    <w:multiLevelType w:val="hybridMultilevel"/>
    <w:lvl w:ilvl="0">
      <w:lvlJc w:val="left"/>
      <w:lvlText w:val="(%1)"/>
      <w:numFmt w:val="lowerRoman"/>
      <w:start w:val="2"/>
    </w:lvl>
  </w:abstractNum>
  <w:abstractNum w:abstractNumId="62">
    <w:nsid w:val="1816F8C4"/>
    <w:multiLevelType w:val="hybridMultilevel"/>
    <w:lvl w:ilvl="0">
      <w:lvlJc w:val="left"/>
      <w:lvlText w:val="(%1)"/>
      <w:numFmt w:val="lowerRoman"/>
      <w:start w:val="2"/>
    </w:lvl>
  </w:abstractNum>
  <w:abstractNum w:abstractNumId="63">
    <w:nsid w:val="37DF2233"/>
    <w:multiLevelType w:val="hybridMultilevel"/>
    <w:lvl w:ilvl="0">
      <w:lvlJc w:val="left"/>
      <w:lvlText w:val="(%1)"/>
      <w:numFmt w:val="decimal"/>
      <w:start w:val="1"/>
    </w:lvl>
  </w:abstractNum>
  <w:abstractNum w:abstractNumId="64">
    <w:nsid w:val="7AB49DAF"/>
    <w:multiLevelType w:val="hybridMultilevel"/>
    <w:lvl w:ilvl="0">
      <w:lvlJc w:val="left"/>
      <w:lvlText w:val="%1."/>
      <w:numFmt w:val="upperLetter"/>
      <w:start w:val="3"/>
    </w:lvl>
  </w:abstractNum>
  <w:abstractNum w:abstractNumId="65">
    <w:nsid w:val="759F82CD"/>
    <w:multiLevelType w:val="hybridMultilevel"/>
    <w:lvl w:ilvl="0">
      <w:lvlJc w:val="left"/>
      <w:lvlText w:val="%1."/>
      <w:numFmt w:val="upperLetter"/>
      <w:start w:val="4"/>
    </w:lvl>
  </w:abstractNum>
  <w:abstractNum w:abstractNumId="66">
    <w:nsid w:val="61E74EA3"/>
    <w:multiLevelType w:val="hybridMultilevel"/>
    <w:lvl w:ilvl="0">
      <w:lvlJc w:val="left"/>
      <w:lvlText w:val="%1."/>
      <w:numFmt w:val="upperLetter"/>
      <w:start w:val="5"/>
    </w:lvl>
  </w:abstractNum>
  <w:abstractNum w:abstractNumId="67">
    <w:nsid w:val="597B4D84"/>
    <w:multiLevelType w:val="hybridMultilevel"/>
    <w:lvl w:ilvl="0">
      <w:lvlJc w:val="left"/>
      <w:lvlText w:val="•"/>
      <w:numFmt w:val="bullet"/>
      <w:start w:val="1"/>
    </w:lvl>
  </w:abstractNum>
  <w:abstractNum w:abstractNumId="68">
    <w:nsid w:val="F819E7F"/>
    <w:multiLevelType w:val="hybridMultilevel"/>
    <w:lvl w:ilvl="0">
      <w:lvlJc w:val="left"/>
      <w:lvlText w:val="*"/>
      <w:numFmt w:val="bullet"/>
      <w:start w:val="1"/>
    </w:lvl>
  </w:abstractNum>
  <w:abstractNum w:abstractNumId="69">
    <w:nsid w:val="57C7D42D"/>
    <w:multiLevelType w:val="hybridMultilevel"/>
    <w:lvl w:ilvl="0">
      <w:lvlJc w:val="left"/>
      <w:lvlText w:val="(%1)"/>
      <w:numFmt w:val="decimal"/>
      <w:start w:val="1"/>
    </w:lvl>
  </w:abstractNum>
  <w:abstractNum w:abstractNumId="70">
    <w:nsid w:val="312167AD"/>
    <w:multiLevelType w:val="hybridMultilevel"/>
    <w:lvl w:ilvl="0">
      <w:lvlJc w:val="left"/>
      <w:lvlText w:val="(%1)"/>
      <w:numFmt w:val="decimal"/>
      <w:start w:val="5"/>
    </w:lvl>
  </w:abstractNum>
  <w:abstractNum w:abstractNumId="71">
    <w:nsid w:val="631B64D4"/>
    <w:multiLevelType w:val="hybridMultilevel"/>
    <w:lvl w:ilvl="0">
      <w:lvlJc w:val="left"/>
      <w:lvlText w:val="%1."/>
      <w:numFmt w:val="upperLetter"/>
      <w:start w:val="1"/>
    </w:lvl>
  </w:abstractNum>
  <w:abstractNum w:abstractNumId="72">
    <w:nsid w:val="78B5E776"/>
    <w:multiLevelType w:val="hybridMultilevel"/>
    <w:lvl w:ilvl="0">
      <w:lvlJc w:val="left"/>
      <w:lvlText w:val="•"/>
      <w:numFmt w:val="bullet"/>
      <w:start w:val="1"/>
    </w:lvl>
    <w:lvl w:ilvl="1">
      <w:lvlJc w:val="left"/>
      <w:lvlText w:val="•"/>
      <w:numFmt w:val="bullet"/>
      <w:start w:val="1"/>
    </w:lvl>
  </w:abstractNum>
  <w:abstractNum w:abstractNumId="73">
    <w:nsid w:val="75486E47"/>
    <w:multiLevelType w:val="hybridMultilevel"/>
    <w:lvl w:ilvl="0">
      <w:lvlJc w:val="left"/>
      <w:lvlText w:val="•"/>
      <w:numFmt w:val="bullet"/>
      <w:start w:val="1"/>
    </w:lvl>
  </w:abstractNum>
  <w:abstractNum w:abstractNumId="74">
    <w:nsid w:val="6E534CDE"/>
    <w:multiLevelType w:val="hybridMultilevel"/>
    <w:lvl w:ilvl="0">
      <w:lvlJc w:val="left"/>
      <w:lvlText w:val="•"/>
      <w:numFmt w:val="bullet"/>
      <w:start w:val="1"/>
    </w:lvl>
  </w:abstractNum>
  <w:abstractNum w:abstractNumId="75">
    <w:nsid w:val="1A0DDE32"/>
    <w:multiLevelType w:val="hybridMultilevel"/>
    <w:lvl w:ilvl="0">
      <w:lvlJc w:val="left"/>
      <w:lvlText w:val="•"/>
      <w:numFmt w:val="bullet"/>
      <w:start w:val="1"/>
    </w:lvl>
    <w:lvl w:ilvl="1">
      <w:lvlJc w:val="left"/>
      <w:lvlText w:val="•"/>
      <w:numFmt w:val="bullet"/>
      <w:start w:val="1"/>
    </w:lvl>
  </w:abstractNum>
  <w:abstractNum w:abstractNumId="76">
    <w:nsid w:val="65968C1C"/>
    <w:multiLevelType w:val="hybridMultilevel"/>
    <w:lvl w:ilvl="0">
      <w:lvlJc w:val="left"/>
      <w:lvlText w:val="•"/>
      <w:numFmt w:val="bullet"/>
      <w:start w:val="1"/>
    </w:lvl>
    <w:lvl w:ilvl="1">
      <w:lvlJc w:val="left"/>
      <w:lvlText w:val="•"/>
      <w:numFmt w:val="bullet"/>
      <w:start w:val="1"/>
    </w:lvl>
  </w:abstractNum>
  <w:abstractNum w:abstractNumId="77">
    <w:nsid w:val="46263DEC"/>
    <w:multiLevelType w:val="hybridMultilevel"/>
    <w:lvl w:ilvl="0">
      <w:lvlJc w:val="left"/>
      <w:lvlText w:val="•"/>
      <w:numFmt w:val="bullet"/>
      <w:start w:val="1"/>
    </w:lvl>
    <w:lvl w:ilvl="1">
      <w:lvlJc w:val="left"/>
      <w:lvlText w:val="•"/>
      <w:numFmt w:val="bullet"/>
      <w:start w:val="1"/>
    </w:lvl>
  </w:abstractNum>
  <w:abstractNum w:abstractNumId="78">
    <w:nsid w:val="260D8C4A"/>
    <w:multiLevelType w:val="hybridMultilevel"/>
    <w:lvl w:ilvl="0">
      <w:lvlJc w:val="left"/>
      <w:lvlText w:val="•"/>
      <w:numFmt w:val="bullet"/>
      <w:start w:val="1"/>
    </w:lvl>
  </w:abstractNum>
  <w:abstractNum w:abstractNumId="79">
    <w:nsid w:val="73D4D3C4"/>
    <w:multiLevelType w:val="hybridMultilevel"/>
    <w:lvl w:ilvl="0">
      <w:lvlJc w:val="left"/>
      <w:lvlText w:val="•"/>
      <w:numFmt w:val="bullet"/>
      <w:start w:val="1"/>
    </w:lvl>
  </w:abstractNum>
  <w:abstractNum w:abstractNumId="80">
    <w:nsid w:val="746F2E30"/>
    <w:multiLevelType w:val="hybridMultilevel"/>
    <w:lvl w:ilvl="0">
      <w:lvlJc w:val="left"/>
      <w:lvlText w:val="•"/>
      <w:numFmt w:val="bullet"/>
      <w:start w:val="1"/>
    </w:lvl>
  </w:abstractNum>
  <w:abstractNum w:abstractNumId="81">
    <w:nsid w:val="6FDE8AF6"/>
    <w:multiLevelType w:val="hybridMultilevel"/>
    <w:lvl w:ilvl="0">
      <w:lvlJc w:val="left"/>
      <w:lvlText w:val="•"/>
      <w:numFmt w:val="bullet"/>
      <w:start w:val="1"/>
    </w:lvl>
  </w:abstractNum>
  <w:abstractNum w:abstractNumId="82">
    <w:nsid w:val="3FC32E20"/>
    <w:multiLevelType w:val="hybridMultilevel"/>
    <w:lvl w:ilvl="0">
      <w:lvlJc w:val="left"/>
      <w:lvlText w:val="•"/>
      <w:numFmt w:val="bullet"/>
      <w:start w:val="1"/>
    </w:lvl>
  </w:abstractNum>
  <w:abstractNum w:abstractNumId="83">
    <w:nsid w:val="49C0E823"/>
    <w:multiLevelType w:val="hybridMultilevel"/>
    <w:lvl w:ilvl="0">
      <w:lvlJc w:val="left"/>
      <w:lvlText w:val="•"/>
      <w:numFmt w:val="bullet"/>
      <w:start w:val="1"/>
    </w:lvl>
  </w:abstractNum>
  <w:abstractNum w:abstractNumId="84">
    <w:nsid w:val="14D53685"/>
    <w:multiLevelType w:val="hybridMultilevel"/>
    <w:lvl w:ilvl="0">
      <w:lvlJc w:val="left"/>
      <w:lvlText w:val="•"/>
      <w:numFmt w:val="bullet"/>
      <w:start w:val="1"/>
    </w:lvl>
  </w:abstractNum>
  <w:abstractNum w:abstractNumId="85">
    <w:nsid w:val="230F856C"/>
    <w:multiLevelType w:val="hybridMultilevel"/>
    <w:lvl w:ilvl="0">
      <w:lvlJc w:val="left"/>
      <w:lvlText w:val="%1."/>
      <w:numFmt w:val="upperLetter"/>
      <w:start w:val="3"/>
    </w:lvl>
  </w:abstractNum>
  <w:abstractNum w:abstractNumId="86">
    <w:nsid w:val="6EAA85FB"/>
    <w:multiLevelType w:val="hybridMultilevel"/>
    <w:lvl w:ilvl="0">
      <w:lvlJc w:val="left"/>
      <w:lvlText w:val="%1."/>
      <w:numFmt w:val="upperLetter"/>
      <w:start w:val="1"/>
    </w:lvl>
  </w:abstractNum>
  <w:abstractNum w:abstractNumId="87">
    <w:nsid w:val="3F06ECB2"/>
    <w:multiLevelType w:val="hybridMultilevel"/>
    <w:lvl w:ilvl="0">
      <w:lvlJc w:val="left"/>
      <w:lvlText w:val="%1."/>
      <w:numFmt w:val="upperLetter"/>
      <w:start w:val="2"/>
    </w:lvl>
  </w:abstractNum>
  <w:abstractNum w:abstractNumId="88">
    <w:nsid w:val="3B594807"/>
    <w:multiLevelType w:val="hybridMultilevel"/>
    <w:lvl w:ilvl="0">
      <w:lvlJc w:val="left"/>
      <w:lvlText w:val="%1."/>
      <w:numFmt w:val="upperLetter"/>
      <w:start w:val="1"/>
    </w:lvl>
  </w:abstractNum>
  <w:abstractNum w:abstractNumId="89">
    <w:nsid w:val="6CAA2304"/>
    <w:multiLevelType w:val="hybridMultilevel"/>
    <w:lvl w:ilvl="0">
      <w:lvlJc w:val="left"/>
      <w:lvlText w:val="(%1)"/>
      <w:numFmt w:val="lowerLetter"/>
      <w:start w:val="1"/>
    </w:lvl>
  </w:abstractNum>
  <w:abstractNum w:abstractNumId="90">
    <w:nsid w:val="3F7C2FF4"/>
    <w:multiLevelType w:val="hybridMultilevel"/>
    <w:lvl w:ilvl="0">
      <w:lvlJc w:val="left"/>
      <w:lvlText w:val="(%1)"/>
      <w:numFmt w:val="lowerLetter"/>
      <w:start w:val="2"/>
    </w:lvl>
  </w:abstractNum>
  <w:abstractNum w:abstractNumId="91">
    <w:nsid w:val="25413BEC"/>
    <w:multiLevelType w:val="hybridMultilevel"/>
    <w:lvl w:ilvl="0">
      <w:lvlJc w:val="left"/>
      <w:lvlText w:val="•"/>
      <w:numFmt w:val="bullet"/>
      <w:start w:val="1"/>
    </w:lvl>
  </w:abstractNum>
  <w:abstractNum w:abstractNumId="92">
    <w:nsid w:val="17180B0B"/>
    <w:multiLevelType w:val="hybridMultilevel"/>
    <w:lvl w:ilvl="0">
      <w:lvlJc w:val="left"/>
      <w:lvlText w:val="•"/>
      <w:numFmt w:val="bullet"/>
      <w:start w:val="1"/>
    </w:lvl>
  </w:abstractNum>
  <w:abstractNum w:abstractNumId="93">
    <w:nsid w:val="579328B9"/>
    <w:multiLevelType w:val="hybridMultilevel"/>
    <w:lvl w:ilvl="0">
      <w:lvlJc w:val="left"/>
      <w:lvlText w:val="%1."/>
      <w:numFmt w:val="upperLetter"/>
      <w:start w:val="3"/>
    </w:lvl>
  </w:abstractNum>
  <w:abstractNum w:abstractNumId="94">
    <w:nsid w:val="5D205E20"/>
    <w:multiLevelType w:val="hybridMultilevel"/>
    <w:lvl w:ilvl="0">
      <w:lvlJc w:val="left"/>
      <w:lvlText w:val="%1."/>
      <w:numFmt w:val="upperLetter"/>
      <w:start w:val="4"/>
    </w:lvl>
  </w:abstractNum>
  <w:abstractNum w:abstractNumId="95">
    <w:nsid w:val="11CCA8BA"/>
    <w:multiLevelType w:val="hybridMultilevel"/>
    <w:lvl w:ilvl="0">
      <w:lvlJc w:val="left"/>
      <w:lvlText w:val="%1."/>
      <w:numFmt w:val="upperLetter"/>
      <w:start w:val="5"/>
    </w:lvl>
  </w:abstractNum>
  <w:abstractNum w:abstractNumId="96">
    <w:nsid w:val="4D32AB86"/>
    <w:multiLevelType w:val="hybridMultilevel"/>
    <w:lvl w:ilvl="0">
      <w:lvlJc w:val="left"/>
      <w:lvlText w:val="•"/>
      <w:numFmt w:val="bullet"/>
      <w:start w:val="1"/>
    </w:lvl>
  </w:abstractNum>
  <w:abstractNum w:abstractNumId="97">
    <w:nsid w:val="3F07ACC3"/>
    <w:multiLevelType w:val="hybridMultilevel"/>
    <w:lvl w:ilvl="0">
      <w:lvlJc w:val="left"/>
      <w:lvlText w:val="•"/>
      <w:numFmt w:val="bullet"/>
      <w:start w:val="1"/>
    </w:lvl>
  </w:abstractNum>
  <w:abstractNum w:abstractNumId="98">
    <w:nsid w:val="6B47F63E"/>
    <w:multiLevelType w:val="hybridMultilevel"/>
    <w:lvl w:ilvl="0">
      <w:lvlJc w:val="left"/>
      <w:lvlText w:val="•"/>
      <w:numFmt w:val="bullet"/>
      <w:start w:val="1"/>
    </w:lvl>
  </w:abstractNum>
  <w:abstractNum w:abstractNumId="99">
    <w:nsid w:val="5CB44A05"/>
    <w:multiLevelType w:val="hybridMultilevel"/>
    <w:lvl w:ilvl="0">
      <w:lvlJc w:val="left"/>
      <w:lvlText w:val="•"/>
      <w:numFmt w:val="bullet"/>
      <w:start w:val="1"/>
    </w:lvl>
  </w:abstractNum>
  <w:abstractNum w:abstractNumId="100">
    <w:nsid w:val="16CF80F1"/>
    <w:multiLevelType w:val="hybridMultilevel"/>
    <w:lvl w:ilvl="0">
      <w:lvlJc w:val="left"/>
      <w:lvlText w:val="(%1)"/>
      <w:numFmt w:val="decimal"/>
      <w:start w:val="1"/>
    </w:lvl>
  </w:abstractNum>
  <w:abstractNum w:abstractNumId="101">
    <w:nsid w:val="1C695DEC"/>
    <w:multiLevelType w:val="hybridMultilevel"/>
    <w:lvl w:ilvl="0">
      <w:lvlJc w:val="left"/>
      <w:lvlText w:val="(%1)"/>
      <w:numFmt w:val="decimal"/>
      <w:start w:val="1"/>
    </w:lvl>
  </w:abstractNum>
  <w:abstractNum w:abstractNumId="102">
    <w:nsid w:val="3FCFAED9"/>
    <w:multiLevelType w:val="hybridMultilevel"/>
    <w:lvl w:ilvl="0">
      <w:lvlJc w:val="left"/>
      <w:lvlText w:val="%1."/>
      <w:numFmt w:val="upperLetter"/>
      <w:start w:val="6"/>
    </w:lvl>
  </w:abstractNum>
  <w:abstractNum w:abstractNumId="103">
    <w:nsid w:val="F856867"/>
    <w:multiLevelType w:val="hybridMultilevel"/>
    <w:lvl w:ilvl="0">
      <w:lvlJc w:val="left"/>
      <w:lvlText w:val="%1."/>
      <w:numFmt w:val="upperLetter"/>
      <w:start w:val="8"/>
    </w:lvl>
  </w:abstractNum>
  <w:abstractNum w:abstractNumId="104">
    <w:nsid w:val="11B1CC33"/>
    <w:multiLevelType w:val="hybridMultilevel"/>
    <w:lvl w:ilvl="0">
      <w:lvlJc w:val="left"/>
      <w:lvlText w:val="%1."/>
      <w:numFmt w:val="upperLetter"/>
      <w:start w:val="9"/>
    </w:lvl>
  </w:abstractNum>
  <w:abstractNum w:abstractNumId="105">
    <w:nsid w:val="2E22FBB7"/>
    <w:multiLevelType w:val="hybridMultilevel"/>
    <w:lvl w:ilvl="0">
      <w:lvlJc w:val="left"/>
      <w:lvlText w:val="(%1)"/>
      <w:numFmt w:val="decimal"/>
      <w:start w:val="1"/>
    </w:lvl>
  </w:abstractNum>
  <w:abstractNum w:abstractNumId="106">
    <w:nsid w:val="29934699"/>
    <w:multiLevelType w:val="hybridMultilevel"/>
    <w:lvl w:ilvl="0">
      <w:lvlJc w:val="left"/>
      <w:lvlText w:val="•"/>
      <w:numFmt w:val="bullet"/>
      <w:start w:val="1"/>
    </w:lvl>
  </w:abstractNum>
  <w:abstractNum w:abstractNumId="107">
    <w:nsid w:val="77485850"/>
    <w:multiLevelType w:val="hybridMultilevel"/>
    <w:lvl w:ilvl="0">
      <w:lvlJc w:val="left"/>
      <w:lvlText w:val="•"/>
      <w:numFmt w:val="bullet"/>
      <w:start w:val="1"/>
    </w:lvl>
  </w:abstractNum>
  <w:abstractNum w:abstractNumId="108">
    <w:nsid w:val="744939A3"/>
    <w:multiLevelType w:val="hybridMultilevel"/>
    <w:lvl w:ilvl="0">
      <w:lvlJc w:val="left"/>
      <w:lvlText w:val="(%1)"/>
      <w:numFmt w:val="decimal"/>
      <w:start w:val="1"/>
    </w:lvl>
  </w:abstractNum>
  <w:abstractNum w:abstractNumId="109">
    <w:nsid w:val="4FA0D2E3"/>
    <w:multiLevelType w:val="hybridMultilevel"/>
    <w:lvl w:ilvl="0">
      <w:lvlJc w:val="left"/>
      <w:lvlText w:val="%1."/>
      <w:numFmt w:val="decimal"/>
      <w:start w:val="1"/>
    </w:lvl>
  </w:abstractNum>
  <w:abstractNum w:abstractNumId="110">
    <w:nsid w:val="6B1D2C14"/>
    <w:multiLevelType w:val="hybridMultilevel"/>
    <w:lvl w:ilvl="0">
      <w:lvlJc w:val="left"/>
      <w:lvlText w:val="(%1)"/>
      <w:numFmt w:val="lowerLetter"/>
      <w:start w:val="1"/>
    </w:lvl>
  </w:abstractNum>
  <w:abstractNum w:abstractNumId="111">
    <w:nsid w:val="68B867D3"/>
    <w:multiLevelType w:val="hybridMultilevel"/>
    <w:lvl w:ilvl="0">
      <w:lvlJc w:val="left"/>
      <w:lvlText w:val="%1."/>
      <w:numFmt w:val="decimal"/>
      <w:start w:val="1"/>
    </w:lvl>
  </w:abstractNum>
  <w:abstractNum w:abstractNumId="112">
    <w:nsid w:val="3F7F5DD9"/>
    <w:multiLevelType w:val="hybridMultilevel"/>
    <w:lvl w:ilvl="0">
      <w:lvlJc w:val="left"/>
      <w:lvlText w:val="(%1)"/>
      <w:numFmt w:val="lowerLetter"/>
      <w:start w:val="1"/>
    </w:lvl>
  </w:abstractNum>
  <w:abstractNum w:abstractNumId="113">
    <w:nsid w:val="2AE05A34"/>
    <w:multiLevelType w:val="hybridMultilevel"/>
    <w:lvl w:ilvl="0">
      <w:lvlJc w:val="left"/>
      <w:lvlText w:val="(%1)"/>
      <w:numFmt w:val="lowerLetter"/>
      <w:start w:val="2"/>
    </w:lvl>
  </w:abstractNum>
  <w:abstractNum w:abstractNumId="114">
    <w:nsid w:val="32794FF7"/>
    <w:multiLevelType w:val="hybridMultilevel"/>
    <w:lvl w:ilvl="0">
      <w:lvlJc w:val="left"/>
      <w:lvlText w:val="%1."/>
      <w:numFmt w:val="decimal"/>
      <w:start w:val="2"/>
    </w:lvl>
  </w:abstractNum>
  <w:abstractNum w:abstractNumId="115">
    <w:nsid w:val="5454945E"/>
    <w:multiLevelType w:val="hybridMultilevel"/>
    <w:lvl w:ilvl="0">
      <w:lvlJc w:val="left"/>
      <w:lvlText w:val="(%1)"/>
      <w:numFmt w:val="lowerLetter"/>
      <w:start w:val="1"/>
    </w:lvl>
  </w:abstractNum>
  <w:abstractNum w:abstractNumId="116">
    <w:nsid w:val="4DEFDFA0"/>
    <w:multiLevelType w:val="hybridMultilevel"/>
    <w:lvl w:ilvl="0">
      <w:lvlJc w:val="left"/>
      <w:lvlText w:val="(%1)"/>
      <w:numFmt w:val="lowerLetter"/>
      <w:start w:val="2"/>
    </w:lvl>
  </w:abstractNum>
  <w:abstractNum w:abstractNumId="117">
    <w:nsid w:val="2123D5F2"/>
    <w:multiLevelType w:val="hybridMultilevel"/>
    <w:lvl w:ilvl="0">
      <w:lvlJc w:val="left"/>
      <w:lvlText w:val="(%1)"/>
      <w:numFmt w:val="lowerLetter"/>
      <w:start w:val="3"/>
    </w:lvl>
  </w:abstractNum>
  <w:abstractNum w:abstractNumId="118">
    <w:nsid w:val="135B8110"/>
    <w:multiLevelType w:val="hybridMultilevel"/>
    <w:lvl w:ilvl="0">
      <w:lvlJc w:val="left"/>
      <w:lvlText w:val="%1."/>
      <w:numFmt w:val="decimal"/>
      <w:start w:val="2"/>
    </w:lvl>
  </w:abstractNum>
  <w:abstractNum w:abstractNumId="119">
    <w:nsid w:val="94927A8"/>
    <w:multiLevelType w:val="hybridMultilevel"/>
    <w:lvl w:ilvl="0">
      <w:lvlJc w:val="left"/>
      <w:lvlText w:val="(%1)"/>
      <w:numFmt w:val="lowerLetter"/>
      <w:start w:val="3"/>
    </w:lvl>
  </w:abstractNum>
  <w:abstractNum w:abstractNumId="120">
    <w:nsid w:val="DCDF8F6"/>
    <w:multiLevelType w:val="hybridMultilevel"/>
    <w:lvl w:ilvl="0">
      <w:lvlJc w:val="left"/>
      <w:lvlText w:val="(%1)"/>
      <w:numFmt w:val="lowerRoman"/>
      <w:start w:val="1"/>
    </w:lvl>
  </w:abstractNum>
  <w:abstractNum w:abstractNumId="121">
    <w:nsid w:val="52D7B105"/>
    <w:multiLevelType w:val="hybridMultilevel"/>
    <w:lvl w:ilvl="0">
      <w:lvlJc w:val="left"/>
      <w:lvlText w:val="(%1)"/>
      <w:numFmt w:val="lowerRoman"/>
      <w:start w:val="2"/>
    </w:lvl>
  </w:abstractNum>
  <w:abstractNum w:abstractNumId="122">
    <w:nsid w:val="2E8A6394"/>
    <w:multiLevelType w:val="hybridMultilevel"/>
    <w:lvl w:ilvl="0">
      <w:lvlJc w:val="left"/>
      <w:lvlText w:val="%1."/>
      <w:numFmt w:val="decimal"/>
      <w:start w:val="2"/>
    </w:lvl>
  </w:abstractNum>
  <w:abstractNum w:abstractNumId="123">
    <w:nsid w:val="24E60401"/>
    <w:multiLevelType w:val="hybridMultilevel"/>
    <w:lvl w:ilvl="0">
      <w:lvlJc w:val="left"/>
      <w:lvlText w:val="(%1)"/>
      <w:numFmt w:val="lowerLetter"/>
      <w:start w:val="3"/>
    </w:lvl>
  </w:abstractNum>
  <w:abstractNum w:abstractNumId="124">
    <w:nsid w:val="2A6AD9BE"/>
    <w:multiLevelType w:val="hybridMultilevel"/>
    <w:lvl w:ilvl="0">
      <w:lvlJc w:val="left"/>
      <w:lvlText w:val="(%1)"/>
      <w:numFmt w:val="lowerRoman"/>
      <w:start w:val="2"/>
    </w:lvl>
  </w:abstractNum>
  <w:abstractNum w:abstractNumId="125">
    <w:nsid w:val="BAAC1B4"/>
    <w:multiLevelType w:val="hybridMultilevel"/>
    <w:lvl w:ilvl="0">
      <w:lvlJc w:val="left"/>
      <w:lvlText w:val="(%1)"/>
      <w:numFmt w:val="lowerRoman"/>
      <w:start w:val="3"/>
    </w:lvl>
  </w:abstractNum>
  <w:abstractNum w:abstractNumId="126">
    <w:nsid w:val="36B2ACBC"/>
    <w:multiLevelType w:val="hybridMultilevel"/>
    <w:lvl w:ilvl="0">
      <w:lvlJc w:val="left"/>
      <w:lvlText w:val="(%1)"/>
      <w:numFmt w:val="lowerLetter"/>
      <w:start w:val="4"/>
    </w:lvl>
  </w:abstractNum>
  <w:abstractNum w:abstractNumId="127">
    <w:nsid w:val="779D8544"/>
    <w:multiLevelType w:val="hybridMultilevel"/>
    <w:lvl w:ilvl="0">
      <w:lvlJc w:val="left"/>
      <w:lvlText w:val="(%1)"/>
      <w:numFmt w:val="lowerLetter"/>
      <w:start w:val="5"/>
    </w:lvl>
  </w:abstractNum>
  <w:abstractNum w:abstractNumId="128">
    <w:nsid w:val="4AB26E78"/>
    <w:multiLevelType w:val="hybridMultilevel"/>
    <w:lvl w:ilvl="0">
      <w:lvlJc w:val="left"/>
      <w:lvlText w:val="%1."/>
      <w:numFmt w:val="decimal"/>
      <w:start w:val="2"/>
    </w:lvl>
  </w:abstractNum>
  <w:abstractNum w:abstractNumId="129">
    <w:nsid w:val="21FAA2FA"/>
    <w:multiLevelType w:val="hybridMultilevel"/>
    <w:lvl w:ilvl="0">
      <w:lvlJc w:val="left"/>
      <w:lvlText w:val="(%1)"/>
      <w:numFmt w:val="lowerLetter"/>
      <w:start w:val="5"/>
    </w:lvl>
  </w:abstractNum>
  <w:abstractNum w:abstractNumId="130">
    <w:nsid w:val="5451CF49"/>
    <w:multiLevelType w:val="hybridMultilevel"/>
    <w:lvl w:ilvl="0">
      <w:lvlJc w:val="left"/>
      <w:lvlText w:val="(%1)"/>
      <w:numFmt w:val="lowerLetter"/>
      <w:start w:val="6"/>
    </w:lvl>
  </w:abstractNum>
  <w:abstractNum w:abstractNumId="131">
    <w:nsid w:val="6181EF69"/>
    <w:multiLevelType w:val="hybridMultilevel"/>
    <w:lvl w:ilvl="0">
      <w:lvlJc w:val="left"/>
      <w:lvlText w:val="%1."/>
      <w:numFmt w:val="decimal"/>
      <w:start w:val="2"/>
    </w:lvl>
  </w:abstractNum>
  <w:abstractNum w:abstractNumId="132">
    <w:nsid w:val="3E6400E6"/>
    <w:multiLevelType w:val="hybridMultilevel"/>
    <w:lvl w:ilvl="0">
      <w:lvlJc w:val="left"/>
      <w:lvlText w:val="(%1)"/>
      <w:numFmt w:val="lowerLetter"/>
      <w:start w:val="7"/>
    </w:lvl>
  </w:abstractNum>
  <w:abstractNum w:abstractNumId="133">
    <w:nsid w:val="14217E23"/>
    <w:multiLevelType w:val="hybridMultilevel"/>
    <w:lvl w:ilvl="0">
      <w:lvlJc w:val="left"/>
      <w:lvlText w:val="(%1)"/>
      <w:numFmt w:val="lowerLetter"/>
      <w:start w:val="8"/>
    </w:lvl>
  </w:abstractNum>
  <w:abstractNum w:abstractNumId="134">
    <w:nsid w:val="710757D0"/>
    <w:multiLevelType w:val="hybridMultilevel"/>
    <w:lvl w:ilvl="0">
      <w:lvlJc w:val="left"/>
      <w:lvlText w:val="(%1)"/>
      <w:numFmt w:val="lowerRoman"/>
      <w:start w:val="1"/>
    </w:lvl>
  </w:abstractNum>
  <w:abstractNum w:abstractNumId="135">
    <w:nsid w:val="5015CD1A"/>
    <w:multiLevelType w:val="hybridMultilevel"/>
    <w:lvl w:ilvl="0">
      <w:lvlJc w:val="left"/>
      <w:lvlText w:val="%1."/>
      <w:numFmt w:val="decimal"/>
      <w:start w:val="2"/>
    </w:lvl>
  </w:abstractNum>
  <w:abstractNum w:abstractNumId="136">
    <w:nsid w:val="424479DA"/>
    <w:multiLevelType w:val="hybridMultilevel"/>
    <w:lvl w:ilvl="0">
      <w:lvlJc w:val="left"/>
      <w:lvlText w:val="(%1)"/>
      <w:numFmt w:val="lowerRoman"/>
      <w:start w:val="1"/>
    </w:lvl>
  </w:abstractNum>
  <w:abstractNum w:abstractNumId="137">
    <w:nsid w:val="1A9A9E69"/>
    <w:multiLevelType w:val="hybridMultilevel"/>
    <w:lvl w:ilvl="0">
      <w:lvlJc w:val="left"/>
      <w:lvlText w:val="(%1)"/>
      <w:numFmt w:val="lowerLetter"/>
      <w:start w:val="10"/>
    </w:lvl>
  </w:abstractNum>
  <w:abstractNum w:abstractNumId="138">
    <w:nsid w:val="475E256A"/>
    <w:multiLevelType w:val="hybridMultilevel"/>
    <w:lvl w:ilvl="0">
      <w:lvlJc w:val="left"/>
      <w:lvlText w:val="(%1)"/>
      <w:numFmt w:val="lowerLetter"/>
      <w:start w:val="11"/>
    </w:lvl>
  </w:abstractNum>
  <w:abstractNum w:abstractNumId="139">
    <w:nsid w:val="368DB37E"/>
    <w:multiLevelType w:val="hybridMultilevel"/>
    <w:lvl w:ilvl="0">
      <w:lvlJc w:val="left"/>
      <w:lvlText w:val="(%1)"/>
      <w:numFmt w:val="lowerLetter"/>
      <w:start w:val="12"/>
    </w:lvl>
  </w:abstractNum>
  <w:abstractNum w:abstractNumId="140">
    <w:nsid w:val="6A3B714C"/>
    <w:multiLevelType w:val="hybridMultilevel"/>
    <w:lvl w:ilvl="0">
      <w:lvlJc w:val="left"/>
      <w:lvlText w:val="%1."/>
      <w:numFmt w:val="decimal"/>
      <w:start w:val="2"/>
    </w:lvl>
  </w:abstractNum>
  <w:abstractNum w:abstractNumId="141">
    <w:nsid w:val="327B517E"/>
    <w:multiLevelType w:val="hybridMultilevel"/>
    <w:lvl w:ilvl="0">
      <w:lvlJc w:val="left"/>
      <w:lvlText w:val="(%1)"/>
      <w:numFmt w:val="lowerLetter"/>
      <w:start w:val="12"/>
    </w:lvl>
  </w:abstractNum>
  <w:abstractNum w:abstractNumId="142">
    <w:nsid w:val="1F461B51"/>
    <w:multiLevelType w:val="hybridMultilevel"/>
    <w:lvl w:ilvl="0">
      <w:lvlJc w:val="left"/>
      <w:lvlText w:val="(%1)"/>
      <w:numFmt w:val="lowerLetter"/>
      <w:start w:val="13"/>
    </w:lvl>
  </w:abstractNum>
  <w:abstractNum w:abstractNumId="143">
    <w:nsid w:val="29BACF25"/>
    <w:multiLevelType w:val="hybridMultilevel"/>
    <w:lvl w:ilvl="0">
      <w:lvlJc w:val="left"/>
      <w:lvlText w:val="%1."/>
      <w:numFmt w:val="decimal"/>
      <w:start w:val="2"/>
    </w:lvl>
  </w:abstractNum>
  <w:abstractNum w:abstractNumId="144">
    <w:nsid w:val="5D5BABB3"/>
    <w:multiLevelType w:val="hybridMultilevel"/>
    <w:lvl w:ilvl="0">
      <w:lvlJc w:val="left"/>
      <w:lvlText w:val="(%1)"/>
      <w:numFmt w:val="lowerLetter"/>
      <w:start w:val="13"/>
    </w:lvl>
  </w:abstractNum>
  <w:abstractNum w:abstractNumId="145">
    <w:nsid w:val="51BF6B48"/>
    <w:multiLevelType w:val="hybridMultilevel"/>
    <w:lvl w:ilvl="0">
      <w:lvlJc w:val="left"/>
      <w:lvlText w:val="(%1)"/>
      <w:numFmt w:val="lowerLetter"/>
      <w:start w:val="14"/>
    </w:lvl>
  </w:abstractNum>
  <w:abstractNum w:abstractNumId="146">
    <w:nsid w:val="7E0F6384"/>
    <w:multiLevelType w:val="hybridMultilevel"/>
    <w:lvl w:ilvl="0">
      <w:lvlJc w:val="left"/>
      <w:lvlText w:val="(%1)"/>
      <w:numFmt w:val="lowerLetter"/>
      <w:start w:val="15"/>
    </w:lvl>
  </w:abstractNum>
  <w:abstractNum w:abstractNumId="147">
    <w:nsid w:val="2B4B8B53"/>
    <w:multiLevelType w:val="hybridMultilevel"/>
    <w:lvl w:ilvl="0">
      <w:lvlJc w:val="left"/>
      <w:lvlText w:val="%1."/>
      <w:numFmt w:val="decimal"/>
      <w:start w:val="2"/>
    </w:lvl>
  </w:abstractNum>
  <w:abstractNum w:abstractNumId="148">
    <w:nsid w:val="72E3413A"/>
    <w:multiLevelType w:val="hybridMultilevel"/>
    <w:lvl w:ilvl="0">
      <w:lvlJc w:val="left"/>
      <w:lvlText w:val="(%1)"/>
      <w:numFmt w:val="lowerLetter"/>
      <w:start w:val="15"/>
    </w:lvl>
  </w:abstractNum>
  <w:abstractNum w:abstractNumId="149">
    <w:nsid w:val="116AE494"/>
    <w:multiLevelType w:val="hybridMultilevel"/>
    <w:lvl w:ilvl="0">
      <w:lvlJc w:val="left"/>
      <w:lvlText w:val="%1."/>
      <w:numFmt w:val="decimal"/>
      <w:start w:val="2"/>
    </w:lvl>
  </w:abstractNum>
  <w:abstractNum w:abstractNumId="150">
    <w:nsid w:val="3494B2FB"/>
    <w:multiLevelType w:val="hybridMultilevel"/>
    <w:lvl w:ilvl="0">
      <w:lvlJc w:val="left"/>
      <w:lvlText w:val="(%1)"/>
      <w:numFmt w:val="lowerLetter"/>
      <w:start w:val="16"/>
    </w:lvl>
  </w:abstractNum>
  <w:abstractNum w:abstractNumId="151">
    <w:nsid w:val="B13A31"/>
    <w:multiLevelType w:val="hybridMultilevel"/>
    <w:lvl w:ilvl="0">
      <w:lvlJc w:val="left"/>
      <w:lvlText w:val="(%1)"/>
      <w:numFmt w:val="lowerLetter"/>
      <w:start w:val="17"/>
    </w:lvl>
  </w:abstractNum>
  <w:abstractNum w:abstractNumId="152">
    <w:nsid w:val="64429599"/>
    <w:multiLevelType w:val="hybridMultilevel"/>
    <w:lvl w:ilvl="0">
      <w:lvlJc w:val="left"/>
      <w:lvlText w:val="(%1)"/>
      <w:numFmt w:val="lowerLetter"/>
      <w:start w:val="18"/>
    </w:lvl>
  </w:abstractNum>
  <w:abstractNum w:abstractNumId="153">
    <w:nsid w:val="631F1690"/>
    <w:multiLevelType w:val="hybridMultilevel"/>
    <w:lvl w:ilvl="0">
      <w:lvlJc w:val="left"/>
      <w:lvlText w:val="(%1)"/>
      <w:numFmt w:val="lowerLetter"/>
      <w:start w:val="19"/>
    </w:lvl>
  </w:abstractNum>
  <w:abstractNum w:abstractNumId="154">
    <w:nsid w:val="25973E32"/>
    <w:multiLevelType w:val="hybridMultilevel"/>
    <w:lvl w:ilvl="0">
      <w:lvlJc w:val="left"/>
      <w:lvlText w:val="%1."/>
      <w:numFmt w:val="decimal"/>
      <w:start w:val="2"/>
    </w:lvl>
  </w:abstractNum>
  <w:abstractNum w:abstractNumId="155">
    <w:nsid w:val="EAD6F57"/>
    <w:multiLevelType w:val="hybridMultilevel"/>
    <w:lvl w:ilvl="0">
      <w:lvlJc w:val="left"/>
      <w:lvlText w:val="(%1)"/>
      <w:numFmt w:val="lowerLetter"/>
      <w:start w:val="19"/>
    </w:lvl>
  </w:abstractNum>
  <w:abstractNum w:abstractNumId="156">
    <w:nsid w:val="6EC9D844"/>
    <w:multiLevelType w:val="hybridMultilevel"/>
    <w:lvl w:ilvl="0">
      <w:lvlJc w:val="left"/>
      <w:lvlText w:val="%1."/>
      <w:numFmt w:val="decimal"/>
      <w:start w:val="3"/>
    </w:lvl>
  </w:abstractNum>
  <w:abstractNum w:abstractNumId="157">
    <w:nsid w:val="5C49EAEE"/>
    <w:multiLevelType w:val="hybridMultilevel"/>
    <w:lvl w:ilvl="0">
      <w:lvlJc w:val="left"/>
      <w:lvlText w:val="(%1)"/>
      <w:numFmt w:val="lowerLetter"/>
      <w:start w:val="1"/>
    </w:lvl>
  </w:abstractNum>
  <w:abstractNum w:abstractNumId="158">
    <w:nsid w:val="64AF49B"/>
    <w:multiLevelType w:val="hybridMultilevel"/>
    <w:lvl w:ilvl="0">
      <w:lvlJc w:val="left"/>
      <w:lvlText w:val="(%1)"/>
      <w:numFmt w:val="lowerLetter"/>
      <w:start w:val="2"/>
    </w:lvl>
  </w:abstractNum>
  <w:abstractNum w:abstractNumId="159">
    <w:nsid w:val="397C46BC"/>
    <w:multiLevelType w:val="hybridMultilevel"/>
    <w:lvl w:ilvl="0">
      <w:lvlJc w:val="left"/>
      <w:lvlText w:val="(%1)"/>
      <w:numFmt w:val="lowerLetter"/>
      <w:start w:val="3"/>
    </w:lvl>
  </w:abstractNum>
  <w:abstractNum w:abstractNumId="160">
    <w:nsid w:val="7E448DE9"/>
    <w:multiLevelType w:val="hybridMultilevel"/>
    <w:lvl w:ilvl="0">
      <w:lvlJc w:val="left"/>
      <w:lvlText w:val="(%1)"/>
      <w:numFmt w:val="lowerLetter"/>
      <w:start w:val="4"/>
    </w:lvl>
  </w:abstractNum>
  <w:abstractNum w:abstractNumId="161">
    <w:nsid w:val="5A9CC3E5"/>
    <w:multiLevelType w:val="hybridMultilevel"/>
    <w:lvl w:ilvl="0">
      <w:lvlJc w:val="left"/>
      <w:lvlText w:val="%1."/>
      <w:numFmt w:val="decimal"/>
      <w:start w:val="4"/>
    </w:lvl>
  </w:abstractNum>
  <w:abstractNum w:abstractNumId="162">
    <w:nsid w:val="1AFE3625"/>
    <w:multiLevelType w:val="hybridMultilevel"/>
    <w:lvl w:ilvl="0">
      <w:lvlJc w:val="left"/>
      <w:lvlText w:val="%1."/>
      <w:numFmt w:val="decimal"/>
      <w:start w:val="5"/>
    </w:lvl>
  </w:abstractNum>
  <w:abstractNum w:abstractNumId="163">
    <w:nsid w:val="3CA88ECF"/>
    <w:multiLevelType w:val="hybridMultilevel"/>
    <w:lvl w:ilvl="0">
      <w:lvlJc w:val="left"/>
      <w:lvlText w:val="%1."/>
      <w:numFmt w:val="decimal"/>
      <w:start w:val="6"/>
    </w:lvl>
  </w:abstractNum>
  <w:abstractNum w:abstractNumId="164">
    <w:nsid w:val="6EBE4208"/>
    <w:multiLevelType w:val="hybridMultilevel"/>
    <w:lvl w:ilvl="0">
      <w:lvlJc w:val="left"/>
      <w:lvlText w:val="%1."/>
      <w:numFmt w:val="decimal"/>
      <w:start w:val="6"/>
    </w:lvl>
  </w:abstractNum>
  <w:abstractNum w:abstractNumId="165">
    <w:nsid w:val="C058DF5"/>
    <w:multiLevelType w:val="hybridMultilevel"/>
    <w:lvl w:ilvl="0">
      <w:lvlJc w:val="left"/>
      <w:lvlText w:val="%1."/>
      <w:numFmt w:val="decimal"/>
      <w:start w:val="7"/>
    </w:lvl>
  </w:abstractNum>
  <w:abstractNum w:abstractNumId="166">
    <w:nsid w:val="CBE5BE9"/>
    <w:multiLevelType w:val="hybridMultilevel"/>
    <w:lvl w:ilvl="0">
      <w:lvlJc w:val="left"/>
      <w:lvlText w:val="%1."/>
      <w:numFmt w:val="decimal"/>
      <w:start w:val="8"/>
    </w:lvl>
  </w:abstractNum>
  <w:abstractNum w:abstractNumId="167">
    <w:nsid w:val="3102BBE2"/>
    <w:multiLevelType w:val="hybridMultilevel"/>
    <w:lvl w:ilvl="0">
      <w:lvlJc w:val="left"/>
      <w:lvlText w:val="%1."/>
      <w:numFmt w:val="decimal"/>
      <w:start w:val="9"/>
    </w:lvl>
  </w:abstractNum>
  <w:abstractNum w:abstractNumId="168">
    <w:nsid w:val="26A02C5E"/>
    <w:multiLevelType w:val="hybridMultilevel"/>
    <w:lvl w:ilvl="0">
      <w:lvlJc w:val="left"/>
      <w:lvlText w:val="%1."/>
      <w:numFmt w:val="decimal"/>
      <w:start w:val="9"/>
    </w:lvl>
  </w:abstractNum>
  <w:abstractNum w:abstractNumId="169">
    <w:nsid w:val="541C8153"/>
    <w:multiLevelType w:val="hybridMultilevel"/>
    <w:lvl w:ilvl="0">
      <w:lvlJc w:val="left"/>
      <w:lvlText w:val="%1."/>
      <w:numFmt w:val="decimal"/>
      <w:start w:val="10"/>
    </w:lvl>
  </w:abstractNum>
  <w:abstractNum w:abstractNumId="170">
    <w:nsid w:val="67906F60"/>
    <w:multiLevelType w:val="hybridMultilevel"/>
    <w:lvl w:ilvl="0">
      <w:lvlJc w:val="left"/>
      <w:lvlText w:val="(%1)"/>
      <w:numFmt w:val="lowerLetter"/>
      <w:start w:val="1"/>
    </w:lvl>
  </w:abstractNum>
  <w:abstractNum w:abstractNumId="171">
    <w:nsid w:val="10DB9DAA"/>
    <w:multiLevelType w:val="hybridMultilevel"/>
    <w:lvl w:ilvl="0">
      <w:lvlJc w:val="left"/>
      <w:lvlText w:val="%1."/>
      <w:numFmt w:val="decimal"/>
      <w:start w:val="10"/>
    </w:lvl>
  </w:abstractNum>
  <w:abstractNum w:abstractNumId="172">
    <w:nsid w:val="697D2D2"/>
    <w:multiLevelType w:val="hybridMultilevel"/>
    <w:lvl w:ilvl="0">
      <w:lvlJc w:val="left"/>
      <w:lvlText w:val="(%1)"/>
      <w:numFmt w:val="lowerLetter"/>
      <w:start w:val="1"/>
    </w:lvl>
  </w:abstractNum>
  <w:abstractNum w:abstractNumId="173">
    <w:nsid w:val="6D68AB2"/>
    <w:multiLevelType w:val="hybridMultilevel"/>
    <w:lvl w:ilvl="0">
      <w:lvlJc w:val="left"/>
      <w:lvlText w:val="%1."/>
      <w:numFmt w:val="decimal"/>
      <w:start w:val="10"/>
    </w:lvl>
  </w:abstractNum>
  <w:abstractNum w:abstractNumId="174">
    <w:nsid w:val="3A966CD0"/>
    <w:multiLevelType w:val="hybridMultilevel"/>
    <w:lvl w:ilvl="0">
      <w:lvlJc w:val="left"/>
      <w:lvlText w:val="(%1)"/>
      <w:numFmt w:val="lowerLetter"/>
      <w:start w:val="1"/>
    </w:lvl>
  </w:abstractNum>
  <w:abstractNum w:abstractNumId="175">
    <w:nsid w:val="63F37E85"/>
    <w:multiLevelType w:val="hybridMultilevel"/>
    <w:lvl w:ilvl="0">
      <w:lvlJc w:val="left"/>
      <w:lvlText w:val="%1."/>
      <w:numFmt w:val="decimal"/>
      <w:start w:val="10"/>
    </w:lvl>
  </w:abstractNum>
  <w:abstractNum w:abstractNumId="176">
    <w:nsid w:val="5895F5FA"/>
    <w:multiLevelType w:val="hybridMultilevel"/>
    <w:lvl w:ilvl="0">
      <w:lvlJc w:val="left"/>
      <w:lvlText w:val="(%1)"/>
      <w:numFmt w:val="lowerLetter"/>
      <w:start w:val="1"/>
    </w:lvl>
  </w:abstractNum>
  <w:abstractNum w:abstractNumId="177">
    <w:nsid w:val="38A5D054"/>
    <w:multiLevelType w:val="hybridMultilevel"/>
    <w:lvl w:ilvl="0">
      <w:lvlJc w:val="left"/>
      <w:lvlText w:val="%1."/>
      <w:numFmt w:val="decimal"/>
      <w:start w:val="10"/>
    </w:lvl>
  </w:abstractNum>
  <w:abstractNum w:abstractNumId="178">
    <w:nsid w:val="F3F09D8"/>
    <w:multiLevelType w:val="hybridMultilevel"/>
    <w:lvl w:ilvl="0">
      <w:lvlJc w:val="left"/>
      <w:lvlText w:val="(%1)"/>
      <w:numFmt w:val="lowerLetter"/>
      <w:start w:val="2"/>
    </w:lvl>
  </w:abstractNum>
  <w:abstractNum w:abstractNumId="179">
    <w:nsid w:val="4B793735"/>
    <w:multiLevelType w:val="hybridMultilevel"/>
    <w:lvl w:ilvl="0">
      <w:lvlJc w:val="left"/>
      <w:lvlText w:val="(%1)"/>
      <w:numFmt w:val="lowerLetter"/>
      <w:start w:val="3"/>
    </w:lvl>
  </w:abstractNum>
  <w:abstractNum w:abstractNumId="180">
    <w:nsid w:val="4A10B4E8"/>
    <w:multiLevelType w:val="hybridMultilevel"/>
    <w:lvl w:ilvl="0">
      <w:lvlJc w:val="left"/>
      <w:lvlText w:val="%1."/>
      <w:numFmt w:val="decimal"/>
      <w:start w:val="10"/>
    </w:lvl>
  </w:abstractNum>
  <w:abstractNum w:abstractNumId="181">
    <w:nsid w:val="43D3BCD4"/>
    <w:multiLevelType w:val="hybridMultilevel"/>
    <w:lvl w:ilvl="0">
      <w:lvlJc w:val="left"/>
      <w:lvlText w:val="(%1)"/>
      <w:numFmt w:val="lowerLetter"/>
      <w:start w:val="3"/>
    </w:lvl>
  </w:abstractNum>
  <w:abstractNum w:abstractNumId="182">
    <w:nsid w:val="4C2A7166"/>
    <w:multiLevelType w:val="hybridMultilevel"/>
    <w:lvl w:ilvl="0">
      <w:lvlJc w:val="left"/>
      <w:lvlText w:val="%1."/>
      <w:numFmt w:val="decimal"/>
      <w:start w:val="11"/>
    </w:lvl>
  </w:abstractNum>
  <w:abstractNum w:abstractNumId="183">
    <w:nsid w:val="2E534A82"/>
    <w:multiLevelType w:val="hybridMultilevel"/>
    <w:lvl w:ilvl="0">
      <w:lvlJc w:val="left"/>
      <w:lvlText w:val="%1."/>
      <w:numFmt w:val="decimal"/>
      <w:start w:val="13"/>
    </w:lvl>
  </w:abstractNum>
  <w:abstractNum w:abstractNumId="184">
    <w:nsid w:val="26F2D364"/>
    <w:multiLevelType w:val="hybridMultilevel"/>
    <w:lvl w:ilvl="0">
      <w:lvlJc w:val="left"/>
      <w:lvlText w:val="%1."/>
      <w:numFmt w:val="decimal"/>
      <w:start w:val="14"/>
    </w:lvl>
  </w:abstractNum>
  <w:abstractNum w:abstractNumId="185">
    <w:nsid w:val="71C1AF98"/>
    <w:multiLevelType w:val="hybridMultilevel"/>
    <w:lvl w:ilvl="0">
      <w:lvlJc w:val="left"/>
      <w:lvlText w:val="(%1)"/>
      <w:numFmt w:val="lowerLetter"/>
      <w:start w:val="1"/>
    </w:lvl>
  </w:abstractNum>
  <w:abstractNum w:abstractNumId="186">
    <w:nsid w:val="3D00B9D9"/>
    <w:multiLevelType w:val="hybridMultilevel"/>
    <w:lvl w:ilvl="0">
      <w:lvlJc w:val="left"/>
      <w:lvlText w:val="%1."/>
      <w:numFmt w:val="decimal"/>
      <w:start w:val="14"/>
    </w:lvl>
  </w:abstractNum>
  <w:abstractNum w:abstractNumId="187">
    <w:nsid w:val="15BCABA8"/>
    <w:multiLevelType w:val="hybridMultilevel"/>
    <w:lvl w:ilvl="0">
      <w:lvlJc w:val="left"/>
      <w:lvlText w:val="(%1)"/>
      <w:numFmt w:val="lowerLetter"/>
      <w:start w:val="2"/>
    </w:lvl>
  </w:abstractNum>
  <w:abstractNum w:abstractNumId="188">
    <w:nsid w:val="4E0B9A87"/>
    <w:multiLevelType w:val="hybridMultilevel"/>
    <w:lvl w:ilvl="0">
      <w:lvlJc w:val="left"/>
      <w:lvlText w:val="(%1)"/>
      <w:numFmt w:val="lowerLetter"/>
      <w:start w:val="3"/>
    </w:lvl>
  </w:abstractNum>
  <w:abstractNum w:abstractNumId="189">
    <w:nsid w:val="434BAE75"/>
    <w:multiLevelType w:val="hybridMultilevel"/>
    <w:lvl w:ilvl="0">
      <w:lvlJc w:val="left"/>
      <w:lvlText w:val="%1."/>
      <w:numFmt w:val="decimal"/>
      <w:start w:val="15"/>
    </w:lvl>
  </w:abstractNum>
  <w:abstractNum w:abstractNumId="190">
    <w:nsid w:val="4F38F265"/>
    <w:multiLevelType w:val="hybridMultilevel"/>
    <w:lvl w:ilvl="0">
      <w:lvlJc w:val="left"/>
      <w:lvlText w:val="%1."/>
      <w:numFmt w:val="decimal"/>
      <w:start w:val="16"/>
    </w:lvl>
  </w:abstractNum>
  <w:abstractNum w:abstractNumId="191">
    <w:nsid w:val="4C502870"/>
    <w:multiLevelType w:val="hybridMultilevel"/>
    <w:lvl w:ilvl="0">
      <w:lvlJc w:val="left"/>
      <w:lvlText w:val="%1."/>
      <w:numFmt w:val="decimal"/>
      <w:start w:val="17"/>
    </w:lvl>
  </w:abstractNum>
  <w:abstractNum w:abstractNumId="192">
    <w:nsid w:val="1DE8725A"/>
    <w:multiLevelType w:val="hybridMultilevel"/>
    <w:lvl w:ilvl="0">
      <w:lvlJc w:val="left"/>
      <w:lvlText w:val="(%1)"/>
      <w:numFmt w:val="lowerLetter"/>
      <w:start w:val="1"/>
    </w:lvl>
  </w:abstractNum>
  <w:abstractNum w:abstractNumId="193">
    <w:nsid w:val="6A37288A"/>
    <w:multiLevelType w:val="hybridMultilevel"/>
    <w:lvl w:ilvl="0">
      <w:lvlJc w:val="left"/>
      <w:lvlText w:val="%1."/>
      <w:numFmt w:val="decimal"/>
      <w:start w:val="17"/>
    </w:lvl>
  </w:abstractNum>
  <w:abstractNum w:abstractNumId="194">
    <w:nsid w:val="8F8B73F"/>
    <w:multiLevelType w:val="hybridMultilevel"/>
    <w:lvl w:ilvl="0">
      <w:lvlJc w:val="left"/>
      <w:lvlText w:val="(%1)"/>
      <w:numFmt w:val="lowerLetter"/>
      <w:start w:val="1"/>
    </w:lvl>
  </w:abstractNum>
  <w:abstractNum w:abstractNumId="195">
    <w:nsid w:val="CA6B462"/>
    <w:multiLevelType w:val="hybridMultilevel"/>
    <w:lvl w:ilvl="0">
      <w:lvlJc w:val="left"/>
      <w:lvlText w:val="(%1)"/>
      <w:numFmt w:val="lowerLetter"/>
      <w:start w:val="2"/>
    </w:lvl>
  </w:abstractNum>
  <w:abstractNum w:abstractNumId="196">
    <w:nsid w:val="763CB680"/>
    <w:multiLevelType w:val="hybridMultilevel"/>
    <w:lvl w:ilvl="0">
      <w:lvlJc w:val="left"/>
      <w:lvlText w:val="%1."/>
      <w:numFmt w:val="decimal"/>
      <w:start w:val="17"/>
    </w:lvl>
  </w:abstractNum>
  <w:abstractNum w:abstractNumId="197">
    <w:nsid w:val="15B71329"/>
    <w:multiLevelType w:val="hybridMultilevel"/>
    <w:lvl w:ilvl="0">
      <w:lvlJc w:val="left"/>
      <w:lvlText w:val="(%1)"/>
      <w:numFmt w:val="lowerLetter"/>
      <w:start w:val="3"/>
    </w:lvl>
  </w:abstractNum>
  <w:abstractNum w:abstractNumId="198">
    <w:nsid w:val="3DA97044"/>
    <w:multiLevelType w:val="hybridMultilevel"/>
    <w:lvl w:ilvl="0">
      <w:lvlJc w:val="left"/>
      <w:lvlText w:val="%1."/>
      <w:numFmt w:val="decimal"/>
      <w:start w:val="17"/>
    </w:lvl>
  </w:abstractNum>
  <w:abstractNum w:abstractNumId="199">
    <w:nsid w:val="1CDCE2DE"/>
    <w:multiLevelType w:val="hybridMultilevel"/>
    <w:lvl w:ilvl="0">
      <w:lvlJc w:val="left"/>
      <w:lvlText w:val="(%1)"/>
      <w:numFmt w:val="lowerLetter"/>
      <w:start w:val="3"/>
    </w:lvl>
  </w:abstractNum>
  <w:abstractNum w:abstractNumId="200">
    <w:nsid w:val="69D3947C"/>
    <w:multiLevelType w:val="hybridMultilevel"/>
    <w:lvl w:ilvl="0">
      <w:lvlJc w:val="left"/>
      <w:lvlText w:val="%1."/>
      <w:numFmt w:val="decimal"/>
      <w:start w:val="17"/>
    </w:lvl>
  </w:abstractNum>
  <w:abstractNum w:abstractNumId="201">
    <w:nsid w:val="2539DFA5"/>
    <w:multiLevelType w:val="hybridMultilevel"/>
    <w:lvl w:ilvl="0">
      <w:lvlJc w:val="left"/>
      <w:lvlText w:val="(%1)"/>
      <w:numFmt w:val="lowerLetter"/>
      <w:start w:val="4"/>
    </w:lvl>
  </w:abstractNum>
  <w:abstractNum w:abstractNumId="202">
    <w:nsid w:val="2DB88089"/>
    <w:multiLevelType w:val="hybridMultilevel"/>
    <w:lvl w:ilvl="0">
      <w:lvlJc w:val="left"/>
      <w:lvlText w:val="(%1)"/>
      <w:numFmt w:val="lowerLetter"/>
      <w:start w:val="5"/>
    </w:lvl>
  </w:abstractNum>
  <w:abstractNum w:abstractNumId="203">
    <w:nsid w:val="706B674E"/>
    <w:multiLevelType w:val="hybridMultilevel"/>
    <w:lvl w:ilvl="0">
      <w:lvlJc w:val="left"/>
      <w:lvlText w:val="%1."/>
      <w:numFmt w:val="decimal"/>
      <w:start w:val="18"/>
    </w:lvl>
  </w:abstractNum>
  <w:abstractNum w:abstractNumId="204">
    <w:nsid w:val="2C106A57"/>
    <w:multiLevelType w:val="hybridMultilevel"/>
    <w:lvl w:ilvl="0">
      <w:lvlJc w:val="left"/>
      <w:lvlText w:val="%1."/>
      <w:numFmt w:val="decimal"/>
      <w:start w:val="19"/>
    </w:lvl>
  </w:abstractNum>
  <w:abstractNum w:abstractNumId="205">
    <w:nsid w:val="684EED59"/>
    <w:multiLevelType w:val="hybridMultilevel"/>
    <w:lvl w:ilvl="0">
      <w:lvlJc w:val="left"/>
      <w:lvlText w:val="(%1)"/>
      <w:numFmt w:val="lowerLetter"/>
      <w:start w:val="1"/>
    </w:lvl>
  </w:abstractNum>
  <w:abstractNum w:abstractNumId="206">
    <w:nsid w:val="545EE5D3"/>
    <w:multiLevelType w:val="hybridMultilevel"/>
    <w:lvl w:ilvl="0">
      <w:lvlJc w:val="left"/>
      <w:lvlText w:val="*"/>
      <w:numFmt w:val="bullet"/>
      <w:start w:val="1"/>
    </w:lvl>
  </w:abstractNum>
  <w:abstractNum w:abstractNumId="207">
    <w:nsid w:val="4A66051"/>
    <w:multiLevelType w:val="hybridMultilevel"/>
    <w:lvl w:ilvl="0">
      <w:lvlJc w:val="left"/>
      <w:lvlText w:val="%1."/>
      <w:numFmt w:val="decimal"/>
      <w:start w:val="19"/>
    </w:lvl>
  </w:abstractNum>
  <w:abstractNum w:abstractNumId="208">
    <w:nsid w:val="20F4BDAD"/>
    <w:multiLevelType w:val="hybridMultilevel"/>
    <w:lvl w:ilvl="0">
      <w:lvlJc w:val="left"/>
      <w:lvlText w:val="(%1)"/>
      <w:numFmt w:val="lowerLetter"/>
      <w:start w:val="1"/>
    </w:lvl>
  </w:abstractNum>
  <w:abstractNum w:abstractNumId="209">
    <w:nsid w:val="639DEFAC"/>
    <w:multiLevelType w:val="hybridMultilevel"/>
    <w:lvl w:ilvl="0">
      <w:lvlJc w:val="left"/>
      <w:lvlText w:val="(%1)"/>
      <w:numFmt w:val="lowerLetter"/>
      <w:start w:val="2"/>
    </w:lvl>
  </w:abstractNum>
  <w:abstractNum w:abstractNumId="210">
    <w:nsid w:val="501F9786"/>
    <w:multiLevelType w:val="hybridMultilevel"/>
    <w:lvl w:ilvl="0">
      <w:lvlJc w:val="left"/>
      <w:lvlText w:val="%1."/>
      <w:numFmt w:val="decimal"/>
      <w:start w:val="20"/>
    </w:lvl>
  </w:abstractNum>
  <w:abstractNum w:abstractNumId="211">
    <w:nsid w:val="6B057295"/>
    <w:multiLevelType w:val="hybridMultilevel"/>
    <w:lvl w:ilvl="0">
      <w:lvlJc w:val="left"/>
      <w:lvlText w:val="%1."/>
      <w:numFmt w:val="decimal"/>
      <w:start w:val="20"/>
    </w:lvl>
  </w:abstractNum>
  <w:abstractNum w:abstractNumId="212">
    <w:nsid w:val="2771AC80"/>
    <w:multiLevelType w:val="hybridMultilevel"/>
    <w:lvl w:ilvl="0">
      <w:lvlJc w:val="left"/>
      <w:lvlText w:val="%1."/>
      <w:numFmt w:val="decimal"/>
      <w:start w:val="21"/>
    </w:lvl>
  </w:abstractNum>
  <w:abstractNum w:abstractNumId="213">
    <w:nsid w:val="1C4A08EC"/>
    <w:multiLevelType w:val="hybridMultilevel"/>
    <w:lvl w:ilvl="0">
      <w:lvlJc w:val="left"/>
      <w:lvlText w:val="(%1)"/>
      <w:numFmt w:val="lowerLetter"/>
      <w:start w:val="1"/>
    </w:lvl>
  </w:abstractNum>
  <w:abstractNum w:abstractNumId="214">
    <w:nsid w:val="1958BD17"/>
    <w:multiLevelType w:val="hybridMultilevel"/>
    <w:lvl w:ilvl="0">
      <w:lvlJc w:val="left"/>
      <w:lvlText w:val="(%1)"/>
      <w:numFmt w:val="lowerLetter"/>
      <w:start w:val="2"/>
    </w:lvl>
  </w:abstractNum>
  <w:abstractNum w:abstractNumId="215">
    <w:nsid w:val="4E647FE4"/>
    <w:multiLevelType w:val="hybridMultilevel"/>
    <w:lvl w:ilvl="0">
      <w:lvlJc w:val="left"/>
      <w:lvlText w:val="%1."/>
      <w:numFmt w:val="decimal"/>
      <w:start w:val="22"/>
    </w:lvl>
  </w:abstractNum>
  <w:abstractNum w:abstractNumId="216">
    <w:nsid w:val="E0BB885"/>
    <w:multiLevelType w:val="hybridMultilevel"/>
    <w:lvl w:ilvl="0">
      <w:lvlJc w:val="left"/>
      <w:lvlText w:val="%1."/>
      <w:numFmt w:val="decimal"/>
      <w:start w:val="23"/>
    </w:lvl>
  </w:abstractNum>
  <w:abstractNum w:abstractNumId="217">
    <w:nsid w:val="565976F1"/>
    <w:multiLevelType w:val="hybridMultilevel"/>
    <w:lvl w:ilvl="0">
      <w:lvlJc w:val="left"/>
      <w:lvlText w:val="(%1)"/>
      <w:numFmt w:val="decimal"/>
      <w:start w:val="1"/>
    </w:lvl>
  </w:abstractNum>
  <w:abstractNum w:abstractNumId="218">
    <w:nsid w:val="64212B8C"/>
    <w:multiLevelType w:val="hybridMultilevel"/>
    <w:lvl w:ilvl="0">
      <w:lvlJc w:val="left"/>
      <w:lvlText w:val="%1."/>
      <w:numFmt w:val="decimal"/>
      <w:start w:val="1"/>
    </w:lvl>
    <w:lvl w:ilvl="1">
      <w:lvlJc w:val="left"/>
      <w:lvlText w:val="(%2)"/>
      <w:numFmt w:val="lowerLetter"/>
      <w:start w:val="1"/>
    </w:lvl>
  </w:abstractNum>
  <w:abstractNum w:abstractNumId="219">
    <w:nsid w:val="5C17530C"/>
    <w:multiLevelType w:val="hybridMultilevel"/>
    <w:lvl w:ilvl="0">
      <w:lvlJc w:val="left"/>
      <w:lvlText w:val="%1."/>
      <w:numFmt w:val="decimal"/>
      <w:start w:val="1"/>
    </w:lvl>
    <w:lvl w:ilvl="1">
      <w:lvlJc w:val="left"/>
      <w:lvlText w:val="(%2)"/>
      <w:numFmt w:val="lowerLetter"/>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2019-12-10T19:56:53Z</dcterms:created>
  <dcterms:modified xsi:type="dcterms:W3CDTF">2019-12-10T19:56:53Z</dcterms:modified>
</cp:coreProperties>
</file>