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1745 (02-02) Potential persons who are to respond to the collection of information contained in this form are not required to respond unless the form displays a currently valid OMB control number.</w:t>
      </w:r>
    </w:p>
    <w:p>
      <w:pPr>
        <w:spacing w:after="0" w:line="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80"/>
        <w:spacing w:after="0"/>
        <w:rPr>
          <w:sz w:val="20"/>
          <w:szCs w:val="20"/>
          <w:color w:val="auto"/>
        </w:rPr>
      </w:pPr>
      <w:r>
        <w:rPr>
          <w:rFonts w:ascii="Courier New" w:cs="Courier New" w:eastAsia="Courier New" w:hAnsi="Courier New"/>
          <w:sz w:val="18"/>
          <w:szCs w:val="18"/>
          <w:color w:val="auto"/>
        </w:rPr>
        <w:t>----------------------------</w:t>
      </w:r>
    </w:p>
    <w:p>
      <w:pPr>
        <w:jc w:val="center"/>
        <w:ind w:left="2500"/>
        <w:spacing w:after="0" w:line="238" w:lineRule="auto"/>
        <w:rPr>
          <w:sz w:val="20"/>
          <w:szCs w:val="20"/>
          <w:color w:val="auto"/>
        </w:rPr>
      </w:pPr>
      <w:r>
        <w:rPr>
          <w:rFonts w:ascii="Courier New" w:cs="Courier New" w:eastAsia="Courier New" w:hAnsi="Courier New"/>
          <w:sz w:val="18"/>
          <w:szCs w:val="18"/>
          <w:color w:val="auto"/>
        </w:rPr>
        <w:t>OMB APPROVAL</w:t>
      </w:r>
    </w:p>
    <w:p>
      <w:pPr>
        <w:ind w:left="5480"/>
        <w:spacing w:after="0"/>
        <w:rPr>
          <w:sz w:val="20"/>
          <w:szCs w:val="20"/>
          <w:color w:val="auto"/>
        </w:rPr>
      </w:pPr>
      <w:r>
        <w:rPr>
          <w:rFonts w:ascii="Courier New" w:cs="Courier New" w:eastAsia="Courier New" w:hAnsi="Courier New"/>
          <w:sz w:val="18"/>
          <w:szCs w:val="18"/>
          <w:color w:val="auto"/>
        </w:rPr>
        <w:t>----------------------------</w:t>
      </w:r>
    </w:p>
    <w:p>
      <w:pPr>
        <w:ind w:left="5480"/>
        <w:spacing w:after="0" w:line="237" w:lineRule="auto"/>
        <w:rPr>
          <w:sz w:val="20"/>
          <w:szCs w:val="20"/>
          <w:color w:val="auto"/>
        </w:rPr>
      </w:pPr>
      <w:r>
        <w:rPr>
          <w:rFonts w:ascii="Courier New" w:cs="Courier New" w:eastAsia="Courier New" w:hAnsi="Courier New"/>
          <w:sz w:val="18"/>
          <w:szCs w:val="18"/>
          <w:color w:val="auto"/>
        </w:rPr>
        <w:t>OMB Number: 3235-0145</w:t>
      </w:r>
    </w:p>
    <w:p>
      <w:pPr>
        <w:ind w:left="5480"/>
        <w:spacing w:after="0" w:line="238" w:lineRule="auto"/>
        <w:rPr>
          <w:sz w:val="20"/>
          <w:szCs w:val="20"/>
          <w:color w:val="auto"/>
        </w:rPr>
      </w:pPr>
      <w:r>
        <w:rPr>
          <w:rFonts w:ascii="Courier New" w:cs="Courier New" w:eastAsia="Courier New" w:hAnsi="Courier New"/>
          <w:sz w:val="18"/>
          <w:szCs w:val="18"/>
          <w:color w:val="auto"/>
        </w:rPr>
        <w:t>Expires: October 31, 2002</w:t>
      </w:r>
    </w:p>
    <w:p>
      <w:pPr>
        <w:ind w:left="5480"/>
        <w:spacing w:after="0"/>
        <w:rPr>
          <w:sz w:val="20"/>
          <w:szCs w:val="20"/>
          <w:color w:val="auto"/>
        </w:rPr>
      </w:pPr>
      <w:r>
        <w:rPr>
          <w:rFonts w:ascii="Courier New" w:cs="Courier New" w:eastAsia="Courier New" w:hAnsi="Courier New"/>
          <w:sz w:val="18"/>
          <w:szCs w:val="18"/>
          <w:color w:val="auto"/>
        </w:rPr>
        <w:t>Estimated average burden</w:t>
      </w:r>
    </w:p>
    <w:p>
      <w:pPr>
        <w:ind w:left="5480"/>
        <w:spacing w:after="0" w:line="237" w:lineRule="auto"/>
        <w:rPr>
          <w:sz w:val="20"/>
          <w:szCs w:val="20"/>
          <w:color w:val="auto"/>
        </w:rPr>
      </w:pPr>
      <w:r>
        <w:rPr>
          <w:rFonts w:ascii="Courier New" w:cs="Courier New" w:eastAsia="Courier New" w:hAnsi="Courier New"/>
          <w:sz w:val="18"/>
          <w:szCs w:val="18"/>
          <w:color w:val="auto"/>
        </w:rPr>
        <w:t>hours per response. . . 10.7</w:t>
      </w:r>
    </w:p>
    <w:p>
      <w:pPr>
        <w:ind w:left="5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NETEASE.COM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64110W 102000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29, 2003</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64110W 102000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Yongping Duan and Xin Liu</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800" w:type="dxa"/>
            <w:vAlign w:val="bottom"/>
          </w:tcPr>
          <w:p>
            <w:pPr>
              <w:ind w:left="780"/>
              <w:spacing w:after="0"/>
              <w:rPr>
                <w:sz w:val="20"/>
                <w:szCs w:val="20"/>
                <w:color w:val="auto"/>
              </w:rPr>
            </w:pPr>
            <w:r>
              <w:rPr>
                <w:rFonts w:ascii="Courier New" w:cs="Courier New" w:eastAsia="Courier New" w:hAnsi="Courier New"/>
                <w:sz w:val="18"/>
                <w:szCs w:val="18"/>
                <w:color w:val="auto"/>
              </w:rPr>
              <w:t>1,275,000</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64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0"/>
              </w:rPr>
              <w:t>------------------------------------------------------------</w:t>
            </w: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1,275,000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0"/>
              </w:rPr>
              <w:t>------------------------------------------------------------</w:t>
            </w: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1,275,000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4.08% (based on 31,265,402 shares of September 30,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filed by Yongping Duan (the "Reporting Person")</w:t>
      </w:r>
    </w:p>
    <w:p>
      <w:pPr>
        <w:spacing w:after="0" w:line="207" w:lineRule="exact"/>
        <w:rPr>
          <w:sz w:val="20"/>
          <w:szCs w:val="20"/>
          <w:color w:val="auto"/>
        </w:rPr>
      </w:pPr>
    </w:p>
    <w:p>
      <w:pPr>
        <w:jc w:val="both"/>
        <w:ind w:right="177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 please check row 2(a). If the reporting person disclaims membership in a group or describes a relationship with other persons but does not affirm the existence of a group, please check row 2(b) [unless it is a joint filing pursuant to Rule 13d1(k)(1) in which case it may not be necessary to check row 2(b)].</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779" w:firstLine="8"/>
        <w:spacing w:after="0" w:line="290" w:lineRule="auto"/>
        <w:tabs>
          <w:tab w:leader="none" w:pos="52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Organization--Furnish citizenship if the named reporting person is a natural person. Otherwise, furnish place of organization.</w:t>
      </w:r>
    </w:p>
    <w:p>
      <w:pPr>
        <w:spacing w:after="0" w:line="17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(5)-(9), (11) Aggregate Amount Beneficially Owned By Each Reporting Person, Etc.--Rows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jc w:val="both"/>
        <w:ind w:right="1779" w:firstLine="8"/>
        <w:spacing w:after="0" w:line="279"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reported as beneficially owned in row (9) does not include shares as to which beneficial ownership is disclaimed pursuant to Rule 13d-4 (17 CFR 240.13d-4] under the Securities Exchange Act of 1934.</w:t>
      </w:r>
    </w:p>
    <w:p>
      <w:pPr>
        <w:spacing w:after="0" w:line="178" w:lineRule="exact"/>
        <w:rPr>
          <w:sz w:val="20"/>
          <w:szCs w:val="20"/>
          <w:color w:val="auto"/>
        </w:rPr>
      </w:pPr>
    </w:p>
    <w:p>
      <w:pPr>
        <w:jc w:val="both"/>
        <w:ind w:right="1779" w:firstLine="8"/>
        <w:spacing w:after="0" w:line="236"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Category Symbol</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Dealer</w:t>
      </w:r>
    </w:p>
    <w:p>
      <w:pPr>
        <w:spacing w:after="0" w:line="238" w:lineRule="auto"/>
        <w:rPr>
          <w:sz w:val="20"/>
          <w:szCs w:val="20"/>
          <w:color w:val="auto"/>
        </w:rPr>
      </w:pPr>
      <w:r>
        <w:rPr>
          <w:rFonts w:ascii="Courier New" w:cs="Courier New" w:eastAsia="Courier New" w:hAnsi="Courier New"/>
          <w:sz w:val="18"/>
          <w:szCs w:val="18"/>
          <w:color w:val="auto"/>
        </w:rPr>
        <w:t>Bank</w:t>
      </w:r>
    </w:p>
    <w:p>
      <w:pPr>
        <w:spacing w:after="0"/>
        <w:rPr>
          <w:sz w:val="20"/>
          <w:szCs w:val="20"/>
          <w:color w:val="auto"/>
        </w:rPr>
      </w:pPr>
      <w:r>
        <w:rPr>
          <w:rFonts w:ascii="Courier New" w:cs="Courier New" w:eastAsia="Courier New" w:hAnsi="Courier New"/>
          <w:sz w:val="18"/>
          <w:szCs w:val="18"/>
          <w:color w:val="auto"/>
        </w:rPr>
        <w:t>Insurance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Adviser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IV</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Employee Benefit Plan, Pension</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Fund, or Endowment Fund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w:t>
      </w:r>
    </w:p>
    <w:p>
      <w:pPr>
        <w:spacing w:after="0" w:line="21"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Parent Holding Company/</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right="980" w:firstLine="211"/>
        <w:spacing w:after="0"/>
        <w:rPr>
          <w:sz w:val="20"/>
          <w:szCs w:val="20"/>
          <w:color w:val="auto"/>
        </w:rPr>
      </w:pPr>
      <w:r>
        <w:rPr>
          <w:rFonts w:ascii="Courier New" w:cs="Courier New" w:eastAsia="Courier New" w:hAnsi="Courier New"/>
          <w:sz w:val="18"/>
          <w:szCs w:val="18"/>
          <w:color w:val="auto"/>
        </w:rPr>
        <w:t>Control Person Savings Association Church Plan Corporation Partnership Individual Other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OO</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Notes: Attach as many copies of the second part of the cover page as are needed, one reporting person per page.</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use it for a variety of purposes, including referral to other governmental authorities or securities self-regulatory organizations for investigatory purposes or in connection with litigation involving the Federal securities laws or other civil, criminal or regulatory statutes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INSTRUCTIONS</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 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13d-2(b) and 13d-2(d). Statements filed pursuant to Rule 13d-1(d) shall be filed not later than February 14 following the calendar year covered by the statement pursuant to Rules 13d-1(d) and 13d-2(b).</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 Information contained in a form which is required to be filed by rules under section 13(f) (15 U.S.C. 78m(f))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 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540" w:right="7999" w:hanging="532"/>
        <w:spacing w:after="0" w:line="536"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Netease.com Inc.</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15th Floor North Tower</w:t>
      </w:r>
    </w:p>
    <w:p>
      <w:pPr>
        <w:ind w:left="540"/>
        <w:spacing w:after="0" w:line="238" w:lineRule="auto"/>
        <w:rPr>
          <w:sz w:val="20"/>
          <w:szCs w:val="20"/>
          <w:color w:val="auto"/>
        </w:rPr>
      </w:pPr>
      <w:r>
        <w:rPr>
          <w:rFonts w:ascii="Courier New" w:cs="Courier New" w:eastAsia="Courier New" w:hAnsi="Courier New"/>
          <w:sz w:val="18"/>
          <w:szCs w:val="18"/>
          <w:color w:val="auto"/>
        </w:rPr>
        <w:t>Beijing Kerry Centre</w:t>
      </w:r>
    </w:p>
    <w:p>
      <w:pPr>
        <w:ind w:left="540"/>
        <w:spacing w:after="0"/>
        <w:rPr>
          <w:sz w:val="20"/>
          <w:szCs w:val="20"/>
          <w:color w:val="auto"/>
        </w:rPr>
      </w:pPr>
      <w:r>
        <w:rPr>
          <w:rFonts w:ascii="Courier New" w:cs="Courier New" w:eastAsia="Courier New" w:hAnsi="Courier New"/>
          <w:sz w:val="18"/>
          <w:szCs w:val="18"/>
          <w:color w:val="auto"/>
        </w:rPr>
        <w:t>No 1 Guang Hua Road</w:t>
      </w:r>
    </w:p>
    <w:p>
      <w:pPr>
        <w:ind w:left="540"/>
        <w:spacing w:after="0" w:line="237" w:lineRule="auto"/>
        <w:rPr>
          <w:sz w:val="20"/>
          <w:szCs w:val="20"/>
          <w:color w:val="auto"/>
        </w:rPr>
      </w:pPr>
      <w:r>
        <w:rPr>
          <w:rFonts w:ascii="Courier New" w:cs="Courier New" w:eastAsia="Courier New" w:hAnsi="Courier New"/>
          <w:sz w:val="18"/>
          <w:szCs w:val="18"/>
          <w:color w:val="auto"/>
        </w:rPr>
        <w:t>Chaoying, Beijing, China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540" w:right="7059" w:hanging="532"/>
        <w:spacing w:after="0" w:line="536"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Yongping Duan and Xin Liu</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jc w:val="both"/>
        <w:ind w:left="540"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954 Roble Ridge Road Palo Alto, CA 94306</w:t>
      </w:r>
    </w:p>
    <w:p>
      <w:pPr>
        <w:spacing w:after="0" w:line="16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CHINA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$0.0001 Per Share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64110W 102000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 240.13d-2(b)</w:t>
      </w:r>
    </w:p>
    <w:p>
      <w:pPr>
        <w:ind w:left="10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4"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5"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s.240.13d-1(b)(1)(ii)(E);</w:t>
      </w:r>
    </w:p>
    <w:p>
      <w:pPr>
        <w:spacing w:after="0" w:line="4"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s.240.13d-1(b)(1)(ii)(F);</w:t>
      </w:r>
    </w:p>
    <w:p>
      <w:pPr>
        <w:spacing w:after="0" w:line="5"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s.240.13d-1(b)(1)(ii)(G);</w:t>
      </w:r>
    </w:p>
    <w:p>
      <w:pPr>
        <w:spacing w:after="0" w:line="5"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060" w:right="1779" w:hanging="1052"/>
        <w:spacing w:after="0" w:line="236"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s.240.13d-1(b)(1)(ii)(J).</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1,275,000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4.08%.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1,275,000 Shares</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6" w:lineRule="exact"/>
        <w:rPr>
          <w:rFonts w:ascii="Courier New" w:cs="Courier New" w:eastAsia="Courier New" w:hAnsi="Courier New"/>
          <w:sz w:val="18"/>
          <w:szCs w:val="18"/>
          <w:color w:val="auto"/>
        </w:rPr>
      </w:pPr>
    </w:p>
    <w:p>
      <w:pPr>
        <w:ind w:left="1160" w:right="3479" w:hanging="625"/>
        <w:spacing w:after="0" w:line="235" w:lineRule="auto"/>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1,275,000 Shares</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s.240.13d3(d)(1).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 an exhibit stating the identity and Item 3 classification of each member of the group. If a group has filed this schedule pursuant to s.240.13d-1(c) or s.240.13d-1(d), attach an exhibit stating the identity of each member of the group.</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540" w:right="1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s.240.13d-1(b):</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left="540" w:right="177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s.240.13d-1(c):</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10-30-2003</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Yongping Duan</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Yongping Duan</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2"/>
    </w:lvl>
    <w:lvl w:ilvl="1">
      <w:lvlJc w:val="left"/>
      <w:lvlText w:val="(%2)"/>
      <w:numFmt w:val="lowerLetter"/>
      <w:start w:val="1"/>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1)"/>
      <w:numFmt w:val="lowerLetter"/>
      <w:start w:val="12"/>
    </w:lvl>
  </w:abstractNum>
  <w:abstractNum w:abstractNumId="13">
    <w:nsid w:val="257130A3"/>
    <w:multiLevelType w:val="hybridMultilevel"/>
    <w:lvl w:ilvl="0">
      <w:lvlJc w:val="left"/>
      <w:lvlText w:val="(%1)"/>
      <w:numFmt w:val="decimal"/>
      <w:start w:val="2"/>
    </w:lvl>
  </w:abstractNum>
  <w:abstractNum w:abstractNumId="14">
    <w:nsid w:val="62BBD95A"/>
    <w:multiLevelType w:val="hybridMultilevel"/>
    <w:lvl w:ilvl="0">
      <w:lvlJc w:val="left"/>
      <w:lvlText w:val="(%1)"/>
      <w:numFmt w:val="decimal"/>
      <w:start w:val="10"/>
    </w:lvl>
  </w:abstractNum>
  <w:abstractNum w:abstractNumId="15">
    <w:nsid w:val="436C6125"/>
    <w:multiLevelType w:val="hybridMultilevel"/>
    <w:lvl w:ilvl="0">
      <w:lvlJc w:val="left"/>
      <w:lvlText w:val="(%1)"/>
      <w:numFmt w:val="decimal"/>
      <w:start w:val="12"/>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lvl w:ilvl="1">
      <w:lvlJc w:val="left"/>
      <w:lvlText w:val="(%2)"/>
      <w:numFmt w:val="lowerRoman"/>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2019-12-15T02:44:25Z</dcterms:created>
  <dcterms:modified xsi:type="dcterms:W3CDTF">2019-12-15T02:44:25Z</dcterms:modified>
</cp:coreProperties>
</file>