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Filed Pursuant to Rule 424(b)(5)</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333-238762</w:t>
      </w:r>
    </w:p>
    <w:p>
      <w:pPr>
        <w:spacing w:after="0" w:line="199" w:lineRule="exact"/>
        <w:rPr>
          <w:sz w:val="24"/>
          <w:szCs w:val="24"/>
          <w:color w:val="auto"/>
        </w:rPr>
      </w:pPr>
    </w:p>
    <w:p>
      <w:pPr>
        <w:ind w:right="80"/>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Neither this preliminary prospectus supplement nor the accompanying prospectus is an offer to sell these securities, nor does it solicit offers to buy these securities in any jurisdiction where the offer or sale is not permitted.</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EF505F"/>
        </w:rPr>
        <w:t>SUBJECT TO COMPLETION DATED JUNE 1, 2020.</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Preliminary Prospectus Supplement</w:t>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 Prospectus dated May 29, 2020)</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171,480,000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147955</wp:posOffset>
            </wp:positionV>
            <wp:extent cx="2811780"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178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NetEase, Inc.</w:t>
      </w:r>
    </w:p>
    <w:p>
      <w:pPr>
        <w:spacing w:after="0" w:line="241" w:lineRule="exact"/>
        <w:rPr>
          <w:sz w:val="24"/>
          <w:szCs w:val="24"/>
          <w:color w:val="auto"/>
        </w:rPr>
      </w:pPr>
    </w:p>
    <w:p>
      <w:pPr>
        <w:ind w:right="220" w:firstLine="335"/>
        <w:spacing w:after="0" w:line="274" w:lineRule="auto"/>
        <w:rPr>
          <w:sz w:val="20"/>
          <w:szCs w:val="20"/>
          <w:color w:val="auto"/>
        </w:rPr>
      </w:pPr>
      <w:r>
        <w:rPr>
          <w:rFonts w:ascii="Arial" w:cs="Arial" w:eastAsia="Arial" w:hAnsi="Arial"/>
          <w:sz w:val="13"/>
          <w:szCs w:val="13"/>
          <w:color w:val="auto"/>
        </w:rPr>
        <w:t>We are offering 171,480,000 ordinary shares, par value US$0.0001 per share, as part of a global offering, comprising an international offering of initially 166,330,000 ordinary shares offered hereby, and a Hong Kong public offering of initially 5,150,000 ordinary shares.</w:t>
      </w:r>
    </w:p>
    <w:p>
      <w:pPr>
        <w:spacing w:after="0" w:line="172" w:lineRule="exact"/>
        <w:rPr>
          <w:sz w:val="24"/>
          <w:szCs w:val="24"/>
          <w:color w:val="auto"/>
        </w:rPr>
      </w:pPr>
    </w:p>
    <w:p>
      <w:pPr>
        <w:ind w:right="220" w:firstLine="330"/>
        <w:spacing w:after="0" w:line="274" w:lineRule="auto"/>
        <w:rPr>
          <w:sz w:val="20"/>
          <w:szCs w:val="20"/>
          <w:color w:val="auto"/>
        </w:rPr>
      </w:pPr>
      <w:r>
        <w:rPr>
          <w:rFonts w:ascii="Arial" w:cs="Arial" w:eastAsia="Arial" w:hAnsi="Arial"/>
          <w:sz w:val="13"/>
          <w:szCs w:val="13"/>
          <w:color w:val="auto"/>
        </w:rPr>
        <w:t>ADSs representing our ordinary shares are listed on the Nasdaq Global Select Market, or the Nasdaq, under the symbol "NTES." On May 29, 2020, the last reported trading price of our ADSs on the Nasdaq was US$382.90 per ADS, or HK$118.79 per ordinary share, based upon an exchange rate of HK$7.7561 to US$1.00. Each ADS represents 25 ordinary shares.</w:t>
      </w:r>
    </w:p>
    <w:p>
      <w:pPr>
        <w:spacing w:after="0" w:line="172" w:lineRule="exact"/>
        <w:rPr>
          <w:sz w:val="24"/>
          <w:szCs w:val="24"/>
          <w:color w:val="auto"/>
        </w:rPr>
      </w:pPr>
    </w:p>
    <w:p>
      <w:pPr>
        <w:jc w:val="both"/>
        <w:ind w:right="40" w:firstLine="335"/>
        <w:spacing w:after="0" w:line="256" w:lineRule="auto"/>
        <w:rPr>
          <w:sz w:val="20"/>
          <w:szCs w:val="20"/>
          <w:color w:val="auto"/>
        </w:rPr>
      </w:pPr>
      <w:r>
        <w:rPr>
          <w:rFonts w:ascii="Arial" w:cs="Arial" w:eastAsia="Arial" w:hAnsi="Arial"/>
          <w:sz w:val="13"/>
          <w:szCs w:val="13"/>
          <w:color w:val="auto"/>
        </w:rPr>
        <w:t>We will determine the offer price for both the international offering and the Hong Kong public offering by reference to, among other factors, the closing price of our ADSs on the last trading day before the pricing of the global offering, which is expected to be on or about June 5, 2020. The maximum offer price for the Hong Kong public offering is HK$126.00, or US$16.25, per ordinary share (equivalent to US$406.13 per ADS).</w:t>
      </w:r>
    </w:p>
    <w:p>
      <w:pPr>
        <w:spacing w:after="0" w:line="183" w:lineRule="exact"/>
        <w:rPr>
          <w:sz w:val="24"/>
          <w:szCs w:val="24"/>
          <w:color w:val="auto"/>
        </w:rPr>
      </w:pPr>
    </w:p>
    <w:p>
      <w:pPr>
        <w:ind w:right="100" w:firstLine="335"/>
        <w:spacing w:after="0" w:line="247" w:lineRule="auto"/>
        <w:rPr>
          <w:sz w:val="20"/>
          <w:szCs w:val="20"/>
          <w:color w:val="auto"/>
        </w:rPr>
      </w:pPr>
      <w:r>
        <w:rPr>
          <w:rFonts w:ascii="Arial" w:cs="Arial" w:eastAsia="Arial" w:hAnsi="Arial"/>
          <w:sz w:val="13"/>
          <w:szCs w:val="13"/>
          <w:color w:val="auto"/>
        </w:rPr>
        <w:t>The allocation of ordinary shares between the international offering and the Hong Kong public offering is subject to reallocation. For more information, see "Underwriting" beginning on page S-45 of this prospectus supplement. The public offering price in the international offering may differ from the public offering price in the Hong Kong public offering. See "Underwriting—Pricing." The international offering contemplated herein consists of a U.S. offering and a non-U.S. offering made outside the United States in compliance with applicable law. We are paying a registration fee for ordinary shares sold in the United States, as well as for ordinary shares initially offered and sold outside the United States in the global offering that may be resold from time to time into the United States in compliance with applicable law.</w:t>
      </w:r>
    </w:p>
    <w:p>
      <w:pPr>
        <w:spacing w:after="0" w:line="18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We have applied to list our ordinary shares on The Stock Exchange of Hong Kong Limited, or the Hong Kong Stock Exchange, under the stock code "9999."</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Investing in the ordinary shares involves a high degree of risk. See the "Risk Factors" beginning on page S-23 of this prospectus supplement.</w:t>
      </w:r>
    </w:p>
    <w:p>
      <w:pPr>
        <w:spacing w:after="0" w:line="252" w:lineRule="exact"/>
        <w:rPr>
          <w:sz w:val="24"/>
          <w:szCs w:val="24"/>
          <w:color w:val="auto"/>
        </w:rPr>
      </w:pPr>
    </w:p>
    <w:p>
      <w:pPr>
        <w:ind w:right="80" w:firstLine="337"/>
        <w:spacing w:after="0" w:line="274" w:lineRule="auto"/>
        <w:rPr>
          <w:sz w:val="20"/>
          <w:szCs w:val="20"/>
          <w:color w:val="auto"/>
        </w:rPr>
      </w:pPr>
      <w:r>
        <w:rPr>
          <w:rFonts w:ascii="Arial" w:cs="Arial" w:eastAsia="Arial" w:hAnsi="Arial"/>
          <w:sz w:val="13"/>
          <w:szCs w:val="13"/>
          <w:color w:val="auto"/>
        </w:rPr>
        <w:t>Neither the United States Securities and Exchange Commission, or the SEC, nor any state securities commission or other regulatory body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115570</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3"/>
          <w:szCs w:val="13"/>
          <w:b w:val="1"/>
          <w:bCs w:val="1"/>
          <w:color w:val="auto"/>
        </w:rPr>
        <w:t>HK$</w:t>
      </w:r>
      <w:r>
        <w:rPr>
          <w:sz w:val="20"/>
          <w:szCs w:val="20"/>
          <w:color w:val="auto"/>
        </w:rPr>
        <w:tab/>
      </w:r>
      <w:r>
        <w:rPr>
          <w:rFonts w:ascii="Arial" w:cs="Arial" w:eastAsia="Arial" w:hAnsi="Arial"/>
          <w:sz w:val="13"/>
          <w:szCs w:val="13"/>
          <w:b w:val="1"/>
          <w:bCs w:val="1"/>
          <w:color w:val="auto"/>
        </w:rPr>
        <w:t>PER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144780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558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r>
      <w:tr>
        <w:trPr>
          <w:trHeight w:val="155"/>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4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3"/>
                <w:szCs w:val="13"/>
                <w:b w:val="1"/>
                <w:bCs w:val="1"/>
                <w:color w:val="auto"/>
              </w:rPr>
              <w:t>Per Ordinary Share</w:t>
            </w: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Total</w:t>
            </w:r>
          </w:p>
        </w:tc>
      </w:tr>
      <w:tr>
        <w:trPr>
          <w:trHeight w:val="190"/>
        </w:trPr>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Public Offering Price</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HK$</w:t>
            </w:r>
          </w:p>
        </w:tc>
        <w:tc>
          <w:tcPr>
            <w:tcW w:w="740" w:type="dxa"/>
            <w:vAlign w:val="bottom"/>
            <w:tcBorders>
              <w:bottom w:val="single" w:sz="8" w:color="auto"/>
            </w:tcBorders>
          </w:tcPr>
          <w:p>
            <w:pPr>
              <w:jc w:val="right"/>
              <w:ind w:right="384"/>
              <w:spacing w:after="0"/>
              <w:rPr>
                <w:sz w:val="20"/>
                <w:szCs w:val="20"/>
                <w:color w:val="auto"/>
              </w:rPr>
            </w:pPr>
            <w:r>
              <w:rPr>
                <w:rFonts w:ascii="Arial" w:cs="Arial" w:eastAsia="Arial" w:hAnsi="Arial"/>
                <w:sz w:val="11"/>
                <w:szCs w:val="11"/>
                <w:b w:val="1"/>
                <w:bCs w:val="1"/>
                <w:color w:val="auto"/>
              </w:rPr>
              <w:t>(1)</w:t>
            </w: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HK$</w:t>
            </w:r>
          </w:p>
        </w:tc>
      </w:tr>
      <w:tr>
        <w:trPr>
          <w:trHeight w:val="203"/>
        </w:trPr>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0" w:type="dxa"/>
            <w:vAlign w:val="bottom"/>
            <w:tcBorders>
              <w:bottom w:val="single" w:sz="8" w:color="auto"/>
            </w:tcBorders>
            <w:gridSpan w:val="3"/>
          </w:tcPr>
          <w:p>
            <w:pPr>
              <w:spacing w:after="0" w:line="203" w:lineRule="exact"/>
              <w:rPr>
                <w:sz w:val="20"/>
                <w:szCs w:val="20"/>
                <w:color w:val="auto"/>
              </w:rPr>
            </w:pPr>
            <w:r>
              <w:rPr>
                <w:rFonts w:ascii="Arial" w:cs="Arial" w:eastAsia="Arial" w:hAnsi="Arial"/>
                <w:sz w:val="13"/>
                <w:szCs w:val="13"/>
                <w:b w:val="1"/>
                <w:bCs w:val="1"/>
                <w:color w:val="auto"/>
              </w:rPr>
              <w:t>Underwriting discounts and commissions</w:t>
            </w:r>
            <w:r>
              <w:rPr>
                <w:rFonts w:ascii="Arial" w:cs="Arial" w:eastAsia="Arial" w:hAnsi="Arial"/>
                <w:sz w:val="22"/>
                <w:szCs w:val="22"/>
                <w:b w:val="1"/>
                <w:bCs w:val="1"/>
                <w:color w:val="auto"/>
                <w:vertAlign w:val="superscript"/>
              </w:rPr>
              <w:t>(2)</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HK$</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HK$</w:t>
            </w:r>
          </w:p>
        </w:tc>
      </w:tr>
      <w:tr>
        <w:trPr>
          <w:trHeight w:val="196"/>
        </w:trPr>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0" w:type="dxa"/>
            <w:vAlign w:val="bottom"/>
            <w:tcBorders>
              <w:bottom w:val="single" w:sz="8" w:color="auto"/>
            </w:tcBorders>
            <w:gridSpan w:val="3"/>
          </w:tcPr>
          <w:p>
            <w:pPr>
              <w:spacing w:after="0" w:line="195" w:lineRule="exact"/>
              <w:rPr>
                <w:sz w:val="20"/>
                <w:szCs w:val="20"/>
                <w:color w:val="auto"/>
              </w:rPr>
            </w:pPr>
            <w:r>
              <w:rPr>
                <w:rFonts w:ascii="Arial" w:cs="Arial" w:eastAsia="Arial" w:hAnsi="Arial"/>
                <w:sz w:val="13"/>
                <w:szCs w:val="13"/>
                <w:b w:val="1"/>
                <w:bCs w:val="1"/>
                <w:color w:val="auto"/>
              </w:rPr>
              <w:t>Proceeds to us (before expenses)</w:t>
            </w:r>
            <w:r>
              <w:rPr>
                <w:rFonts w:ascii="Arial" w:cs="Arial" w:eastAsia="Arial" w:hAnsi="Arial"/>
                <w:sz w:val="22"/>
                <w:szCs w:val="22"/>
                <w:b w:val="1"/>
                <w:bCs w:val="1"/>
                <w:color w:val="auto"/>
                <w:vertAlign w:val="superscript"/>
              </w:rPr>
              <w:t>(3)</w:t>
            </w: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HK$</w:t>
            </w: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HK$</w:t>
            </w:r>
          </w:p>
        </w:tc>
      </w:tr>
      <w:tr>
        <w:trPr>
          <w:trHeight w:val="20"/>
        </w:trPr>
        <w:tc>
          <w:tcPr>
            <w:tcW w:w="3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58"/>
        </w:trPr>
        <w:tc>
          <w:tcPr>
            <w:tcW w:w="360" w:type="dxa"/>
            <w:vAlign w:val="bottom"/>
          </w:tcPr>
          <w:p>
            <w:pPr>
              <w:jc w:val="right"/>
              <w:ind w:right="133"/>
              <w:spacing w:after="0"/>
              <w:rPr>
                <w:sz w:val="20"/>
                <w:szCs w:val="20"/>
                <w:color w:val="auto"/>
              </w:rPr>
            </w:pPr>
            <w:r>
              <w:rPr>
                <w:rFonts w:ascii="Arial" w:cs="Arial" w:eastAsia="Arial" w:hAnsi="Arial"/>
                <w:sz w:val="13"/>
                <w:szCs w:val="13"/>
                <w:color w:val="auto"/>
                <w:w w:val="87"/>
              </w:rPr>
              <w:t>(1)</w:t>
            </w:r>
          </w:p>
        </w:tc>
        <w:tc>
          <w:tcPr>
            <w:tcW w:w="1320" w:type="dxa"/>
            <w:vAlign w:val="bottom"/>
            <w:gridSpan w:val="3"/>
          </w:tcPr>
          <w:p>
            <w:pPr>
              <w:ind w:left="180"/>
              <w:spacing w:after="0"/>
              <w:rPr>
                <w:sz w:val="20"/>
                <w:szCs w:val="20"/>
                <w:color w:val="auto"/>
              </w:rPr>
            </w:pPr>
            <w:r>
              <w:rPr>
                <w:rFonts w:ascii="Arial" w:cs="Arial" w:eastAsia="Arial" w:hAnsi="Arial"/>
                <w:sz w:val="13"/>
                <w:szCs w:val="13"/>
                <w:color w:val="auto"/>
              </w:rPr>
              <w:t>Equivalent to US$</w:t>
            </w:r>
          </w:p>
        </w:tc>
        <w:tc>
          <w:tcPr>
            <w:tcW w:w="5580" w:type="dxa"/>
            <w:vAlign w:val="bottom"/>
          </w:tcPr>
          <w:p>
            <w:pPr>
              <w:ind w:left="140"/>
              <w:spacing w:after="0"/>
              <w:rPr>
                <w:sz w:val="20"/>
                <w:szCs w:val="20"/>
                <w:color w:val="auto"/>
              </w:rPr>
            </w:pPr>
            <w:r>
              <w:rPr>
                <w:rFonts w:ascii="Arial" w:cs="Arial" w:eastAsia="Arial" w:hAnsi="Arial"/>
                <w:sz w:val="13"/>
                <w:szCs w:val="13"/>
                <w:color w:val="auto"/>
                <w:w w:val="92"/>
              </w:rPr>
              <w:t>per ADS, based upon each ADS representing 25 of our ordinary shares and an exchange rate of HK$</w:t>
            </w:r>
          </w:p>
        </w:tc>
        <w:tc>
          <w:tcPr>
            <w:tcW w:w="1260" w:type="dxa"/>
            <w:vAlign w:val="bottom"/>
            <w:gridSpan w:val="2"/>
          </w:tcPr>
          <w:p>
            <w:pPr>
              <w:ind w:left="260"/>
              <w:spacing w:after="0"/>
              <w:rPr>
                <w:sz w:val="20"/>
                <w:szCs w:val="20"/>
                <w:color w:val="auto"/>
              </w:rPr>
            </w:pPr>
            <w:r>
              <w:rPr>
                <w:rFonts w:ascii="Arial" w:cs="Arial" w:eastAsia="Arial" w:hAnsi="Arial"/>
                <w:sz w:val="13"/>
                <w:szCs w:val="13"/>
                <w:color w:val="auto"/>
              </w:rPr>
              <w:t>to US$1.00.</w:t>
            </w:r>
          </w:p>
        </w:tc>
        <w:tc>
          <w:tcPr>
            <w:tcW w:w="1280" w:type="dxa"/>
            <w:vAlign w:val="bottom"/>
          </w:tcPr>
          <w:p>
            <w:pPr>
              <w:spacing w:after="0"/>
              <w:rPr>
                <w:sz w:val="24"/>
                <w:szCs w:val="24"/>
                <w:color w:val="auto"/>
              </w:rPr>
            </w:pPr>
          </w:p>
        </w:tc>
      </w:tr>
    </w:tbl>
    <w:p>
      <w:pPr>
        <w:spacing w:after="0" w:line="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beginning on page S-45 of this prospectus supplement for additional information regarding total underwriting compensation.</w:t>
      </w:r>
    </w:p>
    <w:p>
      <w:pPr>
        <w:spacing w:after="0" w:line="134" w:lineRule="exact"/>
        <w:rPr>
          <w:rFonts w:ascii="Arial" w:cs="Arial" w:eastAsia="Arial" w:hAnsi="Arial"/>
          <w:sz w:val="13"/>
          <w:szCs w:val="13"/>
          <w:color w:val="auto"/>
        </w:rPr>
      </w:pPr>
    </w:p>
    <w:p>
      <w:pPr>
        <w:ind w:left="540" w:hanging="532"/>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estimated net proceeds of HK$</w:t>
      </w:r>
      <w:r>
        <w:rPr>
          <w:rFonts w:ascii="Arial" w:cs="Arial" w:eastAsia="Arial" w:hAnsi="Arial"/>
          <w:sz w:val="12"/>
          <w:szCs w:val="12"/>
          <w:color w:val="auto"/>
        </w:rPr>
        <w:t>from the sale of 5,150,000 ordinary shares in the Hong Kong public offering.</w:t>
      </w:r>
    </w:p>
    <w:p>
      <w:pPr>
        <w:spacing w:after="0" w:line="215" w:lineRule="exact"/>
        <w:rPr>
          <w:sz w:val="24"/>
          <w:szCs w:val="24"/>
          <w:color w:val="auto"/>
        </w:rPr>
      </w:pPr>
    </w:p>
    <w:p>
      <w:pPr>
        <w:ind w:right="120" w:firstLine="335"/>
        <w:spacing w:after="0" w:line="245" w:lineRule="auto"/>
        <w:rPr>
          <w:sz w:val="20"/>
          <w:szCs w:val="20"/>
          <w:color w:val="auto"/>
        </w:rPr>
      </w:pPr>
      <w:r>
        <w:rPr>
          <w:rFonts w:ascii="Arial" w:cs="Arial" w:eastAsia="Arial" w:hAnsi="Arial"/>
          <w:sz w:val="13"/>
          <w:szCs w:val="13"/>
          <w:color w:val="auto"/>
        </w:rPr>
        <w:t>We have granted the international underwriters the option, exercisable by China International Capital Corporation Hong Kong Securities Limited, Credit Suisse (Hong Kong) Limited and J.P. Morgan Securities (Asia Pacific) Limited, or the Joint Global Coordinators, on behalf of the international underwriters, to purchase up to an additional 25,722,000 ordinary shares at the public offering price in the international offering until 30 days after the last day for the lodging of applications under the Hong Kong public offering. J.P. Morgan Securities plc expects to enter into a borrowing arrangement with Shining Globe International Limited that is intended to facilitate the settlement of over-allocations. J.P. Morgan Securities plc is obligated to return ordinary shares to Shining Globe International Limited by exercising the option to purchase additional ordinary shares from us or by making purchases in the open market. No fees or other remuneration will be paid by the underwriters to us or Shining Globe International Limited for the loan of these ordinary shares.</w:t>
      </w:r>
    </w:p>
    <w:p>
      <w:pPr>
        <w:spacing w:after="0" w:line="191" w:lineRule="exact"/>
        <w:rPr>
          <w:sz w:val="24"/>
          <w:szCs w:val="24"/>
          <w:color w:val="auto"/>
        </w:rPr>
      </w:pPr>
    </w:p>
    <w:p>
      <w:pPr>
        <w:ind w:left="340"/>
        <w:spacing w:after="0"/>
        <w:tabs>
          <w:tab w:leader="none" w:pos="9500" w:val="left"/>
        </w:tabs>
        <w:rPr>
          <w:sz w:val="20"/>
          <w:szCs w:val="20"/>
          <w:color w:val="auto"/>
        </w:rPr>
      </w:pPr>
      <w:r>
        <w:rPr>
          <w:rFonts w:ascii="Arial" w:cs="Arial" w:eastAsia="Arial" w:hAnsi="Arial"/>
          <w:sz w:val="13"/>
          <w:szCs w:val="13"/>
          <w:color w:val="auto"/>
        </w:rPr>
        <w:t>The underwriters expect to deliver the ordinary shares against payment therefor through the facilities of the Central Clearing and Settlement System on or about</w:t>
      </w:r>
      <w:r>
        <w:rPr>
          <w:sz w:val="20"/>
          <w:szCs w:val="20"/>
          <w:color w:val="auto"/>
        </w:rPr>
        <w:tab/>
      </w:r>
      <w:r>
        <w:rPr>
          <w:rFonts w:ascii="Arial" w:cs="Arial" w:eastAsia="Arial" w:hAnsi="Arial"/>
          <w:sz w:val="12"/>
          <w:szCs w:val="12"/>
          <w:color w:val="auto"/>
        </w:rPr>
        <w:t>, 2020.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Joint Sponsors, Joint Global Coordinators and Joint Bookrunners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(in alphabetical order)</w:t>
      </w:r>
    </w:p>
    <w:p>
      <w:pPr>
        <w:spacing w:after="0" w:line="185" w:lineRule="exact"/>
        <w:rPr>
          <w:sz w:val="24"/>
          <w:szCs w:val="24"/>
          <w:color w:val="auto"/>
        </w:rPr>
      </w:pPr>
    </w:p>
    <w:p>
      <w:pPr>
        <w:spacing w:after="0"/>
        <w:tabs>
          <w:tab w:leader="none" w:pos="4420" w:val="left"/>
          <w:tab w:leader="none" w:pos="9960" w:val="left"/>
        </w:tabs>
        <w:rPr>
          <w:sz w:val="20"/>
          <w:szCs w:val="20"/>
          <w:color w:val="auto"/>
        </w:rPr>
      </w:pPr>
      <w:r>
        <w:rPr>
          <w:rFonts w:ascii="Arial" w:cs="Arial" w:eastAsia="Arial" w:hAnsi="Arial"/>
          <w:sz w:val="24"/>
          <w:szCs w:val="24"/>
          <w:b w:val="1"/>
          <w:bCs w:val="1"/>
          <w:color w:val="auto"/>
        </w:rPr>
        <w:t>CICC</w:t>
      </w:r>
      <w:r>
        <w:rPr>
          <w:sz w:val="20"/>
          <w:szCs w:val="20"/>
          <w:color w:val="auto"/>
        </w:rPr>
        <w:tab/>
      </w:r>
      <w:r>
        <w:rPr>
          <w:rFonts w:ascii="Arial" w:cs="Arial" w:eastAsia="Arial" w:hAnsi="Arial"/>
          <w:sz w:val="24"/>
          <w:szCs w:val="24"/>
          <w:b w:val="1"/>
          <w:bCs w:val="1"/>
          <w:color w:val="auto"/>
        </w:rPr>
        <w:t>Credit Suisse</w:t>
      </w:r>
      <w:r>
        <w:rPr>
          <w:sz w:val="20"/>
          <w:szCs w:val="20"/>
          <w:color w:val="auto"/>
        </w:rPr>
        <w:tab/>
      </w:r>
      <w:r>
        <w:rPr>
          <w:rFonts w:ascii="Arial" w:cs="Arial" w:eastAsia="Arial" w:hAnsi="Arial"/>
          <w:sz w:val="22"/>
          <w:szCs w:val="22"/>
          <w:b w:val="1"/>
          <w:bCs w:val="1"/>
          <w:color w:val="auto"/>
        </w:rPr>
        <w:t>J.P. Morgan</w:t>
      </w:r>
    </w:p>
    <w:p>
      <w:pPr>
        <w:sectPr>
          <w:pgSz w:w="11900" w:h="16909" w:orient="portrait"/>
          <w:cols w:equalWidth="0" w:num="1">
            <w:col w:w="11240"/>
          </w:cols>
          <w:pgMar w:left="320" w:top="685" w:right="339" w:bottom="0" w:gutter="0" w:footer="0" w:header="0"/>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Joint Bookrunners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(in alphabetical order)</w:t>
      </w:r>
    </w:p>
    <w:p>
      <w:pPr>
        <w:sectPr>
          <w:pgSz w:w="11900" w:h="16909" w:orient="portrait"/>
          <w:cols w:equalWidth="0" w:num="1">
            <w:col w:w="11240"/>
          </w:cols>
          <w:pgMar w:left="320" w:top="685" w:right="339" w:bottom="0" w:gutter="0" w:footer="0" w:header="0"/>
          <w:type w:val="continuous"/>
        </w:sectPr>
      </w:pPr>
    </w:p>
    <w:bookmarkStart w:id="1" w:name="page2"/>
    <w:bookmarkEnd w:id="1"/>
    <w:p>
      <w:pPr>
        <w:spacing w:after="0"/>
        <w:tabs>
          <w:tab w:leader="none" w:pos="3260" w:val="left"/>
          <w:tab w:leader="none" w:pos="4040" w:val="left"/>
          <w:tab w:leader="none" w:pos="4820" w:val="left"/>
          <w:tab w:leader="none" w:pos="5940" w:val="left"/>
          <w:tab w:leader="none" w:pos="6760" w:val="left"/>
          <w:tab w:leader="none" w:pos="7580" w:val="left"/>
          <w:tab w:leader="none" w:pos="8400" w:val="left"/>
          <w:tab w:leader="none" w:pos="9260" w:val="left"/>
          <w:tab w:leader="none" w:pos="10800" w:val="left"/>
        </w:tabs>
        <w:rPr>
          <w:sz w:val="20"/>
          <w:szCs w:val="20"/>
          <w:color w:val="auto"/>
        </w:rPr>
      </w:pPr>
      <w:r>
        <w:rPr>
          <w:rFonts w:ascii="Arial" w:cs="Arial" w:eastAsia="Arial" w:hAnsi="Arial"/>
          <w:sz w:val="22"/>
          <w:szCs w:val="22"/>
          <w:b w:val="1"/>
          <w:bCs w:val="1"/>
          <w:color w:val="auto"/>
        </w:rPr>
        <w:t>ABCI</w:t>
      </w:r>
      <w:r>
        <w:rPr>
          <w:sz w:val="20"/>
          <w:szCs w:val="20"/>
          <w:color w:val="auto"/>
        </w:rPr>
        <w:tab/>
      </w:r>
      <w:r>
        <w:rPr>
          <w:rFonts w:ascii="Arial" w:cs="Arial" w:eastAsia="Arial" w:hAnsi="Arial"/>
          <w:sz w:val="22"/>
          <w:szCs w:val="22"/>
          <w:b w:val="1"/>
          <w:bCs w:val="1"/>
          <w:color w:val="auto"/>
        </w:rPr>
        <w:t>BOCI</w:t>
        <w:tab/>
        <w:t>CCBI</w:t>
        <w:tab/>
        <w:t>Citigroup</w:t>
        <w:tab/>
        <w:t>CMBI</w:t>
        <w:tab/>
        <w:t>HSBC</w:t>
        <w:tab/>
        <w:t>HTSC</w:t>
        <w:tab/>
        <w:t>ICBCI</w:t>
        <w:tab/>
        <w:t>Tiger Brokers</w:t>
      </w:r>
      <w:r>
        <w:rPr>
          <w:sz w:val="20"/>
          <w:szCs w:val="20"/>
          <w:color w:val="auto"/>
        </w:rPr>
        <w:tab/>
      </w:r>
      <w:r>
        <w:rPr>
          <w:rFonts w:ascii="Arial" w:cs="Arial" w:eastAsia="Arial" w:hAnsi="Arial"/>
          <w:sz w:val="19"/>
          <w:szCs w:val="19"/>
          <w:b w:val="1"/>
          <w:bCs w:val="1"/>
          <w:color w:val="auto"/>
        </w:rPr>
        <w:t>UBS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40" w:type="dxa"/>
            <w:vAlign w:val="bottom"/>
          </w:tcPr>
          <w:p>
            <w:pPr>
              <w:ind w:left="4380"/>
              <w:spacing w:after="0"/>
              <w:rPr>
                <w:sz w:val="20"/>
                <w:szCs w:val="20"/>
                <w:color w:val="auto"/>
              </w:rPr>
            </w:pPr>
            <w:r>
              <w:rPr>
                <w:rFonts w:ascii="Arial" w:cs="Arial" w:eastAsia="Arial" w:hAnsi="Arial"/>
                <w:sz w:val="13"/>
                <w:szCs w:val="13"/>
                <w:color w:val="auto"/>
              </w:rPr>
              <w:t>Prospectus Supplement dated</w:t>
            </w:r>
          </w:p>
        </w:tc>
        <w:tc>
          <w:tcPr>
            <w:tcW w:w="5000" w:type="dxa"/>
            <w:vAlign w:val="bottom"/>
          </w:tcPr>
          <w:p>
            <w:pPr>
              <w:jc w:val="right"/>
              <w:ind w:right="4293"/>
              <w:spacing w:after="0"/>
              <w:rPr>
                <w:sz w:val="20"/>
                <w:szCs w:val="20"/>
                <w:color w:val="auto"/>
              </w:rPr>
            </w:pPr>
            <w:r>
              <w:rPr>
                <w:rFonts w:ascii="Arial" w:cs="Arial" w:eastAsia="Arial" w:hAnsi="Arial"/>
                <w:sz w:val="13"/>
                <w:szCs w:val="13"/>
                <w:color w:val="auto"/>
              </w:rPr>
              <w:t>, 2020.</w:t>
            </w:r>
          </w:p>
        </w:tc>
      </w:tr>
      <w:tr>
        <w:trPr>
          <w:trHeight w:val="213"/>
        </w:trPr>
        <w:tc>
          <w:tcPr>
            <w:tcW w:w="6240" w:type="dxa"/>
            <w:vAlign w:val="bottom"/>
            <w:tcBorders>
              <w:bottom w:val="single" w:sz="8" w:color="808080"/>
            </w:tcBorders>
          </w:tcPr>
          <w:p>
            <w:pPr>
              <w:spacing w:after="0"/>
              <w:rPr>
                <w:sz w:val="18"/>
                <w:szCs w:val="18"/>
                <w:color w:val="auto"/>
              </w:rPr>
            </w:pPr>
          </w:p>
        </w:tc>
        <w:tc>
          <w:tcPr>
            <w:tcW w:w="50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47" w:lineRule="exact"/>
        <w:rPr>
          <w:sz w:val="20"/>
          <w:szCs w:val="20"/>
          <w:color w:val="auto"/>
        </w:rPr>
      </w:pPr>
    </w:p>
    <w:p>
      <w:pPr>
        <w:ind w:left="1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LETTER FROM OUR FOUNDER AND CEO</w:t>
        </w:r>
      </w:hyperlink>
    </w:p>
    <w:p>
      <w:pPr>
        <w:spacing w:after="0" w:line="212" w:lineRule="exact"/>
        <w:rPr>
          <w:sz w:val="20"/>
          <w:szCs w:val="20"/>
          <w:color w:val="auto"/>
        </w:rPr>
      </w:pPr>
    </w:p>
    <w:p>
      <w:pPr>
        <w:ind w:left="1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ABOUT THIS PROSPECTUS SUPPLEMENT</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SPECIAL NOTE REGARDING FORWARD-LOOKING STATEMENTS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PROSPECTUS SUPPLEMENT SUMMARY</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THE GLOBAL OFFERING</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SELECTED HISTORICAL CONSOLIDATED FINANCIAL DATA</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USE OF PROCEEDS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CAPITALIZATION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DILUTION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PRINCIPAL AND OTHER SHAREHOLDERS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DIVIDEND POLICY</w:t>
        </w:r>
      </w:hyperlink>
    </w:p>
    <w:p>
      <w:pPr>
        <w:spacing w:after="0" w:line="225" w:lineRule="exact"/>
        <w:rPr>
          <w:sz w:val="20"/>
          <w:szCs w:val="20"/>
          <w:color w:val="auto"/>
        </w:rPr>
      </w:pPr>
    </w:p>
    <w:p>
      <w:pPr>
        <w:ind w:left="114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EXCHANGES BETWEEN ORDINARY SHARES TRADING IN HONG KONG AND ADSs</w:t>
        </w:r>
      </w:hyperlink>
    </w:p>
    <w:p>
      <w:pPr>
        <w:spacing w:after="0" w:line="248" w:lineRule="exact"/>
        <w:rPr>
          <w:sz w:val="20"/>
          <w:szCs w:val="20"/>
          <w:color w:val="auto"/>
        </w:rPr>
      </w:pPr>
    </w:p>
    <w:p>
      <w:pPr>
        <w:ind w:left="11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UNDERWRITING</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LEGAL MATTERS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WHERE YOU CAN FIND MORE INFORMATION ABOUT US</w:t>
        </w:r>
      </w:hyperlink>
    </w:p>
    <w:p>
      <w:pPr>
        <w:spacing w:after="0" w:line="23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7" w:lineRule="exact"/>
        <w:rPr>
          <w:sz w:val="20"/>
          <w:szCs w:val="20"/>
          <w:color w:val="auto"/>
        </w:rPr>
      </w:pPr>
    </w:p>
    <w:p>
      <w:pPr>
        <w:ind w:left="1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ABOUT THIS PROSPECTUS</w:t>
        </w:r>
      </w:hyperlink>
    </w:p>
    <w:p>
      <w:pPr>
        <w:spacing w:after="0" w:line="212" w:lineRule="exact"/>
        <w:rPr>
          <w:sz w:val="20"/>
          <w:szCs w:val="20"/>
          <w:color w:val="auto"/>
        </w:rPr>
      </w:pPr>
    </w:p>
    <w:p>
      <w:pPr>
        <w:ind w:left="11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FORWARD-LOOKING STATEMENTS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OUR COMPANY</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RISK FACTORS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USE OF PROCEEDS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DESCRIPTION OF SHARE CAPITAL</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DESCRIPTION OF AMERICAN DEPOSITARY SHARES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ENFORCEMENT OF CIVIL LIABILITIES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TAXATION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SELLING SHAREHOLDERS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PLAN OF DISTRIBUTION</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LEGAL MATTERS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EXPERTS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WHERE YOU CAN FIND MORE INFORMATION ABOUT US</w:t>
        </w:r>
      </w:hyperlink>
    </w:p>
    <w:p>
      <w:pPr>
        <w:spacing w:after="0" w:line="225" w:lineRule="exact"/>
        <w:rPr>
          <w:sz w:val="20"/>
          <w:szCs w:val="20"/>
          <w:color w:val="auto"/>
        </w:rPr>
      </w:pPr>
    </w:p>
    <w:p>
      <w:pPr>
        <w:ind w:left="11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INCORPORATION OF DOCUMENTS BY REFERENCE</w:t>
        </w:r>
      </w:hyperlink>
    </w:p>
    <w:p>
      <w:pPr>
        <w:spacing w:after="0" w:line="23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7620</wp:posOffset>
            </wp:positionV>
            <wp:extent cx="291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S-3</w:t>
        </w:r>
      </w:hyperlink>
    </w:p>
    <w:p>
      <w:pPr>
        <w:spacing w:after="0" w:line="217"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S-6</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S-8</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S-9</w:t>
        </w:r>
      </w:hyperlink>
    </w:p>
    <w:p>
      <w:pPr>
        <w:spacing w:after="0" w:line="225" w:lineRule="exact"/>
        <w:rPr>
          <w:sz w:val="20"/>
          <w:szCs w:val="20"/>
          <w:color w:val="auto"/>
        </w:rPr>
      </w:pPr>
    </w:p>
    <w:p>
      <w:pPr>
        <w:ind w:left="4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S-17</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S-20</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S-23</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S-33</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S-34</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S-35</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S-37</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S-39</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S-41</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S-45</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S-68</w:t>
        </w:r>
      </w:hyperlink>
    </w:p>
    <w:p>
      <w:pPr>
        <w:spacing w:after="0" w:line="248" w:lineRule="exact"/>
        <w:rPr>
          <w:sz w:val="20"/>
          <w:szCs w:val="20"/>
          <w:color w:val="auto"/>
        </w:rPr>
      </w:pPr>
    </w:p>
    <w:p>
      <w:pPr>
        <w:ind w:left="40"/>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S-69</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7620</wp:posOffset>
            </wp:positionV>
            <wp:extent cx="291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1</w:t>
        </w:r>
      </w:hyperlink>
    </w:p>
    <w:p>
      <w:pPr>
        <w:spacing w:after="0" w:line="217"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2</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3</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4</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5</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6</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11</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17</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19</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28</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29</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31</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32</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33</w:t>
        </w:r>
      </w:hyperlink>
    </w:p>
    <w:p>
      <w:pPr>
        <w:spacing w:after="0" w:line="225" w:lineRule="exact"/>
        <w:rPr>
          <w:sz w:val="20"/>
          <w:szCs w:val="20"/>
          <w:color w:val="auto"/>
        </w:rPr>
      </w:pPr>
    </w:p>
    <w:p>
      <w:pPr>
        <w:jc w:val="right"/>
        <w:ind w:right="179"/>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34</w:t>
        </w:r>
      </w:hyperlink>
    </w:p>
    <w:p>
      <w:pPr>
        <w:sectPr>
          <w:pgSz w:w="11900" w:h="16838" w:orient="portrait"/>
          <w:cols w:equalWidth="0" w:num="2">
            <w:col w:w="8860" w:space="720"/>
            <w:col w:w="559"/>
          </w:cols>
          <w:pgMar w:left="320" w:top="131" w:right="1440" w:bottom="167"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into this prospectus supplement, the accompanying prospectus or any other offering materials we file with the SEC. Neither we nor the underwriters have authorized any other person to provide you with different information. If anyone provides you with different or inconsistent information, you should not rely on such different or inconsistent information. Neither we nor the underwriters are making an offer of the ordinary shares in any jurisdiction where such offer is not permitted. You should not assume that the information contained or incorporated by reference into this prospectus supplement and the accompanying prospectus or in any other offering material is accurate as of any date other than the respective dates thereof. Our business, financial condition, results of operations and prospects may have changed since those dates. Neither this prospectus supplement nor the accompanying prospectus constitutes an offer, or an invitation on our behalf or the underwriter to subscribe for and purchase, any of the ordinary shares and may not be used for or in connection with an offer or solicitation by anyone, in any jurisdiction in which such an offer or solicitation is not authorized or to any person to whom it is unlawful to make such an offer or solicitation.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 FROM OUR FOUNDER AND CEO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"Believing in the Power of Passion</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CEO William Ding's Letter to 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NetEase's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Listing Anniversary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Dear NetEase Investors,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When NetEase went public on Nasdaq in June 2000, we began a new journey, which coincided with the start of a new century. We were all curious about what the future would hold.</w:t>
      </w:r>
    </w:p>
    <w:p>
      <w:pPr>
        <w:spacing w:after="0" w:line="186" w:lineRule="exact"/>
        <w:rPr>
          <w:sz w:val="20"/>
          <w:szCs w:val="20"/>
          <w:color w:val="auto"/>
        </w:rPr>
      </w:pPr>
    </w:p>
    <w:p>
      <w:pPr>
        <w:ind w:right="140" w:firstLine="351"/>
        <w:spacing w:after="0" w:line="331" w:lineRule="auto"/>
        <w:rPr>
          <w:sz w:val="20"/>
          <w:szCs w:val="20"/>
          <w:color w:val="auto"/>
        </w:rPr>
      </w:pPr>
      <w:r>
        <w:rPr>
          <w:rFonts w:ascii="Arial" w:cs="Arial" w:eastAsia="Arial" w:hAnsi="Arial"/>
          <w:sz w:val="16"/>
          <w:szCs w:val="16"/>
          <w:color w:val="auto"/>
        </w:rPr>
        <w:t>NetEase's share price has risen significantly in the 20 years since listing, and we have maintained a regular quarterly dividend for the last six consecutive years, a trend that strongly demonstrates our commitment to returning value to shareholders and symbolises our youthful vigor and vitality.</w:t>
      </w:r>
    </w:p>
    <w:p>
      <w:pPr>
        <w:spacing w:after="0" w:line="14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truthful, high-spirited, enthusiastic and curious, rather than complicated and calculating. The contrast of our uncomplicatedness to a world full of complications often makes NetEase an "enigmatic" company. I'd like to take this opportunity to dispel some of the confusion and misconceptions that may exist about our business.</w:t>
      </w:r>
    </w:p>
    <w:p>
      <w:pPr>
        <w:spacing w:after="0" w:line="188"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Some say they don't understand NetEase's strategies.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my view, the term "strategy" has become an overly metaphysical concept, which one associates with an ambitious blueprint and elaborate planning.</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However, the attractiveness of business lies precisely in the fact that unexpected occurrences often undo carefully calculated plans.</w:t>
      </w:r>
    </w:p>
    <w:p>
      <w:pPr>
        <w:spacing w:after="0" w:line="219"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 xml:space="preserve">For NetEase, our business strategy is by no means derived from some grand masterplan. Before embarking on new businesses, we usually ask ourselves three questions: </w:t>
      </w:r>
      <w:r>
        <w:rPr>
          <w:rFonts w:ascii="Arial" w:cs="Arial" w:eastAsia="Arial" w:hAnsi="Arial"/>
          <w:sz w:val="18"/>
          <w:szCs w:val="18"/>
          <w:i w:val="1"/>
          <w:iCs w:val="1"/>
          <w:color w:val="auto"/>
        </w:rPr>
        <w:t>Does this product truly address user needs? Are we passionate about it? Are we capable of delivering superior services and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compared to our competitors?</w:t>
      </w:r>
    </w:p>
    <w:p>
      <w:pPr>
        <w:spacing w:after="0" w:line="19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This is our philosophy—one that is centred on user demand, driven by dedication and empowered by capability. Our philosophy embodies a relentless pursuit of our vision and an unwavering belief that we will find our answers in the end.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such, the notion of being "user centric" and "passionate" is manifest in the history of our company. Through these ideas, one can truly understand us.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an ever-changing world, our ethos and perpetual desire to meet users' demands remain constant.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NetEase believes in the power of people.</w:t>
      </w:r>
    </w:p>
    <w:p>
      <w:pPr>
        <w:spacing w:after="0" w:line="21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Some say they don't understand NetEase's pace.</w:t>
      </w:r>
    </w:p>
    <w:p>
      <w:pPr>
        <w:spacing w:after="0" w:line="231" w:lineRule="exact"/>
        <w:rPr>
          <w:sz w:val="20"/>
          <w:szCs w:val="20"/>
          <w:color w:val="auto"/>
        </w:rPr>
      </w:pPr>
    </w:p>
    <w:p>
      <w:pPr>
        <w:ind w:left="540" w:right="100"/>
        <w:spacing w:after="0" w:line="256" w:lineRule="auto"/>
        <w:rPr>
          <w:sz w:val="20"/>
          <w:szCs w:val="20"/>
          <w:color w:val="auto"/>
        </w:rPr>
      </w:pPr>
      <w:r>
        <w:rPr>
          <w:rFonts w:ascii="Arial" w:cs="Arial" w:eastAsia="Arial" w:hAnsi="Arial"/>
          <w:sz w:val="18"/>
          <w:szCs w:val="18"/>
          <w:color w:val="auto"/>
        </w:rPr>
        <w:t>When it comes to the internet, being perceived as being slow seems to be a "sin" to some. However, the mere desire for speed comes at the cost of the inability to appreciate beauty and what is really important to users and what makes a product great. NetEase has never feared to progress at its own pace. Instead of being driven by short-term goals, we focus on innovation and delivering premium content and an excellent experience to users. This is the path that we have chosen and adhered to since our early days.</w:t>
      </w:r>
    </w:p>
    <w:p>
      <w:pPr>
        <w:spacing w:after="0" w:line="197"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Developing "premium content and product excellence" involves years of hard work. It requires us to dig deep and gain insights into user needs and to attend to the most intricate product details.</w:t>
      </w:r>
    </w:p>
    <w:p>
      <w:pPr>
        <w:spacing w:after="0" w:line="186"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We are okay with spending two decades to fine-tune a game or several years to perfect a music app. Our principle is an unwavering belief in proceeding at our own pace, come what may.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Running a company is not a 100-meter sprint but rather a marathon. One does not simply win the race with a faster start. As we focus on our long-term goals, we strive to create wonders for our users and the best possible products and services.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NetEase believes in the power of time.</w:t>
      </w:r>
    </w:p>
    <w:p>
      <w:pPr>
        <w:spacing w:after="0" w:line="21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Some say they don't know how to define NetEase.</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NetEase has experienced and withstood numerous market cycles. Our resilience through difficult circumstances is not a result of wit or luck, but a testament to our respect of and adherence to the fundamental driver of long-term business success: the creation of true value for our users and society at large.</w:t>
      </w:r>
    </w:p>
    <w:p>
      <w:pPr>
        <w:spacing w:after="0" w:line="194"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From e-mail services, web portals and interactive entertainment to Youdao products, open courses, music streaming and e-commerce services, etc., we don't define ourselves as a specific type of company nor limit ourselves to one particular field. As long as we believe in our ability to make a difference, we are willing to go the extra mile to achieve it.</w:t>
      </w:r>
    </w:p>
    <w:p>
      <w:pPr>
        <w:spacing w:after="0" w:line="194"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Such philosophy sometimes comes at a potential cost of missing short-term gains or being misunderstood, and sometimes being mocked. However, we embrace these obstacles with an unwavering faith in our mission and our values.</w:t>
      </w:r>
    </w:p>
    <w:p>
      <w:pPr>
        <w:spacing w:after="0" w:line="186"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We hope to bring a little more positivity and a little more wonderfulness to the world every time that we can. When there is a clash between idealism and practicality, our approach is to lean toward the former. Our thinking is grounded in the belief that if we stick with our principles, wonderfulness will gradually come and be evident in our offerings.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Such is the underlying ethos for success.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NetEase believes in the power of faith.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of NetEase</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NetEase's growth will continue to be transparent and driven by our faith and passion. This remains our blueprint for the next 20 years, one which we will adhere to and persevere with. Going forward, we are committed to the following four causes:</w:t>
      </w:r>
    </w:p>
    <w:p>
      <w:pPr>
        <w:spacing w:after="0" w:line="18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Building an organization that is self-evolving and entrepreneurial</w:t>
      </w:r>
    </w:p>
    <w:p>
      <w:pPr>
        <w:spacing w:after="0" w:line="231" w:lineRule="exact"/>
        <w:rPr>
          <w:sz w:val="20"/>
          <w:szCs w:val="20"/>
          <w:color w:val="auto"/>
        </w:rPr>
      </w:pPr>
    </w:p>
    <w:p>
      <w:pPr>
        <w:ind w:left="540" w:right="380"/>
        <w:spacing w:after="0" w:line="256" w:lineRule="auto"/>
        <w:rPr>
          <w:sz w:val="20"/>
          <w:szCs w:val="20"/>
          <w:color w:val="auto"/>
        </w:rPr>
      </w:pPr>
      <w:r>
        <w:rPr>
          <w:rFonts w:ascii="Arial" w:cs="Arial" w:eastAsia="Arial" w:hAnsi="Arial"/>
          <w:sz w:val="18"/>
          <w:szCs w:val="18"/>
          <w:color w:val="auto"/>
        </w:rPr>
        <w:t>Since the end of 2018, we have enacted a series of organizational and structural adjustments to streamline and stay focused on our core businesses, which we believe has made us more resilient to global crises. Our next step is to prioritise organizational development. We recently revisited our corporate culture, accentuating key notions of our corporate values such as "passion" and "connection with users" with our employees—values we intend to embody and uphold.</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NetEase became listed on Nasdaq when I was 29 years old. At that time, we had 221 employees. Today, the number of our employees has grown almost a hundred-fold to over 20,000, while the average age of our employees has remained under 29. A coincidence, but also a perfect reflection of NetEase: seasoned and mature, yet young and entrepreneurial.</w:t>
      </w:r>
    </w:p>
    <w:p>
      <w:pPr>
        <w:spacing w:after="0" w:line="194"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We will continue to aggressively search for youthful, intelligent, dedicated and intrepid talents to train and nurture. We want them to have the right opportunity to grow quickly and shine. This will be of great importance.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Advancing NetEase's strategy of quality and excellence to continue delivering products and services that make us proud</w:t>
      </w:r>
    </w:p>
    <w:p>
      <w:pPr>
        <w:spacing w:after="0" w:line="231"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2020 will no doubt be a year of uncertainties and challenges, but our pursuit of excellence remains unchanged. NetEase strives to run businesses and develop products that withstand the test of time. We aim to exceed user expectations, not merely meet them.</w:t>
      </w:r>
    </w:p>
    <w:p>
      <w:pPr>
        <w:spacing w:after="0" w:line="186"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We aspire to create products and services that our employees are proud of and our users truly love. While such pursuit of excellence may bring forth competition and imitation, it will further drive us to reflect and continue to innovate in order to be an industry leader—a positive cycle that ultimately improves the user experience.</w:t>
      </w:r>
    </w:p>
    <w:p>
      <w:pPr>
        <w:spacing w:after="0" w:line="18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Embracing global opportunities while further solidifying our position in China</w:t>
      </w:r>
    </w:p>
    <w:p>
      <w:pPr>
        <w:spacing w:after="0" w:line="231"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In the last several years, NetEase has started to explore global opportunities. While some people may not have noticed these efforts, we have seen remarkable results in these early explorations.</w:t>
      </w:r>
    </w:p>
    <w:p>
      <w:pPr>
        <w:spacing w:after="0" w:line="186"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Becoming more global is a crucial part of and an inevitable step in NetEase's growth. Our vision to "foster collaboration and realize people's aspiration for a better life through technology and innovation" calls for a bigger platform. Going forward, as we continue to solidify our position in China, we will also further expand overseas, driving innovation and breakthroughs through incubation, investment, collaboration, and strategic partnerships. We strongly believe that high-quality Chinese products and services deserve more spotlight on the international stage.</w:t>
      </w:r>
    </w:p>
    <w:p>
      <w:pPr>
        <w:spacing w:after="0" w:line="160"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Empowering individuals with more accessible resources</w:t>
      </w:r>
    </w:p>
    <w:p>
      <w:pPr>
        <w:spacing w:after="0" w:line="231" w:lineRule="exact"/>
        <w:rPr>
          <w:sz w:val="20"/>
          <w:szCs w:val="20"/>
          <w:color w:val="auto"/>
        </w:rPr>
      </w:pPr>
    </w:p>
    <w:p>
      <w:pPr>
        <w:ind w:left="540" w:right="240"/>
        <w:spacing w:after="0" w:line="331" w:lineRule="auto"/>
        <w:rPr>
          <w:sz w:val="20"/>
          <w:szCs w:val="20"/>
          <w:color w:val="auto"/>
        </w:rPr>
      </w:pPr>
      <w:r>
        <w:rPr>
          <w:rFonts w:ascii="Arial" w:cs="Arial" w:eastAsia="Arial" w:hAnsi="Arial"/>
          <w:sz w:val="16"/>
          <w:szCs w:val="16"/>
          <w:color w:val="auto"/>
        </w:rPr>
        <w:t>The start of NetEase was inspired by the spirit of the internet. We will continue to adhere to this spirit of openness, fairness and sharing as we march forward. We are not only driven by short-term profits and hope our stakeholders can understand and support our philosophy.</w:t>
      </w:r>
    </w:p>
    <w:p>
      <w:pPr>
        <w:spacing w:after="0" w:line="141" w:lineRule="exact"/>
        <w:rPr>
          <w:sz w:val="20"/>
          <w:szCs w:val="20"/>
          <w:color w:val="auto"/>
        </w:rPr>
      </w:pPr>
    </w:p>
    <w:p>
      <w:pPr>
        <w:ind w:left="540"/>
        <w:spacing w:after="0" w:line="331" w:lineRule="auto"/>
        <w:rPr>
          <w:sz w:val="20"/>
          <w:szCs w:val="20"/>
          <w:color w:val="auto"/>
        </w:rPr>
      </w:pPr>
      <w:r>
        <w:rPr>
          <w:rFonts w:ascii="Arial" w:cs="Arial" w:eastAsia="Arial" w:hAnsi="Arial"/>
          <w:sz w:val="16"/>
          <w:szCs w:val="16"/>
          <w:color w:val="auto"/>
        </w:rPr>
        <w:t>The post-COVID-19 era may be different but also presents unique opportunities for growth. NetEase will continue to help our community in areas such as basic human needs and empower people with innovations and technology in areas such as education and entertainment.</w:t>
      </w:r>
    </w:p>
    <w:p>
      <w:pPr>
        <w:spacing w:after="0" w:line="14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So to the shareholders of NetEase, I wish to say that when NetEase first became public 20 years ago, our youthfulness was the biggest barrier to gaining trust from the investment community and the media. But as you have witnessed, it was exactly our youthfulness that fuelled our enthusiasm for hope and opportunity in the decades that followed.</w:t>
      </w:r>
    </w:p>
    <w:p>
      <w:pPr>
        <w:spacing w:after="0" w:line="19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we come to NetEase's 20th listing anniversary this month, we are at another new starting point. We are also preparing our secondary listing on the Stock Exchange of Hong Kong, bringing our established brand back to China. I believe that returning to a market that is closer to our roots will further fuel our passion in our business and our users.</w:t>
      </w:r>
    </w:p>
    <w:p>
      <w:pPr>
        <w:spacing w:after="0" w:line="194"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would like to thank our colleagues and users for accompanying us on NetEase's long journey. And a big thank you to our shareholders. I would like to conclude with a phrase I used in 2003 at my alma mater: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date, we have yet to achieve success and are still growing."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Founder and CEO of NetEase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ind w:right="40" w:firstLine="348"/>
        <w:spacing w:after="0" w:line="298" w:lineRule="auto"/>
        <w:rPr>
          <w:rFonts w:ascii="Arial" w:cs="Arial" w:eastAsia="Arial" w:hAnsi="Arial"/>
          <w:sz w:val="16"/>
          <w:szCs w:val="16"/>
          <w:color w:val="0000EE"/>
        </w:rPr>
      </w:pPr>
      <w:r>
        <w:rPr>
          <w:rFonts w:ascii="Arial" w:cs="Arial" w:eastAsia="Arial" w:hAnsi="Arial"/>
          <w:sz w:val="16"/>
          <w:szCs w:val="16"/>
          <w:color w:val="auto"/>
        </w:rPr>
        <w:t xml:space="preserve">This document is in two parts. The first part is this prospectus supplement, which describes the terms of the Global Offering (as defined in this prospectus supplement under the "Underwriting" section) and also supplements and updates information contained in the accompanying prospectus and the documents </w:t>
      </w:r>
      <w:hyperlink r:id="rId20">
        <w:r>
          <w:rPr>
            <w:rFonts w:ascii="Arial" w:cs="Arial" w:eastAsia="Arial" w:hAnsi="Arial"/>
            <w:sz w:val="16"/>
            <w:szCs w:val="16"/>
            <w:color w:val="auto"/>
          </w:rPr>
          <w:t xml:space="preserve">incorporated by reference into the accompanying prospectus. The second part is the accompanying </w:t>
        </w:r>
        <w:r>
          <w:rPr>
            <w:rFonts w:ascii="Arial" w:cs="Arial" w:eastAsia="Arial" w:hAnsi="Arial"/>
            <w:sz w:val="16"/>
            <w:szCs w:val="16"/>
            <w:u w:val="single" w:color="auto"/>
            <w:color w:val="0000EE"/>
          </w:rPr>
          <w:t>prospectus dated May 29, 2020 included in the registration</w:t>
        </w:r>
      </w:hyperlink>
      <w:r>
        <w:rPr>
          <w:rFonts w:ascii="Arial" w:cs="Arial" w:eastAsia="Arial" w:hAnsi="Arial"/>
          <w:sz w:val="16"/>
          <w:szCs w:val="16"/>
          <w:color w:val="auto"/>
        </w:rPr>
        <w:t xml:space="preserve"> </w:t>
      </w:r>
      <w:hyperlink r:id="rId20">
        <w:r>
          <w:rPr>
            <w:rFonts w:ascii="Arial" w:cs="Arial" w:eastAsia="Arial" w:hAnsi="Arial"/>
            <w:sz w:val="16"/>
            <w:szCs w:val="16"/>
            <w:u w:val="single" w:color="auto"/>
            <w:color w:val="0000EE"/>
          </w:rPr>
          <w:t>statement on Form F-3 (No. 333-238762)</w:t>
        </w:r>
        <w:r>
          <w:rPr>
            <w:rFonts w:ascii="Arial" w:cs="Arial" w:eastAsia="Arial" w:hAnsi="Arial"/>
            <w:sz w:val="16"/>
            <w:szCs w:val="16"/>
            <w:color w:val="000000"/>
          </w:rPr>
          <w:t>, which provides more general information.</w:t>
        </w:r>
      </w:hyperlink>
    </w:p>
    <w:p>
      <w:pPr>
        <w:spacing w:after="0" w:line="16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any document incorporated by reference into the accompanying prospectus, on the other hand, you should rely on the information in this prospectus supplement.</w:t>
      </w:r>
    </w:p>
    <w:p>
      <w:pPr>
        <w:spacing w:after="0" w:line="194"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The Global Offering comprises an International Offering and Hong Kong Public Offering (each as defined in this prospectus supplement under the "Underwriting" section). Other than the Hong Kong Public Offering, no action is being taken in any jurisdiction outside the United States to permit a public offering of the ordinary shares, and no action is being taken in any jurisdiction outside the United States to permit the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the Global Offering and the distribution of this prospectus supplement and the accompanying prospectus applicable to that jurisdiction.</w:t>
      </w:r>
    </w:p>
    <w:p>
      <w:pPr>
        <w:spacing w:after="0" w:line="17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This prospectus supplement and the accompanying prospectus contain or incorporate by reference market and industry data that was obtained from third parties and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supplement is generally reliable, such information is inherently imprecise.</w:t>
      </w:r>
    </w:p>
    <w:p>
      <w:pPr>
        <w:spacing w:after="0" w:line="16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this prospectus supplement, unless otherwise indicated or unless the context otherwise requires, references to:</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25 of our ordinary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"Blizzard" are to Blizzard Entertainment, Inc. and its affiliated companies;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"China" and the "PRC" are to the People's Republic of China, excluding, for the purposes of this prospectus supplement only, Taiwan and the special administrative regions of Hong Kong and Macau;</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"HK$" and "Hong Kong dollars" are to the legal currency of the Hong Kong Special Administrative Region of the PRC;</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"MAUs" are, with respect to each of Youdao's products and services (except for smart devices), to the average of the monthly number of unique mobile or PC devices, as the case may be,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56" w:lineRule="auto"/>
        <w:rPr>
          <w:sz w:val="20"/>
          <w:szCs w:val="20"/>
          <w:color w:val="auto"/>
        </w:rPr>
      </w:pPr>
      <w:r>
        <w:rPr>
          <w:rFonts w:ascii="Arial" w:cs="Arial" w:eastAsia="Arial" w:hAnsi="Arial"/>
          <w:sz w:val="18"/>
          <w:szCs w:val="18"/>
          <w:color w:val="auto"/>
        </w:rPr>
        <w:t>through which such product and service is accessed at least once in that month (duplicate access to different products and services is not eliminated from the calculation). MAUs for Youdao are calculated using internal company data, treating each distinguishable device as a separate MAU even though some users may access Youdao's products and services using more than one device and multiple users may access our services using the same;</w:t>
      </w:r>
    </w:p>
    <w:p>
      <w:pPr>
        <w:spacing w:after="0" w:line="210" w:lineRule="exact"/>
        <w:rPr>
          <w:sz w:val="20"/>
          <w:szCs w:val="20"/>
          <w:color w:val="auto"/>
        </w:rPr>
      </w:pPr>
    </w:p>
    <w:p>
      <w:pPr>
        <w:jc w:val="both"/>
        <w:ind w:left="1080" w:right="12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"Q1 Dividend" are to the dividend of US$0.0464 per ordinary share (equivalent to US$1.16 per ADS, representing 25 ordinary shares) for the first quarter of 2020 approved by our board of directors, which we expect to pay on June 23, 2020 to shareholders of record as of the close of business on June 12, 2020;</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and "ordinary shares" are to our ordinary shares, par value US$0.0001 per ordinary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"dollars" and "U.S. dollars" are to the legal currency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GAAP" are to the generally accepted accounting principles in the United States;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 "our company" and "our" are NetEase, Inc. and, where context requires, its consolidated subsidiaries (including its consolidated affiliated entities);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"Youdao" are to Youdao, Inc., our majority-controlled subsidiary which is listed on the New York Stock Exchange under the symbol "DAO."</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supplement contains translations of RMB amounts and Hong Kong dollar amounts into U.S. dollars at specific rates solely for your convenience. Most of our revenues are denominated in RMB, and we use RMB as our reporting currency. Unless otherwise indicated, all translations of RMB into U.S. dollars were made at RMB7.0808 to US$1.00 and all translations of Hong Kong dollars into U.S. dollars were made at HK$7.7531 to US$1.00, the respective exchange rates on March 31, 2020 as set forth in the H.10 statistical release of the Federal Reserve Board. We make no representation that the RMB amounts or Hong Kong dollar amounts referred to in this prospectus supplement could have been or could be converted into U.S. dollars at any particular rate or at all.</w:t>
      </w:r>
    </w:p>
    <w:p>
      <w:pPr>
        <w:spacing w:after="0" w:line="198" w:lineRule="exact"/>
        <w:rPr>
          <w:sz w:val="20"/>
          <w:szCs w:val="20"/>
          <w:color w:val="auto"/>
        </w:rPr>
      </w:pPr>
    </w:p>
    <w:p>
      <w:pPr>
        <w:ind w:right="300" w:firstLine="351"/>
        <w:spacing w:after="0" w:line="331" w:lineRule="auto"/>
        <w:rPr>
          <w:sz w:val="20"/>
          <w:szCs w:val="20"/>
          <w:color w:val="auto"/>
        </w:rPr>
      </w:pPr>
      <w:r>
        <w:rPr>
          <w:rFonts w:ascii="Arial" w:cs="Arial" w:eastAsia="Arial" w:hAnsi="Arial"/>
          <w:sz w:val="16"/>
          <w:szCs w:val="16"/>
          <w:color w:val="auto"/>
        </w:rPr>
        <w:t>Unless specifically indicated otherwise or unless the context otherwise requires, all references to our ordinary shares exclude ordinary shares issuable upon the vesting of restricted share units, or RSUs, outstanding under our RSU plans as of the date of this prospectus supplement.</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therein contain forward-looking statements that are, by their nature, subject to significant risks and uncertainties. These statements are made under the "safe harbor" provisions of the U.S. Private Securities Litigation Reform Act of 1995. Any statements that express, or involve discussions as to, expectations, beliefs, plans, objectives, assumptions or future events or performance (often, but not always, through the use of words or phrases such as "will," "expect," "anticipate," "estimate," "believe," "going forward," "ought to," "may," "seek," "should," "intend," "plan," "projection," "could," "vision," "goals," "aim," "aspire," "objective," "target," "schedules" and "outlook") are not historical facts, are forward-looking and may involve estimates and assumptions and are subject to risks (including but not limited to the risk factors detailed in this prospectus supplement), uncertainties and other factors some of which are beyond our company's control and which are difficult to predict. Accordingly, these factors could cause actual results or outcomes to differ materially from those expressed in the forward-looking statements.</w:t>
      </w:r>
    </w:p>
    <w:p>
      <w:pPr>
        <w:spacing w:after="0" w:line="17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forward-looking statements have been based on assumptions and factors concerning future events that may prove to be inaccurate. Those assumptions and factors are based on information currently available to us about the businesses that we operate. The risks, uncertainties and other factors, many of which are beyond our control, that could influence actual results include, but are not limited to:</w:t>
      </w:r>
    </w:p>
    <w:p>
      <w:pPr>
        <w:spacing w:after="0" w:line="207"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operations and business prospects;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operating strategies and our ability to implement such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manage our operations and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for, among other things, capital, technology and skilled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dividend policy;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regulatory and operating conditions in the industry and geographical markets in which we operate; and</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risks and uncertainties, including those listed under the heading "Risk Factors" in this prospectus supplement and the accompanying prospectus and the documents incorporated therein by reference.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actual results or outcomes could differ materially from those expressed in any forward-looking statements, we strongly caution investors against placing undue reliance on any such forward-looking statements. Any forward-looking statement speaks only as at the date on which such statement is made, and we undertake no obligation to update any forward-looking statement or statements to reflect events or circumstances after the date on which such statement is made or to reflect the occurrence of unanticipated events. Statements of or references to our intentions or those of any of our directors are made as at the date of this prospectus supplement. Any such intentions may change in light of future developments.</w:t>
      </w:r>
    </w:p>
    <w:p>
      <w:pPr>
        <w:spacing w:after="0" w:line="169"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All forward-looking statements in this prospectus supplement, the accompanying prospectus and the documents incorporated by reference are expressly qualified by reference herein and therein to this cautionary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6107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6130" cy="610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firstLine="351"/>
        <w:spacing w:after="0" w:line="294" w:lineRule="auto"/>
        <w:rPr>
          <w:sz w:val="20"/>
          <w:szCs w:val="20"/>
          <w:color w:val="auto"/>
        </w:rPr>
      </w:pPr>
      <w:r>
        <w:rPr>
          <w:rFonts w:ascii="Arial" w:cs="Arial" w:eastAsia="Arial" w:hAnsi="Arial"/>
          <w:sz w:val="16"/>
          <w:szCs w:val="16"/>
          <w:i w:val="1"/>
          <w:iCs w:val="1"/>
          <w:color w:val="auto"/>
        </w:rPr>
        <w:t>This summary highlights information contained elsewhere in or incorporated by reference into this prospectus supplement and the accompanying prospectus. This summary is not complete and does not contain all of the information that you should consider before investing in the ordinary shares. You should read the entire prospectus supplement, the accompanying prospectus and the documents incorporated by reference carefully, including the section titled "Risk Factors" and our financial statements and the notes to those financial statements, which are incorporated by reference, and the other financial information appearing elsewhere in or incorporated by reference into this prospectus supplement and the accompanying prospectus</w:t>
      </w:r>
      <w:r>
        <w:rPr>
          <w:rFonts w:ascii="Arial" w:cs="Arial" w:eastAsia="Arial" w:hAnsi="Arial"/>
          <w:sz w:val="16"/>
          <w:szCs w:val="16"/>
          <w:color w:val="auto"/>
        </w:rPr>
        <w:t>.</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mission</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mission is to create wonders through delivering premium content and excellent service to users.</w:t>
      </w:r>
    </w:p>
    <w:p>
      <w:pPr>
        <w:spacing w:after="0" w:line="225" w:lineRule="exact"/>
        <w:rPr>
          <w:sz w:val="20"/>
          <w:szCs w:val="20"/>
          <w:color w:val="auto"/>
        </w:rPr>
      </w:pPr>
    </w:p>
    <w:p>
      <w:pPr>
        <w:jc w:val="both"/>
        <w:ind w:left="240" w:right="80" w:firstLine="348"/>
        <w:spacing w:after="0" w:line="284" w:lineRule="auto"/>
        <w:rPr>
          <w:sz w:val="20"/>
          <w:szCs w:val="20"/>
          <w:color w:val="auto"/>
        </w:rPr>
      </w:pPr>
      <w:r>
        <w:rPr>
          <w:rFonts w:ascii="Arial" w:cs="Arial" w:eastAsia="Arial" w:hAnsi="Arial"/>
          <w:sz w:val="16"/>
          <w:szCs w:val="16"/>
          <w:color w:val="auto"/>
        </w:rPr>
        <w:t>This mission has guided us through the past 23 years in delivering premium content and services. We started as a Chinese internet portal in the late 1990s, and established our media and e-mail services that continue to thrive today; strategically expanded into online games in 2001, which now makes us the second largest mobile game company in the world in terms of combined iOS and Google Play user spending in 2019, according to App</w:t>
      </w:r>
    </w:p>
    <w:p>
      <w:pPr>
        <w:spacing w:after="0" w:line="1" w:lineRule="exact"/>
        <w:rPr>
          <w:sz w:val="20"/>
          <w:szCs w:val="20"/>
          <w:color w:val="auto"/>
        </w:rPr>
      </w:pPr>
    </w:p>
    <w:p>
      <w:pPr>
        <w:jc w:val="both"/>
        <w:ind w:left="240"/>
        <w:spacing w:after="0" w:line="302" w:lineRule="auto"/>
        <w:rPr>
          <w:sz w:val="20"/>
          <w:szCs w:val="20"/>
          <w:color w:val="auto"/>
        </w:rPr>
      </w:pPr>
      <w:r>
        <w:rPr>
          <w:rFonts w:ascii="Arial" w:cs="Arial" w:eastAsia="Arial" w:hAnsi="Arial"/>
          <w:sz w:val="16"/>
          <w:szCs w:val="16"/>
          <w:color w:val="auto"/>
        </w:rPr>
        <w:t>Annie Inc., or App Annie, a global mobile application intelligence platform; launched our Youdao business in 2006 that eventually became an New York Stock Exchange-listed intelligent learning platform; introduced NetEase Cloud Music, a music streaming platform, in 2013; and opened our e-commerce platform Yanxuan in 2016, which quickly emerged as a destination for private label merchandise.</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vision</w:t>
      </w:r>
    </w:p>
    <w:p>
      <w:pPr>
        <w:spacing w:after="0" w:line="231" w:lineRule="exact"/>
        <w:rPr>
          <w:sz w:val="20"/>
          <w:szCs w:val="20"/>
          <w:color w:val="auto"/>
        </w:rPr>
      </w:pPr>
    </w:p>
    <w:p>
      <w:pPr>
        <w:jc w:val="both"/>
        <w:ind w:left="240" w:firstLine="351"/>
        <w:spacing w:after="0" w:line="268" w:lineRule="auto"/>
        <w:rPr>
          <w:sz w:val="20"/>
          <w:szCs w:val="20"/>
          <w:color w:val="auto"/>
        </w:rPr>
      </w:pPr>
      <w:r>
        <w:rPr>
          <w:rFonts w:ascii="Arial" w:cs="Arial" w:eastAsia="Arial" w:hAnsi="Arial"/>
          <w:sz w:val="18"/>
          <w:szCs w:val="18"/>
          <w:color w:val="auto"/>
        </w:rPr>
        <w:t>Founded by William Lei Ding in 1997, our company has a vision of fostering collaboration and realizing people's aspiration for a better life through technology and innovation.</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core values</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integrated concepts form the fundamentals of our corporate values:</w:t>
      </w:r>
    </w:p>
    <w:p>
      <w:pPr>
        <w:spacing w:after="0" w:line="252" w:lineRule="exact"/>
        <w:rPr>
          <w:sz w:val="20"/>
          <w:szCs w:val="20"/>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Passion;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User-centricity;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Innovation;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Harmony.</w:t>
      </w:r>
    </w:p>
    <w:p>
      <w:pPr>
        <w:spacing w:after="0" w:line="225" w:lineRule="exact"/>
        <w:rPr>
          <w:sz w:val="20"/>
          <w:szCs w:val="20"/>
          <w:color w:val="auto"/>
        </w:rPr>
      </w:pPr>
    </w:p>
    <w:p>
      <w:pPr>
        <w:ind w:left="240" w:right="120" w:firstLine="351"/>
        <w:spacing w:after="0" w:line="268" w:lineRule="auto"/>
        <w:rPr>
          <w:sz w:val="20"/>
          <w:szCs w:val="20"/>
          <w:color w:val="auto"/>
        </w:rPr>
      </w:pPr>
      <w:r>
        <w:rPr>
          <w:rFonts w:ascii="Arial" w:cs="Arial" w:eastAsia="Arial" w:hAnsi="Arial"/>
          <w:sz w:val="18"/>
          <w:szCs w:val="18"/>
          <w:color w:val="auto"/>
        </w:rPr>
        <w:t>Since Day 1, we have persistently focused on our core values, which solidify our services and products, motivate us to create and grow new ideas, and serve as the compass for our endless exploration of new initiatives and opportunities.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833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6130" cy="8336280"/>
                    </a:xfrm>
                    <a:prstGeom prst="rect">
                      <a:avLst/>
                    </a:prstGeom>
                    <a:noFill/>
                  </pic:spPr>
                </pic:pic>
              </a:graphicData>
            </a:graphic>
          </wp:anchor>
        </w:drawing>
      </w:r>
    </w:p>
    <w:p>
      <w:pPr>
        <w:sectPr>
          <w:pgSz w:w="11900" w:h="16838" w:orient="portrait"/>
          <w:cols w:equalWidth="0" w:num="1">
            <w:col w:w="10820"/>
          </w:cols>
          <w:pgMar w:left="320" w:top="13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Who we are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0" w:firstLine="348"/>
        <w:spacing w:after="0" w:line="369" w:lineRule="auto"/>
        <w:rPr>
          <w:sz w:val="20"/>
          <w:szCs w:val="20"/>
          <w:color w:val="auto"/>
        </w:rPr>
      </w:pPr>
      <w:r>
        <w:rPr>
          <w:rFonts w:ascii="Arial" w:cs="Arial" w:eastAsia="Arial" w:hAnsi="Arial"/>
          <w:sz w:val="15"/>
          <w:szCs w:val="15"/>
          <w:color w:val="auto"/>
        </w:rPr>
        <w:t>We have a successful online game business, developing and operating a rich portfolio of highly popular titles. We currently offer over 140 mobile and PC games across a wide range of genres, satisfying the ever-growing and diversifying needs of the global gamer community. Leveraging our user</w:t>
      </w:r>
    </w:p>
    <w:p>
      <w:pPr>
        <w:sectPr>
          <w:pgSz w:w="11900" w:h="16838" w:orient="portrait"/>
          <w:cols w:equalWidth="0" w:num="1">
            <w:col w:w="10820"/>
          </w:cols>
          <w:pgMar w:left="320" w:top="131" w:right="759"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20"/>
          </w:cols>
          <w:pgMar w:left="320" w:top="131" w:right="7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2274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6130" cy="622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40"/>
        <w:spacing w:after="0" w:line="256" w:lineRule="auto"/>
        <w:rPr>
          <w:sz w:val="20"/>
          <w:szCs w:val="20"/>
          <w:color w:val="auto"/>
        </w:rPr>
      </w:pPr>
      <w:r>
        <w:rPr>
          <w:rFonts w:ascii="Arial" w:cs="Arial" w:eastAsia="Arial" w:hAnsi="Arial"/>
          <w:sz w:val="18"/>
          <w:szCs w:val="18"/>
          <w:color w:val="auto"/>
        </w:rPr>
        <w:t>insights and execution expertise, we also incubated and developed in-house a pipeline of innovative and successful businesses, including intelligent learning and other businesses, ranging from music streaming and private label e-commerce to internet media, e-mail services and others. As of December 31, 2019, we had over 1.0 billion registered e-mail users and over 800 million NetEase Cloud Music registered users. We also had over 100 million Youdao average MAUs in 2019.</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Online games</w:t>
      </w:r>
    </w:p>
    <w:p>
      <w:pPr>
        <w:spacing w:after="0" w:line="225" w:lineRule="exact"/>
        <w:rPr>
          <w:sz w:val="20"/>
          <w:szCs w:val="20"/>
          <w:color w:val="auto"/>
        </w:rPr>
      </w:pPr>
    </w:p>
    <w:p>
      <w:pPr>
        <w:ind w:left="240" w:right="60" w:firstLine="348"/>
        <w:spacing w:after="0" w:line="259" w:lineRule="auto"/>
        <w:rPr>
          <w:sz w:val="20"/>
          <w:szCs w:val="20"/>
          <w:color w:val="auto"/>
        </w:rPr>
      </w:pPr>
      <w:r>
        <w:rPr>
          <w:rFonts w:ascii="Arial" w:cs="Arial" w:eastAsia="Arial" w:hAnsi="Arial"/>
          <w:sz w:val="18"/>
          <w:szCs w:val="18"/>
          <w:color w:val="auto"/>
        </w:rPr>
        <w:t>We are the second largest mobile game company in the world in terms of combined iOS and Google Play user spending in 2019, according to App Annie. Our expertise in developing and operating game content has laid the foundation for successful overseas expansion. In 2019, overseas games revenues accounted for 11% of our total games revenues.</w:t>
      </w:r>
    </w:p>
    <w:p>
      <w:pPr>
        <w:spacing w:after="0" w:line="194" w:lineRule="exact"/>
        <w:rPr>
          <w:sz w:val="20"/>
          <w:szCs w:val="20"/>
          <w:color w:val="auto"/>
        </w:rPr>
      </w:pPr>
    </w:p>
    <w:p>
      <w:pPr>
        <w:ind w:left="240" w:right="80" w:firstLine="351"/>
        <w:spacing w:after="0" w:line="290" w:lineRule="auto"/>
        <w:rPr>
          <w:sz w:val="20"/>
          <w:szCs w:val="20"/>
          <w:color w:val="auto"/>
        </w:rPr>
      </w:pPr>
      <w:r>
        <w:rPr>
          <w:rFonts w:ascii="Arial" w:cs="Arial" w:eastAsia="Arial" w:hAnsi="Arial"/>
          <w:sz w:val="16"/>
          <w:szCs w:val="16"/>
          <w:color w:val="auto"/>
        </w:rPr>
        <w:t xml:space="preserve">Meticulously crafted and imbued with operational expertise distilled from decades of experience, many NetEase games have secured their places among the most successful IP franchises in the history of online games. Over the past two decades, we have consistently rolled out blockbuster game titles, and maintained their longevity and vitality through frequent content updates and other operational innovations. Our first major flagship game franchise </w:t>
      </w:r>
      <w:r>
        <w:rPr>
          <w:rFonts w:ascii="Arial" w:cs="Arial" w:eastAsia="Arial" w:hAnsi="Arial"/>
          <w:sz w:val="16"/>
          <w:szCs w:val="16"/>
          <w:i w:val="1"/>
          <w:iCs w:val="1"/>
          <w:color w:val="auto"/>
        </w:rPr>
        <w:t>Westward Journey Online</w:t>
      </w:r>
      <w:r>
        <w:rPr>
          <w:rFonts w:ascii="Arial" w:cs="Arial" w:eastAsia="Arial" w:hAnsi="Arial"/>
          <w:sz w:val="16"/>
          <w:szCs w:val="16"/>
          <w:color w:val="auto"/>
        </w:rPr>
        <w:t xml:space="preserve">, which debuted in 2001, remains popular with gamers today as a result of continued content and format updates, as well as innovation in play modes over the past 19 years. Just to name a couple more examples among our star-studded line-up of popular online games, </w:t>
      </w:r>
      <w:r>
        <w:rPr>
          <w:rFonts w:ascii="Arial" w:cs="Arial" w:eastAsia="Arial" w:hAnsi="Arial"/>
          <w:sz w:val="16"/>
          <w:szCs w:val="16"/>
          <w:i w:val="1"/>
          <w:iCs w:val="1"/>
          <w:color w:val="auto"/>
        </w:rPr>
        <w:t xml:space="preserve">Onmyoji </w:t>
      </w:r>
      <w:r>
        <w:rPr>
          <w:rFonts w:ascii="Arial" w:cs="Arial" w:eastAsia="Arial" w:hAnsi="Arial"/>
          <w:sz w:val="16"/>
          <w:szCs w:val="16"/>
          <w:color w:val="auto"/>
        </w:rPr>
        <w:t>topped the China iOS grossing chart multiple times in 2019, and</w:t>
      </w:r>
      <w:r>
        <w:rPr>
          <w:rFonts w:ascii="Arial" w:cs="Arial" w:eastAsia="Arial" w:hAnsi="Arial"/>
          <w:sz w:val="16"/>
          <w:szCs w:val="16"/>
          <w:i w:val="1"/>
          <w:iCs w:val="1"/>
          <w:color w:val="auto"/>
        </w:rPr>
        <w:t xml:space="preserve"> Knives Out </w:t>
      </w:r>
      <w:r>
        <w:rPr>
          <w:rFonts w:ascii="Arial" w:cs="Arial" w:eastAsia="Arial" w:hAnsi="Arial"/>
          <w:sz w:val="16"/>
          <w:szCs w:val="16"/>
          <w:color w:val="auto"/>
        </w:rPr>
        <w:t>topped Japan's iOS grossing chart multiple times in 2019,</w:t>
      </w:r>
      <w:r>
        <w:rPr>
          <w:rFonts w:ascii="Arial" w:cs="Arial" w:eastAsia="Arial" w:hAnsi="Arial"/>
          <w:sz w:val="16"/>
          <w:szCs w:val="16"/>
          <w:i w:val="1"/>
          <w:iCs w:val="1"/>
          <w:color w:val="auto"/>
        </w:rPr>
        <w:t xml:space="preserve"> </w:t>
      </w:r>
      <w:r>
        <w:rPr>
          <w:rFonts w:ascii="Arial" w:cs="Arial" w:eastAsia="Arial" w:hAnsi="Arial"/>
          <w:sz w:val="16"/>
          <w:szCs w:val="16"/>
          <w:color w:val="auto"/>
        </w:rPr>
        <w:t>testifying to the global appeal of our games.</w:t>
      </w:r>
    </w:p>
    <w:p>
      <w:pPr>
        <w:spacing w:after="0" w:line="172" w:lineRule="exact"/>
        <w:rPr>
          <w:sz w:val="20"/>
          <w:szCs w:val="20"/>
          <w:color w:val="auto"/>
        </w:rPr>
      </w:pPr>
    </w:p>
    <w:p>
      <w:pPr>
        <w:ind w:left="240" w:right="280" w:firstLine="341"/>
        <w:spacing w:after="0" w:line="284" w:lineRule="auto"/>
        <w:rPr>
          <w:sz w:val="20"/>
          <w:szCs w:val="20"/>
          <w:color w:val="auto"/>
        </w:rPr>
      </w:pPr>
      <w:r>
        <w:rPr>
          <w:rFonts w:ascii="Arial" w:cs="Arial" w:eastAsia="Arial" w:hAnsi="Arial"/>
          <w:sz w:val="16"/>
          <w:szCs w:val="16"/>
          <w:color w:val="auto"/>
        </w:rPr>
        <w:t xml:space="preserve">As a true testament to our in-house game development and operational strengths, we have established a distinguished track record of long-term collaborations with revered global IP powerhouses and studios such as Blizzard, Marvel, Microsoft and Warner Brothers. With Blizzard, our collaboration initially started with PC game licensing for the China market in 2008 and has since been broadened to the co-development of </w:t>
      </w:r>
      <w:r>
        <w:rPr>
          <w:rFonts w:ascii="Arial" w:cs="Arial" w:eastAsia="Arial" w:hAnsi="Arial"/>
          <w:sz w:val="16"/>
          <w:szCs w:val="16"/>
          <w:i w:val="1"/>
          <w:iCs w:val="1"/>
          <w:color w:val="auto"/>
        </w:rPr>
        <w:t>Diablo</w:t>
      </w:r>
      <w:r>
        <w:rPr>
          <w:rFonts w:ascii="Arial" w:cs="Arial" w:eastAsia="Arial" w:hAnsi="Arial"/>
          <w:sz w:val="16"/>
          <w:szCs w:val="16"/>
          <w:color w:val="auto"/>
        </w:rPr>
        <w:t>®</w:t>
      </w:r>
    </w:p>
    <w:p>
      <w:pPr>
        <w:spacing w:after="0" w:line="1" w:lineRule="exact"/>
        <w:rPr>
          <w:sz w:val="20"/>
          <w:szCs w:val="20"/>
          <w:color w:val="auto"/>
        </w:rPr>
      </w:pPr>
    </w:p>
    <w:p>
      <w:pPr>
        <w:ind w:left="240" w:right="160"/>
        <w:spacing w:after="0" w:line="273" w:lineRule="auto"/>
        <w:rPr>
          <w:sz w:val="20"/>
          <w:szCs w:val="20"/>
          <w:color w:val="auto"/>
        </w:rPr>
      </w:pPr>
      <w:r>
        <w:rPr>
          <w:rFonts w:ascii="Arial" w:cs="Arial" w:eastAsia="Arial" w:hAnsi="Arial"/>
          <w:sz w:val="15"/>
          <w:szCs w:val="15"/>
          <w:i w:val="1"/>
          <w:iCs w:val="1"/>
          <w:color w:val="auto"/>
        </w:rPr>
        <w:t>Immortal</w:t>
      </w:r>
      <w:r>
        <w:rPr>
          <w:rFonts w:ascii="Arial" w:cs="Arial" w:eastAsia="Arial" w:hAnsi="Arial"/>
          <w:sz w:val="24"/>
          <w:szCs w:val="24"/>
          <w:i w:val="1"/>
          <w:iCs w:val="1"/>
          <w:color w:val="auto"/>
          <w:vertAlign w:val="superscript"/>
        </w:rPr>
        <w:t>TM</w:t>
      </w:r>
      <w:r>
        <w:rPr>
          <w:rFonts w:ascii="Arial" w:cs="Arial" w:eastAsia="Arial" w:hAnsi="Arial"/>
          <w:sz w:val="15"/>
          <w:szCs w:val="15"/>
          <w:color w:val="auto"/>
        </w:rPr>
        <w:t>, a milestone in Blizzard's foray into mobile games with its iconic</w:t>
      </w:r>
      <w:r>
        <w:rPr>
          <w:rFonts w:ascii="Arial" w:cs="Arial" w:eastAsia="Arial" w:hAnsi="Arial"/>
          <w:sz w:val="15"/>
          <w:szCs w:val="15"/>
          <w:i w:val="1"/>
          <w:iCs w:val="1"/>
          <w:color w:val="auto"/>
        </w:rPr>
        <w:t xml:space="preserve"> Diablo </w:t>
      </w:r>
      <w:r>
        <w:rPr>
          <w:rFonts w:ascii="Arial" w:cs="Arial" w:eastAsia="Arial" w:hAnsi="Arial"/>
          <w:sz w:val="15"/>
          <w:szCs w:val="15"/>
          <w:color w:val="auto"/>
        </w:rPr>
        <w:t>franchise.</w:t>
      </w:r>
      <w:r>
        <w:rPr>
          <w:rFonts w:ascii="Arial" w:cs="Arial" w:eastAsia="Arial" w:hAnsi="Arial"/>
          <w:sz w:val="15"/>
          <w:szCs w:val="15"/>
          <w:i w:val="1"/>
          <w:iCs w:val="1"/>
          <w:color w:val="auto"/>
        </w:rPr>
        <w:t xml:space="preserve"> MARVEL Super War</w:t>
      </w:r>
      <w:r>
        <w:rPr>
          <w:rFonts w:ascii="Arial" w:cs="Arial" w:eastAsia="Arial" w:hAnsi="Arial"/>
          <w:sz w:val="15"/>
          <w:szCs w:val="15"/>
          <w:color w:val="auto"/>
        </w:rPr>
        <w:t>, our collaboration with Marvel</w:t>
      </w:r>
      <w:r>
        <w:rPr>
          <w:rFonts w:ascii="Arial" w:cs="Arial" w:eastAsia="Arial" w:hAnsi="Arial"/>
          <w:sz w:val="15"/>
          <w:szCs w:val="15"/>
          <w:i w:val="1"/>
          <w:iCs w:val="1"/>
          <w:color w:val="auto"/>
        </w:rPr>
        <w:t xml:space="preserve"> </w:t>
      </w:r>
      <w:r>
        <w:rPr>
          <w:rFonts w:ascii="Arial" w:cs="Arial" w:eastAsia="Arial" w:hAnsi="Arial"/>
          <w:sz w:val="15"/>
          <w:szCs w:val="15"/>
          <w:color w:val="auto"/>
        </w:rPr>
        <w:t>Entertainment, has gained widespread popularity since its official launch in December 2019 and topped many iOS download charts in Southeast Asia.</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Intelligent learning</w:t>
      </w:r>
    </w:p>
    <w:p>
      <w:pPr>
        <w:spacing w:after="0" w:line="225" w:lineRule="exact"/>
        <w:rPr>
          <w:sz w:val="20"/>
          <w:szCs w:val="20"/>
          <w:color w:val="auto"/>
        </w:rPr>
      </w:pPr>
    </w:p>
    <w:p>
      <w:pPr>
        <w:ind w:left="240" w:firstLine="344"/>
        <w:spacing w:after="0" w:line="256" w:lineRule="auto"/>
        <w:rPr>
          <w:sz w:val="20"/>
          <w:szCs w:val="20"/>
          <w:color w:val="auto"/>
        </w:rPr>
      </w:pPr>
      <w:r>
        <w:rPr>
          <w:rFonts w:ascii="Arial" w:cs="Arial" w:eastAsia="Arial" w:hAnsi="Arial"/>
          <w:sz w:val="18"/>
          <w:szCs w:val="18"/>
          <w:color w:val="auto"/>
        </w:rPr>
        <w:t>Youdao is an intelligent learning company in China with over 100 million average MAUs in 2019, and has achieved early success in a number of overseas markets. Starting from online knowledge tools, Youdao currently offers a comprehensive suite of learning services and products that are accessible, reliable and trustworthy. For tens of millions of people, Youdao is the go-to destination for looking up a word, translating a foreign language, preparing for an exam, or learning a new skill.</w:t>
      </w:r>
    </w:p>
    <w:p>
      <w:pPr>
        <w:spacing w:after="0" w:line="197" w:lineRule="exact"/>
        <w:rPr>
          <w:sz w:val="20"/>
          <w:szCs w:val="20"/>
          <w:color w:val="auto"/>
        </w:rPr>
      </w:pPr>
    </w:p>
    <w:p>
      <w:pPr>
        <w:ind w:left="240" w:right="100" w:firstLine="351"/>
        <w:spacing w:after="0" w:line="294" w:lineRule="auto"/>
        <w:rPr>
          <w:sz w:val="20"/>
          <w:szCs w:val="20"/>
          <w:color w:val="auto"/>
        </w:rPr>
      </w:pPr>
      <w:r>
        <w:rPr>
          <w:rFonts w:ascii="Arial" w:cs="Arial" w:eastAsia="Arial" w:hAnsi="Arial"/>
          <w:sz w:val="16"/>
          <w:szCs w:val="16"/>
          <w:color w:val="auto"/>
        </w:rPr>
        <w:t>In 2007, Youdao launched its flagship Youdao Dictionary, which had over 50 million average MAUs in 2019. The early success of Youdao Dictionary and other learning tools has enabled us to attract a massive user base, build a strong brand, and channel this organic user traffic into a broad range of services and products addressing lifelong learning needs of pre-school, K-12 and college students as well as adult learners, including online learning services and products and smart devices. Our smart devices seamlessly integrate advanced artificial intelligence algorithms and data analytics, which serve to supplement our online courses and learning products and further enhance users' learning experience and efficiency.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Innovative businesses and others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incubated and developed in-house a number of innovative and thriving businesses.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40"/>
          </w:cols>
          <w:pgMar w:left="320" w:top="131" w:right="6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664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6130" cy="666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NetEase Cloud Music is a popular music streaming platform in China with over 800 million registered users as of December 31, 2019. It delivers a differentiated and premium user experience in terms of the music offered. Focused on discovering and promoting emerging musicians, NetEase Cloud Music has rapidly grown into the destination of choice for exploring new and independent music among music enthusiasts in China. Our vibrant community had attracted over 100,000 independent musicians as of December 31, 2019, generating over 270 billion playbacks of their songs in 2019.</w:t>
      </w:r>
    </w:p>
    <w:p>
      <w:pPr>
        <w:spacing w:after="0" w:line="166" w:lineRule="exact"/>
        <w:rPr>
          <w:sz w:val="20"/>
          <w:szCs w:val="20"/>
          <w:color w:val="auto"/>
        </w:rPr>
      </w:pPr>
    </w:p>
    <w:p>
      <w:pPr>
        <w:ind w:left="240" w:right="220" w:firstLine="344"/>
        <w:spacing w:after="0" w:line="254" w:lineRule="auto"/>
        <w:rPr>
          <w:sz w:val="20"/>
          <w:szCs w:val="20"/>
          <w:color w:val="auto"/>
        </w:rPr>
      </w:pPr>
      <w:r>
        <w:rPr>
          <w:rFonts w:ascii="Arial" w:cs="Arial" w:eastAsia="Arial" w:hAnsi="Arial"/>
          <w:sz w:val="18"/>
          <w:szCs w:val="18"/>
          <w:color w:val="auto"/>
        </w:rPr>
        <w:t>Yanxuan is our e-commerce platform that primarily sells private label products with a strong emphasis on quality and value for money. Product categories include apparel, homeware, kitchenware and other general merchandise which we primarily source from original design manufacturers in China. Products and manufacturers are carefully selected with the goal of achieving high value for money. Yanxuan has established close partnerships with its selection of quality manufacturers. It utilizes data analytics to help these suppliers enhance their efficiency and product appeal, particularly in terms of merchandise design and production.</w:t>
      </w:r>
    </w:p>
    <w:p>
      <w:pPr>
        <w:spacing w:after="0" w:line="201" w:lineRule="exact"/>
        <w:rPr>
          <w:sz w:val="20"/>
          <w:szCs w:val="20"/>
          <w:color w:val="auto"/>
        </w:rPr>
      </w:pPr>
    </w:p>
    <w:p>
      <w:pPr>
        <w:ind w:left="240" w:firstLine="351"/>
        <w:spacing w:after="0" w:line="254" w:lineRule="auto"/>
        <w:rPr>
          <w:sz w:val="20"/>
          <w:szCs w:val="20"/>
          <w:color w:val="auto"/>
        </w:rPr>
      </w:pPr>
      <w:r>
        <w:rPr>
          <w:rFonts w:ascii="Arial" w:cs="Arial" w:eastAsia="Arial" w:hAnsi="Arial"/>
          <w:sz w:val="18"/>
          <w:szCs w:val="18"/>
          <w:color w:val="auto"/>
        </w:rPr>
        <w:t xml:space="preserve">NetEase Media is a well-established internet media platform in China delivering professional news and other quality information to our users. Our media platform has three components, the NetEase News mobile application, </w:t>
      </w:r>
      <w:r>
        <w:rPr>
          <w:rFonts w:ascii="Arial" w:cs="Arial" w:eastAsia="Arial" w:hAnsi="Arial"/>
          <w:sz w:val="18"/>
          <w:szCs w:val="18"/>
          <w:i w:val="1"/>
          <w:iCs w:val="1"/>
          <w:color w:val="auto"/>
        </w:rPr>
        <w:t>www.163.com</w:t>
      </w:r>
      <w:r>
        <w:rPr>
          <w:rFonts w:ascii="Arial" w:cs="Arial" w:eastAsia="Arial" w:hAnsi="Arial"/>
          <w:sz w:val="18"/>
          <w:szCs w:val="18"/>
          <w:color w:val="auto"/>
        </w:rPr>
        <w:t xml:space="preserve"> portal and a set of other vertical mobile products. Our media platform offers a wide range of features that promote user interactions and foster a vibrant online user community who actively contribute to the commentary sections. Our drive for journalistic integrity and high-quality content offerings has enabled us to attract a coveted demographic of engaged users.</w:t>
      </w:r>
    </w:p>
    <w:p>
      <w:pPr>
        <w:spacing w:after="0" w:line="201" w:lineRule="exact"/>
        <w:rPr>
          <w:sz w:val="20"/>
          <w:szCs w:val="20"/>
          <w:color w:val="auto"/>
        </w:rPr>
      </w:pPr>
    </w:p>
    <w:p>
      <w:pPr>
        <w:ind w:left="240" w:right="120" w:firstLine="351"/>
        <w:spacing w:after="0" w:line="331" w:lineRule="auto"/>
        <w:rPr>
          <w:sz w:val="20"/>
          <w:szCs w:val="20"/>
          <w:color w:val="auto"/>
        </w:rPr>
      </w:pPr>
      <w:r>
        <w:rPr>
          <w:rFonts w:ascii="Arial" w:cs="Arial" w:eastAsia="Arial" w:hAnsi="Arial"/>
          <w:sz w:val="16"/>
          <w:szCs w:val="16"/>
          <w:color w:val="auto"/>
        </w:rPr>
        <w:t>Other innovative businesses include NetEase CC Live streaming, a platform offering various live streaming content with a primary focus on game broadcasting, and NetEase Mail, an email service provider in China with over one billion registered users as of December 31, 2019.</w:t>
      </w:r>
    </w:p>
    <w:p>
      <w:pPr>
        <w:spacing w:after="0" w:line="141" w:lineRule="exact"/>
        <w:rPr>
          <w:sz w:val="20"/>
          <w:szCs w:val="20"/>
          <w:color w:val="auto"/>
        </w:rPr>
      </w:pPr>
    </w:p>
    <w:p>
      <w:pPr>
        <w:ind w:left="240" w:firstLine="351"/>
        <w:spacing w:after="0" w:line="254" w:lineRule="auto"/>
        <w:rPr>
          <w:sz w:val="20"/>
          <w:szCs w:val="20"/>
          <w:color w:val="auto"/>
        </w:rPr>
      </w:pPr>
      <w:r>
        <w:rPr>
          <w:rFonts w:ascii="Arial" w:cs="Arial" w:eastAsia="Arial" w:hAnsi="Arial"/>
          <w:sz w:val="18"/>
          <w:szCs w:val="18"/>
          <w:color w:val="auto"/>
        </w:rPr>
        <w:t>Our persistent focus on core values, coupled with solid execution, has enabled us to weather the numerous seismic global challenges since the late 1990s and thrive in the complex and competitive Chinese internet ecosystem, consistently delivering top- and bottom-line growth and value to our shareholders. Net revenues for fiscal year 2019 were RMB59,241.1 million growing by 15.8% year-over-year from RMB51,178.6 million for fiscal year 2018. Net income from continuing operations attributable to our shareholders for fiscal year 2019 totaled RMB13,275.0 million, increasing by 60.1% from RMB8,291.1 million for fiscal year 2018. We have instituted quarterly dividend payments since 2014 and have announced several share repurchase programs since 2011.</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WHAT WE HAVE LEARNED FROM THE PAST 23 YEARS</w:t>
      </w:r>
    </w:p>
    <w:p>
      <w:pPr>
        <w:spacing w:after="0" w:line="231" w:lineRule="exact"/>
        <w:rPr>
          <w:sz w:val="20"/>
          <w:szCs w:val="20"/>
          <w:color w:val="auto"/>
        </w:rPr>
      </w:pPr>
    </w:p>
    <w:p>
      <w:pPr>
        <w:ind w:left="240" w:right="60" w:firstLine="348"/>
        <w:spacing w:after="0" w:line="294" w:lineRule="auto"/>
        <w:rPr>
          <w:sz w:val="20"/>
          <w:szCs w:val="20"/>
          <w:color w:val="auto"/>
        </w:rPr>
      </w:pPr>
      <w:r>
        <w:rPr>
          <w:rFonts w:ascii="Arial" w:cs="Arial" w:eastAsia="Arial" w:hAnsi="Arial"/>
          <w:sz w:val="16"/>
          <w:szCs w:val="16"/>
          <w:color w:val="auto"/>
        </w:rPr>
        <w:t>We feel fortunate to have chosen the path of pursuing original content creation and building our proprietary know-how and research and development, or R&amp;D, capabilities since the beginning of our journey. Looking back at the past two decades, only through such pursuit can we truly sustain our leadership position amidst fierce competition in complex business environments, elevate the standards of the Chinese internet industry, and secure an enduring legacy for each of our people who devoted themselves to this worthy endeavor. As we navigated new market trends and tackled new challenges over the years, the following key insights secured our success. Here is what worked for us:</w:t>
      </w:r>
    </w:p>
    <w:p>
      <w:pPr>
        <w:spacing w:after="0" w:line="196" w:lineRule="exact"/>
        <w:rPr>
          <w:sz w:val="20"/>
          <w:szCs w:val="20"/>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end of the day, it comes down to original content creation;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Sharpening operational know-how is time-consuming, but is of critical importance to sustained long-term growth on a global scale;</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strive for longevity and scalability in our games and beyond;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take pride in our user-centric culture to build long-lasting brand recognition;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R&amp;D investment in innovative technologies is essential, but must be purpose-driven;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7101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6130" cy="710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Ultimately, it depends on the people.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WHAT WE PLAN TO FOCUS ON IN THE FUTURE</w:t>
      </w:r>
    </w:p>
    <w:p>
      <w:pPr>
        <w:spacing w:after="0" w:line="231" w:lineRule="exact"/>
        <w:rPr>
          <w:sz w:val="20"/>
          <w:szCs w:val="20"/>
          <w:color w:val="auto"/>
        </w:rPr>
      </w:pPr>
    </w:p>
    <w:p>
      <w:pPr>
        <w:jc w:val="both"/>
        <w:ind w:left="240" w:right="320" w:firstLine="348"/>
        <w:spacing w:after="0" w:line="259" w:lineRule="auto"/>
        <w:rPr>
          <w:sz w:val="20"/>
          <w:szCs w:val="20"/>
          <w:color w:val="auto"/>
        </w:rPr>
      </w:pPr>
      <w:r>
        <w:rPr>
          <w:rFonts w:ascii="Arial" w:cs="Arial" w:eastAsia="Arial" w:hAnsi="Arial"/>
          <w:sz w:val="18"/>
          <w:szCs w:val="18"/>
          <w:color w:val="auto"/>
        </w:rPr>
        <w:t>We will continue to think long-term. All future strategies will be formed, evaluated, adjusted, re-formed, re-evaluated, and re-adjusted around a long-term vision of sustainable excellence and financial success. We will continue to be prudent regarding capital allocation, with value-creation for shareholders as a priority. Our future strategies include a focus on:</w:t>
      </w:r>
    </w:p>
    <w:p>
      <w:pPr>
        <w:spacing w:after="0" w:line="207" w:lineRule="exact"/>
        <w:rPr>
          <w:sz w:val="20"/>
          <w:szCs w:val="20"/>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Strengthening our content creation capability;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Pursuing operational excellence;</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Growing the community of happy users;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Investing in technology and innovation;</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our global footprint;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Cultivating a deeper bench of talents.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SHAREHOLDING AND CORPORATE STRUCTURE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major shareholders and controlling shareholders</w:t>
      </w:r>
    </w:p>
    <w:p>
      <w:pPr>
        <w:spacing w:after="0" w:line="231" w:lineRule="exact"/>
        <w:rPr>
          <w:sz w:val="20"/>
          <w:szCs w:val="20"/>
          <w:color w:val="auto"/>
        </w:rPr>
      </w:pPr>
    </w:p>
    <w:p>
      <w:pPr>
        <w:ind w:left="240" w:firstLine="351"/>
        <w:spacing w:after="0" w:line="288" w:lineRule="auto"/>
        <w:rPr>
          <w:sz w:val="20"/>
          <w:szCs w:val="20"/>
          <w:color w:val="auto"/>
        </w:rPr>
      </w:pPr>
      <w:r>
        <w:rPr>
          <w:rFonts w:ascii="Arial" w:cs="Arial" w:eastAsia="Arial" w:hAnsi="Arial"/>
          <w:sz w:val="16"/>
          <w:szCs w:val="16"/>
          <w:color w:val="auto"/>
        </w:rPr>
        <w:t>Shining Globe International Limited holds 1,456,000,000 ordinary shares as of May 25, 2020, representing approximately 42.5% of our total issued share capital immediately after the Global Offering (assuming the option of the international underwriters to purchase additional ordinary shares is not exercised and no additional ordinary shares are issued under our RSU plans), and together with the entities and person that control it, including William Lei Ding. Orbis Investment Management Limited and Allan Gray Australia Pty Limited are interested in and control 167,410,775 ordinary shares, representing approximately 5.1% of our total issued share capital immediately as of May 25, 2020 and approximately 4.9% of our total issued share capital immediately after the Global Offering (assuming the option of the international underwriters to purchase additional ordinary shares is not exercised and no additional ordinary shares are issued under our RSU plans), and will remain our major shareholder immediately after the Global Offering. See "Principal and Other Shareholders" for more information.</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VIE structure</w:t>
      </w:r>
    </w:p>
    <w:p>
      <w:pPr>
        <w:spacing w:after="0" w:line="231" w:lineRule="exact"/>
        <w:rPr>
          <w:sz w:val="20"/>
          <w:szCs w:val="20"/>
          <w:color w:val="auto"/>
        </w:rPr>
      </w:pPr>
    </w:p>
    <w:p>
      <w:pPr>
        <w:ind w:left="240" w:right="80" w:firstLine="351"/>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Due to legal restrictions and prohibitions on foreign investment in Chinese companies providing, among other things, value-added telecommunications services, internet cultural services and internet publication services, we conduct all of our business segments through the variable interest entities and their subsidiaries, with which we have entered into contractual arrangements. We describe our VIE structure in more detail in Item 4.B. "Business Overview—Our Organizational Structure" and Item 7.B. "Major Shareholders and Related Party Transactions—Related Party Transactions" in our </w:t>
      </w:r>
      <w:hyperlink r:id="rId33">
        <w:r>
          <w:rPr>
            <w:rFonts w:ascii="Arial" w:cs="Arial" w:eastAsia="Arial" w:hAnsi="Arial"/>
            <w:sz w:val="18"/>
            <w:szCs w:val="18"/>
            <w:u w:val="single" w:color="auto"/>
            <w:color w:val="0000EE"/>
          </w:rPr>
          <w:t>2019 Annual Report</w:t>
        </w:r>
      </w:hyperlink>
      <w:r>
        <w:rPr>
          <w:rFonts w:ascii="Arial" w:cs="Arial" w:eastAsia="Arial" w:hAnsi="Arial"/>
          <w:sz w:val="18"/>
          <w:szCs w:val="18"/>
          <w:color w:val="auto"/>
        </w:rPr>
        <w:t>, which is incorporated by reference into the accompanying prospectus. As a result of our contractual arrangements which our VIEs, we are able to consolidate the financial results of the variable interest entities and their subsidiaries into our consolidated financial statements.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240" w:right="160" w:firstLine="348"/>
        <w:spacing w:after="0" w:line="268" w:lineRule="auto"/>
        <w:rPr>
          <w:sz w:val="20"/>
          <w:szCs w:val="20"/>
          <w:color w:val="auto"/>
        </w:rPr>
      </w:pPr>
      <w:r>
        <w:rPr>
          <w:rFonts w:ascii="Arial" w:cs="Arial" w:eastAsia="Arial" w:hAnsi="Arial"/>
          <w:sz w:val="18"/>
          <w:szCs w:val="18"/>
          <w:color w:val="auto"/>
        </w:rPr>
        <w:t>There are certain risks involved in our business and industries, our corporate structure, our business operations in China, investing in our ordinary shares and ADSs, the listing on the Hong Kong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133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6130" cy="613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color w:val="auto"/>
        </w:rPr>
        <w:t>Stock Exchange and the Global Offering, many of which are beyond our control. For example, these risks include, among others, the following risks relating to our business:</w:t>
      </w:r>
    </w:p>
    <w:p>
      <w:pPr>
        <w:spacing w:after="0" w:line="213" w:lineRule="exact"/>
        <w:rPr>
          <w:sz w:val="20"/>
          <w:szCs w:val="20"/>
          <w:color w:val="auto"/>
        </w:rPr>
      </w:pPr>
    </w:p>
    <w:p>
      <w:pPr>
        <w:ind w:left="1320" w:right="100" w:hanging="538"/>
        <w:spacing w:after="0" w:line="268"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develop and introduce popular, high-quality online games in a timely and successful manner, we will not be able to compete effectively and our ability to generate revenues will suffer;</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continue to extend the life of existing online games that will encourage continued engagement with the games through the addition of new features or functionalities, our business may be negatively impacted;</w:t>
      </w:r>
    </w:p>
    <w:p>
      <w:pPr>
        <w:spacing w:after="0" w:line="199" w:lineRule="exact"/>
        <w:rPr>
          <w:rFonts w:ascii="Arial" w:cs="Arial" w:eastAsia="Arial" w:hAnsi="Arial"/>
          <w:sz w:val="18"/>
          <w:szCs w:val="18"/>
          <w:color w:val="auto"/>
        </w:rPr>
      </w:pPr>
    </w:p>
    <w:p>
      <w:pPr>
        <w:ind w:left="1320" w:right="120" w:hanging="538"/>
        <w:spacing w:after="0" w:line="331" w:lineRule="auto"/>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difficulties or delays in receiving approval from the relevant government authorities for the games operated by us or any expansion packs for, or material changes to, such games could adversely affect such games' popularity and profitability;</w:t>
      </w:r>
    </w:p>
    <w:p>
      <w:pPr>
        <w:spacing w:after="0" w:line="167" w:lineRule="exact"/>
        <w:rPr>
          <w:rFonts w:ascii="Arial" w:cs="Arial" w:eastAsia="Arial" w:hAnsi="Arial"/>
          <w:sz w:val="16"/>
          <w:szCs w:val="16"/>
          <w:color w:val="auto"/>
        </w:rPr>
      </w:pPr>
    </w:p>
    <w:p>
      <w:pPr>
        <w:ind w:left="1320" w:right="660" w:hanging="538"/>
        <w:spacing w:after="0" w:line="268" w:lineRule="auto"/>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and future growth of our Youdao business will be affected by the user acceptance and market trend of integration of technology and learning;</w:t>
      </w:r>
    </w:p>
    <w:p>
      <w:pPr>
        <w:spacing w:after="0" w:line="199" w:lineRule="exact"/>
        <w:rPr>
          <w:rFonts w:ascii="Arial" w:cs="Arial" w:eastAsia="Arial" w:hAnsi="Arial"/>
          <w:sz w:val="18"/>
          <w:szCs w:val="18"/>
          <w:color w:val="auto"/>
        </w:rPr>
      </w:pPr>
    </w:p>
    <w:p>
      <w:pPr>
        <w:ind w:left="1320" w:right="200" w:hanging="538"/>
        <w:spacing w:after="0" w:line="306" w:lineRule="auto"/>
        <w:tabs>
          <w:tab w:leader="none" w:pos="1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intelligent learning, music streaming, e-commerce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 and</w:t>
      </w:r>
    </w:p>
    <w:p>
      <w:pPr>
        <w:spacing w:after="0" w:line="173" w:lineRule="exact"/>
        <w:rPr>
          <w:rFonts w:ascii="Arial" w:cs="Arial" w:eastAsia="Arial" w:hAnsi="Arial"/>
          <w:sz w:val="16"/>
          <w:szCs w:val="16"/>
          <w:color w:val="auto"/>
        </w:rPr>
      </w:pPr>
    </w:p>
    <w:p>
      <w:pPr>
        <w:ind w:left="1320" w:hanging="538"/>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compete successfully against new entrants and established industry competitors.</w:t>
      </w:r>
    </w:p>
    <w:p>
      <w:pPr>
        <w:spacing w:after="0" w:line="225" w:lineRule="exact"/>
        <w:rPr>
          <w:sz w:val="20"/>
          <w:szCs w:val="20"/>
          <w:color w:val="auto"/>
        </w:rPr>
      </w:pPr>
    </w:p>
    <w:p>
      <w:pPr>
        <w:ind w:left="240" w:right="300" w:firstLine="351"/>
        <w:spacing w:after="0" w:line="256"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See "Risk Factors" on page S-23 of this prospectus supplement for a discussion of risks related to our ordinary shares, ADSs and the Global </w:t>
      </w:r>
      <w:hyperlink r:id="rId36">
        <w:r>
          <w:rPr>
            <w:rFonts w:ascii="Arial" w:cs="Arial" w:eastAsia="Arial" w:hAnsi="Arial"/>
            <w:sz w:val="18"/>
            <w:szCs w:val="18"/>
            <w:u w:val="single" w:color="auto"/>
            <w:color w:val="auto"/>
          </w:rPr>
          <w:t xml:space="preserve">Offering. In addition, you should carefully consider the matters discussed under "Risk Factors" in our </w:t>
        </w:r>
        <w:r>
          <w:rPr>
            <w:rFonts w:ascii="Arial" w:cs="Arial" w:eastAsia="Arial" w:hAnsi="Arial"/>
            <w:sz w:val="18"/>
            <w:szCs w:val="18"/>
            <w:u w:val="single" w:color="auto"/>
            <w:color w:val="0000EE"/>
          </w:rPr>
          <w:t>2019 Annual Report</w:t>
        </w:r>
        <w:r>
          <w:rPr>
            <w:rFonts w:ascii="Arial" w:cs="Arial" w:eastAsia="Arial" w:hAnsi="Arial"/>
            <w:sz w:val="18"/>
            <w:szCs w:val="18"/>
            <w:u w:val="single" w:color="auto"/>
            <w:color w:val="auto"/>
          </w:rPr>
          <w:t xml:space="preserve"> and in </w:t>
        </w:r>
        <w:r>
          <w:rPr>
            <w:rFonts w:ascii="Arial" w:cs="Arial" w:eastAsia="Arial" w:hAnsi="Arial"/>
            <w:sz w:val="18"/>
            <w:szCs w:val="18"/>
            <w:u w:val="single" w:color="auto"/>
            <w:color w:val="0000EE"/>
          </w:rPr>
          <w:t>Exhibit 99.1 to our</w:t>
        </w:r>
      </w:hyperlink>
      <w:r>
        <w:rPr>
          <w:rFonts w:ascii="Arial" w:cs="Arial" w:eastAsia="Arial" w:hAnsi="Arial"/>
          <w:sz w:val="18"/>
          <w:szCs w:val="18"/>
          <w:u w:val="single" w:color="auto"/>
          <w:color w:val="auto"/>
        </w:rPr>
        <w:t xml:space="preserve"> </w:t>
      </w:r>
      <w:hyperlink r:id="rId36">
        <w:r>
          <w:rPr>
            <w:rFonts w:ascii="Arial" w:cs="Arial" w:eastAsia="Arial" w:hAnsi="Arial"/>
            <w:sz w:val="18"/>
            <w:szCs w:val="18"/>
            <w:u w:val="single" w:color="auto"/>
            <w:color w:val="0000EE"/>
          </w:rPr>
          <w:t>current report on Form 6-K furnished to the SEC on May 29, 2020, titled "NetEase, Inc. Supplemental and Updated Disclosures"</w:t>
        </w:r>
        <w:r>
          <w:rPr>
            <w:rFonts w:ascii="Arial" w:cs="Arial" w:eastAsia="Arial" w:hAnsi="Arial"/>
            <w:sz w:val="18"/>
            <w:szCs w:val="18"/>
            <w:u w:val="single" w:color="auto"/>
            <w:color w:val="000000"/>
          </w:rPr>
          <w:t>, as well as other</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documents incorporated by reference into the accompanying prospectus.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220" w:firstLine="348"/>
        <w:spacing w:after="0" w:line="291" w:lineRule="auto"/>
        <w:rPr>
          <w:sz w:val="20"/>
          <w:szCs w:val="20"/>
          <w:color w:val="auto"/>
        </w:rPr>
      </w:pPr>
      <w:r>
        <w:rPr>
          <w:rFonts w:ascii="Arial" w:cs="Arial" w:eastAsia="Arial" w:hAnsi="Arial"/>
          <w:sz w:val="16"/>
          <w:szCs w:val="16"/>
          <w:color w:val="auto"/>
        </w:rPr>
        <w:t>We commenced our business in June 1997. In July 1999, we incorporated an exempted company with limited liability under the Cayman Islands Companies Law, NetEase, Inc., as our new holding company. We conduct our business in China through our subsidiaries and variable interest entities. Our ADSs are listed on the Nasdaq under the symbol "NTES." Our principal executive offices are located at NetEase Building, No.599 Wangshang Road, Binjiang District, Hangzhou, People's Republic of China 310052. Our telephone number is (86-571) 8985-3378. Our registered office in the Cayman Islands is located at PO Box 309, Ugland House, Grand Cayman, KY1-1104, Cayman Islands. Our agent for service of process in the United States is Cogency Global Inc. at 122 East 42nd Street, 18th Floor, New York, NY 10168.</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right="120" w:firstLine="348"/>
        <w:spacing w:after="0" w:line="306" w:lineRule="auto"/>
        <w:rPr>
          <w:sz w:val="20"/>
          <w:szCs w:val="20"/>
          <w:color w:val="auto"/>
        </w:rPr>
      </w:pPr>
      <w:r>
        <w:rPr>
          <w:rFonts w:ascii="Arial" w:cs="Arial" w:eastAsia="Arial" w:hAnsi="Arial"/>
          <w:sz w:val="16"/>
          <w:szCs w:val="16"/>
          <w:color w:val="auto"/>
        </w:rPr>
        <w:t>The following sets forth our selected unaudited financial data for the three months ended March 31, 2019 and 2020. Please refer to "Financial Information" in Exhibit 99.1 to our current report on Form 6-K furnished to the SEC on May 29, 2020, titled "NetEase, Inc. Supplemental and Updated Disclosures" for information regarding trends and other factors that may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00"/>
          </w:cols>
          <w:pgMar w:left="320" w:top="131" w:right="5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6579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6130" cy="657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500" w:hanging="538"/>
        <w:spacing w:after="0" w:line="268"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revenues increased by 18.3% to RMB17,062.4 million (US$2,409.7 million) for the three months ended March 31, 2020 from RMB14,422.2 million for the three months ended March 31, 2019.</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860" w:right="60" w:hanging="538"/>
        <w:spacing w:after="0" w:line="268" w:lineRule="auto"/>
        <w:tabs>
          <w:tab w:leader="none" w:pos="1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Net revenues from online game services increased by 14.1% to RMB13,518.2 million (US$1,909.1 million) for the three months ended March 31, 2020 from RMB11,850.2 million for the three months ended March 31, 2019.</w:t>
      </w:r>
    </w:p>
    <w:p>
      <w:pPr>
        <w:spacing w:after="0" w:line="199" w:lineRule="exact"/>
        <w:rPr>
          <w:rFonts w:ascii="Arial" w:cs="Arial" w:eastAsia="Arial" w:hAnsi="Arial"/>
          <w:sz w:val="18"/>
          <w:szCs w:val="18"/>
          <w:color w:val="auto"/>
        </w:rPr>
      </w:pPr>
    </w:p>
    <w:p>
      <w:pPr>
        <w:ind w:left="1860" w:right="120" w:hanging="538"/>
        <w:spacing w:after="0" w:line="268" w:lineRule="auto"/>
        <w:tabs>
          <w:tab w:leader="none" w:pos="18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Net revenues from Youdao increased by 139.8% to RMB541.4 million (US$76.5 million) for the three months ended March 31, 2020 from RMB225.7 million for the three months ended March 31, 2019.</w:t>
      </w:r>
    </w:p>
    <w:p>
      <w:pPr>
        <w:spacing w:after="0" w:line="212" w:lineRule="exact"/>
        <w:rPr>
          <w:rFonts w:ascii="Arial" w:cs="Arial" w:eastAsia="Arial" w:hAnsi="Arial"/>
          <w:sz w:val="18"/>
          <w:szCs w:val="18"/>
          <w:color w:val="auto"/>
        </w:rPr>
      </w:pPr>
    </w:p>
    <w:p>
      <w:pPr>
        <w:ind w:left="1860" w:right="20" w:hanging="538"/>
        <w:spacing w:after="0" w:line="331" w:lineRule="auto"/>
        <w:tabs>
          <w:tab w:leader="none" w:pos="18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Net revenues from innovative businesses and others increased by 28.0% to RMB3,002.7 million (US$424.1 million) for the three months ended March 31, 2020 from RMB2,346.3 million for the three months ended March 31, 2019.</w:t>
      </w:r>
    </w:p>
    <w:p>
      <w:pPr>
        <w:spacing w:after="0" w:line="370" w:lineRule="exact"/>
        <w:rPr>
          <w:rFonts w:ascii="Arial" w:cs="Arial" w:eastAsia="Arial" w:hAnsi="Arial"/>
          <w:sz w:val="16"/>
          <w:szCs w:val="16"/>
          <w:color w:val="auto"/>
        </w:rPr>
      </w:pPr>
    </w:p>
    <w:p>
      <w:pPr>
        <w:ind w:left="1320" w:right="660" w:hanging="538"/>
        <w:spacing w:after="0" w:line="268"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increased by 21.2% to RMB9,377.6 million (US$1,324.4 million) for the three months ended March 31, 2020 from RMB7,737.7 million for the three months ended March 31, 2019.</w:t>
      </w:r>
    </w:p>
    <w:p>
      <w:pPr>
        <w:spacing w:after="0" w:line="199" w:lineRule="exact"/>
        <w:rPr>
          <w:rFonts w:ascii="Arial" w:cs="Arial" w:eastAsia="Arial" w:hAnsi="Arial"/>
          <w:sz w:val="18"/>
          <w:szCs w:val="18"/>
          <w:color w:val="auto"/>
        </w:rPr>
      </w:pPr>
    </w:p>
    <w:p>
      <w:pPr>
        <w:ind w:left="1320" w:right="340" w:hanging="538"/>
        <w:spacing w:after="0" w:line="268"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operating expenses were RMB4,891.2 million (US$690.8 million) for the three months ended March 31, 2020, representing an increase of 22.8% from RMB3,982.6 million for the three months ended March 31, 2019.</w:t>
      </w:r>
    </w:p>
    <w:p>
      <w:pPr>
        <w:spacing w:after="0" w:line="212" w:lineRule="exact"/>
        <w:rPr>
          <w:rFonts w:ascii="Arial" w:cs="Arial" w:eastAsia="Arial" w:hAnsi="Arial"/>
          <w:sz w:val="18"/>
          <w:szCs w:val="18"/>
          <w:color w:val="auto"/>
        </w:rPr>
      </w:pPr>
    </w:p>
    <w:p>
      <w:pPr>
        <w:ind w:left="1320" w:right="100" w:hanging="538"/>
        <w:spacing w:after="0" w:line="331" w:lineRule="auto"/>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income from continuing operations attributable to our shareholders increased by 29.9% to RMB3,551.0 million (US$501.5 million) for the three months ended March 31, 2020 from RMB2,732.9 million for the three months ended March 31, 2019.</w:t>
      </w:r>
    </w:p>
    <w:p>
      <w:pPr>
        <w:spacing w:after="0" w:line="154" w:lineRule="exact"/>
        <w:rPr>
          <w:rFonts w:ascii="Arial" w:cs="Arial" w:eastAsia="Arial" w:hAnsi="Arial"/>
          <w:sz w:val="16"/>
          <w:szCs w:val="16"/>
          <w:color w:val="auto"/>
        </w:rPr>
      </w:pPr>
    </w:p>
    <w:p>
      <w:pPr>
        <w:ind w:left="1320" w:right="140" w:hanging="538"/>
        <w:spacing w:after="0" w:line="268" w:lineRule="auto"/>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income attributable to our shareholders increased by 49.1% to RMB3,551.0 million (US$501.5 million) for the three months ended March 31, 2020 from RMB2,382.1 million for the three months ended March 31, 2019.</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Basic net income from continuing operations per ADS for the three months ended March 31, 2020 was US$3.88.</w:t>
      </w:r>
    </w:p>
    <w:p>
      <w:pPr>
        <w:spacing w:after="0" w:line="225" w:lineRule="exact"/>
        <w:rPr>
          <w:sz w:val="20"/>
          <w:szCs w:val="20"/>
          <w:color w:val="auto"/>
        </w:rPr>
      </w:pPr>
    </w:p>
    <w:p>
      <w:pPr>
        <w:jc w:val="both"/>
        <w:ind w:left="240" w:right="360" w:firstLine="351"/>
        <w:spacing w:after="0" w:line="298" w:lineRule="auto"/>
        <w:rPr>
          <w:sz w:val="20"/>
          <w:szCs w:val="20"/>
          <w:color w:val="auto"/>
        </w:rPr>
      </w:pPr>
      <w:r>
        <w:rPr>
          <w:rFonts w:ascii="Arial" w:cs="Arial" w:eastAsia="Arial" w:hAnsi="Arial"/>
          <w:sz w:val="16"/>
          <w:szCs w:val="16"/>
          <w:color w:val="auto"/>
        </w:rPr>
        <w:t>In addition, the COVID-19 outbreak has caused and may continue to cause us to implement temporary adjustments of work schemes allowing employees to work from home. We prioritize the health and safety of our employees, and have also taken various other preventative and quarantine measures across our company, including monitoring our employees' health and optimizing our technology systems to better serve a remote working environment. These measures have enabled us to continue carrying out our business without disruption.</w:t>
      </w:r>
    </w:p>
    <w:p>
      <w:pPr>
        <w:spacing w:after="0" w:line="166"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The deterioration in economic conditions in connection with the global outbreak has caused, and may continue to cause, decreases or delays in advertising and marketing service spending and budgets of customers across our platforms. Our online games and intelligent learning businesses have not been materially impacted by the pandemic as of the date of this prospectus supplement. The extent to which the COVID-19 outbreak impacts our results will depend on future developments, which are highly uncertain and cannot be predicted. As of the date of this prospectus supplement, we are not aware of any material adverse effects on our financial statements as a result of the COVID-19 outbreak.</w:t>
      </w:r>
    </w:p>
    <w:p>
      <w:pPr>
        <w:spacing w:after="0" w:line="169" w:lineRule="exact"/>
        <w:rPr>
          <w:sz w:val="20"/>
          <w:szCs w:val="20"/>
          <w:color w:val="auto"/>
        </w:rPr>
      </w:pPr>
    </w:p>
    <w:p>
      <w:pPr>
        <w:ind w:left="240" w:firstLine="351"/>
        <w:spacing w:after="0" w:line="323" w:lineRule="auto"/>
        <w:rPr>
          <w:sz w:val="20"/>
          <w:szCs w:val="20"/>
          <w:color w:val="auto"/>
        </w:rPr>
      </w:pPr>
      <w:r>
        <w:rPr>
          <w:rFonts w:ascii="Arial" w:cs="Arial" w:eastAsia="Arial" w:hAnsi="Arial"/>
          <w:sz w:val="15"/>
          <w:szCs w:val="15"/>
          <w:color w:val="auto"/>
        </w:rPr>
        <w:t>On May 20, 2020, the U.S. Senate passed S. 945, the Holding Foreign Companies Accountable Act. If passed by the U.S. House of Representatives and signed by the U.S. President, this bill could cause investor uncertainty for affected issuers, including us, the market price of our ADSs could be adversely affected, and we could be delisted from the Nasdaq if we are unable to meet the Public Company Accounting Oversight Board, or PCAOB, inspection requirement proposed by the bill at this time. For additional information, see "Risk Factors—Risks related to our Ordinary Shares, the ADSs,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1538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6130"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color w:val="auto"/>
        </w:rPr>
        <w:t>the Listing, and the Global Offering—Our auditor of the consolidated financial statements included in our annual report on Form 20-F filed with the SEC, like other independent registered public accounting firms operating in China, is not permitted to be subject to inspection by the PCAOB, and consequently you are deprived of the benefits of such inspection."</w:t>
      </w:r>
    </w:p>
    <w:p>
      <w:pPr>
        <w:spacing w:after="0" w:line="194" w:lineRule="exact"/>
        <w:rPr>
          <w:sz w:val="20"/>
          <w:szCs w:val="20"/>
          <w:color w:val="auto"/>
        </w:rPr>
      </w:pPr>
    </w:p>
    <w:p>
      <w:pPr>
        <w:jc w:val="both"/>
        <w:ind w:left="240" w:firstLine="351"/>
        <w:spacing w:after="0" w:line="259" w:lineRule="auto"/>
        <w:rPr>
          <w:sz w:val="20"/>
          <w:szCs w:val="20"/>
          <w:color w:val="auto"/>
        </w:rPr>
      </w:pPr>
      <w:r>
        <w:rPr>
          <w:rFonts w:ascii="Arial" w:cs="Arial" w:eastAsia="Arial" w:hAnsi="Arial"/>
          <w:sz w:val="18"/>
          <w:szCs w:val="18"/>
          <w:color w:val="auto"/>
        </w:rPr>
        <w:t>In May 2020, our board of directors approved the Q1 Dividend, and we expect to make dividend payments of approximately US$158 million in aggregate on June 23, 2020 to shareholders of record as of the close of business on June 12, 2020. See the section headed "Dividend Policy" for more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40"/>
          </w:cols>
          <w:pgMar w:left="320" w:top="131" w:right="8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663"/>
        </w:trPr>
        <w:tc>
          <w:tcPr>
            <w:tcW w:w="1460" w:type="dxa"/>
            <w:vAlign w:val="bottom"/>
            <w:tcBorders>
              <w:top w:val="single" w:sz="8" w:color="auto"/>
              <w:left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9060" w:type="dxa"/>
            <w:vAlign w:val="bottom"/>
            <w:tcBorders>
              <w:top w:val="single" w:sz="8" w:color="auto"/>
              <w:right w:val="single" w:sz="8" w:color="auto"/>
            </w:tcBorders>
          </w:tcPr>
          <w:p>
            <w:pPr>
              <w:jc w:val="center"/>
              <w:ind w:right="2072"/>
              <w:spacing w:after="0"/>
              <w:rPr>
                <w:sz w:val="20"/>
                <w:szCs w:val="20"/>
                <w:color w:val="auto"/>
              </w:rPr>
            </w:pPr>
            <w:r>
              <w:rPr>
                <w:rFonts w:ascii="Arial" w:cs="Arial" w:eastAsia="Arial" w:hAnsi="Arial"/>
                <w:sz w:val="18"/>
                <w:szCs w:val="18"/>
                <w:b w:val="1"/>
                <w:bCs w:val="1"/>
                <w:color w:val="auto"/>
                <w:w w:val="99"/>
              </w:rPr>
              <w:t>THE GLOBAL OFFERING</w:t>
            </w: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Public</w:t>
            </w:r>
          </w:p>
        </w:tc>
        <w:tc>
          <w:tcPr>
            <w:tcW w:w="72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Offering</w:t>
            </w:r>
          </w:p>
        </w:tc>
        <w:tc>
          <w:tcPr>
            <w:tcW w:w="720" w:type="dxa"/>
            <w:vAlign w:val="bottom"/>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r>
      <w:tr>
        <w:trPr>
          <w:trHeight w:val="228"/>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Price:</w:t>
            </w:r>
          </w:p>
        </w:tc>
        <w:tc>
          <w:tcPr>
            <w:tcW w:w="720" w:type="dxa"/>
            <w:vAlign w:val="bottom"/>
          </w:tcPr>
          <w:p>
            <w:pPr>
              <w:ind w:left="100"/>
              <w:spacing w:after="0"/>
              <w:rPr>
                <w:sz w:val="20"/>
                <w:szCs w:val="20"/>
                <w:color w:val="auto"/>
              </w:rPr>
            </w:pPr>
            <w:r>
              <w:rPr>
                <w:rFonts w:ascii="Arial" w:cs="Arial" w:eastAsia="Arial" w:hAnsi="Arial"/>
                <w:sz w:val="18"/>
                <w:szCs w:val="18"/>
                <w:color w:val="auto"/>
              </w:rPr>
              <w:t>HK$</w:t>
            </w:r>
          </w:p>
        </w:tc>
        <w:tc>
          <w:tcPr>
            <w:tcW w:w="90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per ordinary share</w:t>
            </w: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The Global</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We are offering 171,480,000 ordinary shares, par value US$0.0001 per share, as part of a Global Offering, comprising an</w:t>
            </w:r>
          </w:p>
        </w:tc>
      </w:tr>
      <w:tr>
        <w:trPr>
          <w:trHeight w:val="222"/>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Offering:</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2"/>
              </w:rPr>
              <w:t>International Offering of initially 166,330,000 ordinary shares offered hereby, and a Hong Kong Public Offering of initially 5,150,000</w:t>
            </w:r>
          </w:p>
        </w:tc>
      </w:tr>
      <w:tr>
        <w:trPr>
          <w:trHeight w:val="216"/>
        </w:trPr>
        <w:tc>
          <w:tcPr>
            <w:tcW w:w="1460" w:type="dxa"/>
            <w:vAlign w:val="bottom"/>
            <w:tcBorders>
              <w:left w:val="single" w:sz="8" w:color="auto"/>
            </w:tcBorders>
          </w:tcPr>
          <w:p>
            <w:pPr>
              <w:spacing w:after="0"/>
              <w:rPr>
                <w:sz w:val="18"/>
                <w:szCs w:val="18"/>
                <w:color w:val="auto"/>
              </w:rPr>
            </w:pP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1"/>
              </w:rPr>
              <w:t>ordinary shares. The allocation of ordinary shares between the International Offering and the Hong Kong Public Offering is subject to</w:t>
            </w:r>
          </w:p>
        </w:tc>
      </w:tr>
      <w:tr>
        <w:trPr>
          <w:trHeight w:val="222"/>
        </w:trPr>
        <w:tc>
          <w:tcPr>
            <w:tcW w:w="1460" w:type="dxa"/>
            <w:vAlign w:val="bottom"/>
            <w:tcBorders>
              <w:left w:val="single" w:sz="8" w:color="auto"/>
            </w:tcBorders>
          </w:tcPr>
          <w:p>
            <w:pPr>
              <w:spacing w:after="0"/>
              <w:rPr>
                <w:sz w:val="19"/>
                <w:szCs w:val="19"/>
                <w:color w:val="auto"/>
              </w:rPr>
            </w:pP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reallocation. For more information, see "Underwriting."</w:t>
            </w: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Option to</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We have granted the international underwriters the option, exercisable by the Joint Global Coordinators, to purchase up to an</w:t>
            </w: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Purchase</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9"/>
              </w:rPr>
              <w:t>additional 25,722,000 ordinary shares at the International Offer Price (as defined in this prospectus supplement under the</w:t>
            </w: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Additional</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"Underwriting" section) until 30 days after the last day for the lodging of applications under the Hong Kong Public Offering. J.P.</w:t>
            </w: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Ordinary</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4"/>
              </w:rPr>
              <w:t>Morgan Securities plc expects to enter into a borrowing arrangement with Shining Globe International Limited that is intended to</w:t>
            </w:r>
          </w:p>
        </w:tc>
      </w:tr>
      <w:tr>
        <w:trPr>
          <w:trHeight w:val="228"/>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Shares:</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facilitate the settlement of over-allocations.</w:t>
            </w:r>
          </w:p>
        </w:tc>
      </w:tr>
      <w:tr>
        <w:trPr>
          <w:trHeight w:val="420"/>
        </w:trPr>
        <w:tc>
          <w:tcPr>
            <w:tcW w:w="14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Ordinary</w:t>
            </w:r>
          </w:p>
        </w:tc>
        <w:tc>
          <w:tcPr>
            <w:tcW w:w="72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Shares</w:t>
            </w:r>
          </w:p>
        </w:tc>
        <w:tc>
          <w:tcPr>
            <w:tcW w:w="720" w:type="dxa"/>
            <w:vAlign w:val="bottom"/>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Issued</w:t>
            </w:r>
          </w:p>
        </w:tc>
        <w:tc>
          <w:tcPr>
            <w:tcW w:w="720" w:type="dxa"/>
            <w:vAlign w:val="bottom"/>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w w:val="97"/>
              </w:rPr>
              <w:t>Immediately</w:t>
            </w:r>
          </w:p>
        </w:tc>
        <w:tc>
          <w:tcPr>
            <w:tcW w:w="720" w:type="dxa"/>
            <w:vAlign w:val="bottom"/>
          </w:tcPr>
          <w:p>
            <w:pPr>
              <w:spacing w:after="0"/>
              <w:rPr>
                <w:sz w:val="18"/>
                <w:szCs w:val="18"/>
                <w:color w:val="auto"/>
              </w:rPr>
            </w:pPr>
          </w:p>
        </w:tc>
        <w:tc>
          <w:tcPr>
            <w:tcW w:w="9060" w:type="dxa"/>
            <w:vAlign w:val="bottom"/>
            <w:tcBorders>
              <w:right w:val="single" w:sz="8" w:color="auto"/>
            </w:tcBorders>
          </w:tcPr>
          <w:p>
            <w:pPr>
              <w:spacing w:after="0"/>
              <w:rPr>
                <w:sz w:val="18"/>
                <w:szCs w:val="18"/>
                <w:color w:val="auto"/>
              </w:rPr>
            </w:pP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After the</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3,429,395,456 ordinary shares (or 3,455,117,456 ordinary shares if the Joint Global Coordinators exercise in full, on behalf of the</w:t>
            </w:r>
          </w:p>
        </w:tc>
      </w:tr>
      <w:tr>
        <w:trPr>
          <w:trHeight w:val="216"/>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Global</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0"/>
              </w:rPr>
              <w:t>international underwriters, their option to purchase additional ordinary shares), excluding ordinary shares issuable upon the vesting of</w:t>
            </w:r>
          </w:p>
        </w:tc>
      </w:tr>
      <w:tr>
        <w:trPr>
          <w:trHeight w:val="228"/>
        </w:trPr>
        <w:tc>
          <w:tcPr>
            <w:tcW w:w="146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Offering:</w:t>
            </w:r>
          </w:p>
        </w:tc>
        <w:tc>
          <w:tcPr>
            <w:tcW w:w="97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RSUs issued under our RSU plans as of the date of this prospectus supplement.</w:t>
            </w:r>
          </w:p>
        </w:tc>
      </w:tr>
      <w:tr>
        <w:trPr>
          <w:trHeight w:val="444"/>
        </w:trPr>
        <w:tc>
          <w:tcPr>
            <w:tcW w:w="1460" w:type="dxa"/>
            <w:vAlign w:val="bottom"/>
            <w:tcBorders>
              <w:left w:val="single" w:sz="8" w:color="auto"/>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60" w:type="dxa"/>
            <w:vAlign w:val="bottom"/>
            <w:tcBorders>
              <w:bottom w:val="single" w:sz="8" w:color="auto"/>
              <w:right w:val="single" w:sz="8" w:color="auto"/>
            </w:tcBorders>
          </w:tcPr>
          <w:p>
            <w:pPr>
              <w:spacing w:after="0"/>
              <w:rPr>
                <w:sz w:val="24"/>
                <w:szCs w:val="24"/>
                <w:color w:val="auto"/>
              </w:rPr>
            </w:pPr>
          </w:p>
        </w:tc>
      </w:tr>
      <w:tr>
        <w:trPr>
          <w:trHeight w:val="427"/>
        </w:trPr>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60" w:type="dxa"/>
            <w:vAlign w:val="bottom"/>
          </w:tcPr>
          <w:p>
            <w:pPr>
              <w:jc w:val="center"/>
              <w:ind w:right="2092"/>
              <w:spacing w:after="0"/>
              <w:rPr>
                <w:sz w:val="20"/>
                <w:szCs w:val="20"/>
                <w:color w:val="auto"/>
              </w:rPr>
            </w:pPr>
            <w:r>
              <w:rPr>
                <w:rFonts w:ascii="Arial" w:cs="Arial" w:eastAsia="Arial" w:hAnsi="Arial"/>
                <w:sz w:val="18"/>
                <w:szCs w:val="18"/>
                <w:color w:val="auto"/>
                <w:w w:val="84"/>
              </w:rPr>
              <w:t>S-17</w:t>
            </w:r>
          </w:p>
        </w:tc>
      </w:tr>
      <w:tr>
        <w:trPr>
          <w:trHeight w:val="228"/>
        </w:trPr>
        <w:tc>
          <w:tcPr>
            <w:tcW w:w="14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34"/>
        </w:trPr>
        <w:tc>
          <w:tcPr>
            <w:tcW w:w="130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Use of</w:t>
            </w:r>
          </w:p>
        </w:tc>
        <w:tc>
          <w:tcPr>
            <w:tcW w:w="99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We will determine the offer price for both the International Offering and the Hong Kong Public Offering by reference to, among other</w:t>
            </w:r>
          </w:p>
        </w:tc>
      </w:tr>
      <w:tr>
        <w:trPr>
          <w:trHeight w:val="222"/>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w w:val="98"/>
              </w:rPr>
              <w:t>Proceeds:</w:t>
            </w: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4"/>
              </w:rPr>
              <w:t>factors, the closing price of our ADSs on the last trading day before the pricing of the Global Offering, which is expected to be on or</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about June 5, 2020. The maximum offer price for the Hong Kong Public Offering is HK$126.00, or US$16.25, per ordinary share</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2"/>
              </w:rPr>
              <w:t>(equivalent to US$406.13 per ADS). Assuming (i) the offering price is HK$126.00 per ordinary share, (ii) initially 166,330,000 ordinary</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shares are allocated to the International Offering and (iii) initially 5,150,000 ordinary shares are allocated to the Hong Kong Public</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Offering, we estimate that we will receive net proceeds from the Global Offering of approximately HK$21,279.0 million</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(US$2,743.5 million) assuming the option of the international underwriters to purchase additional ordinary shares is not exercised, or</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HK$24,486.8 million (US$3,157.1 million) if the over-allotment option is exercised in full, after deducting estimated underwriting fees</w:t>
            </w:r>
          </w:p>
        </w:tc>
      </w:tr>
      <w:tr>
        <w:trPr>
          <w:trHeight w:val="222"/>
        </w:trPr>
        <w:tc>
          <w:tcPr>
            <w:tcW w:w="1300" w:type="dxa"/>
            <w:vAlign w:val="bottom"/>
            <w:tcBorders>
              <w:left w:val="single" w:sz="8" w:color="auto"/>
            </w:tcBorders>
          </w:tcPr>
          <w:p>
            <w:pPr>
              <w:spacing w:after="0"/>
              <w:rPr>
                <w:sz w:val="19"/>
                <w:szCs w:val="19"/>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and the estimated offering expenses payable by us. We plan to use the net proceeds we will receive from the Global Offering for:</w:t>
            </w:r>
          </w:p>
        </w:tc>
      </w:tr>
      <w:tr>
        <w:trPr>
          <w:trHeight w:val="432"/>
        </w:trPr>
        <w:tc>
          <w:tcPr>
            <w:tcW w:w="1300" w:type="dxa"/>
            <w:vAlign w:val="bottom"/>
            <w:tcBorders>
              <w:left w:val="single" w:sz="8" w:color="auto"/>
            </w:tcBorders>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89"/>
              </w:rPr>
              <w:t>•  Globalization strategies and opportunities;</w:t>
            </w:r>
          </w:p>
        </w:tc>
        <w:tc>
          <w:tcPr>
            <w:tcW w:w="6660" w:type="dxa"/>
            <w:vAlign w:val="bottom"/>
            <w:tcBorders>
              <w:right w:val="single" w:sz="8" w:color="auto"/>
            </w:tcBorders>
          </w:tcPr>
          <w:p>
            <w:pPr>
              <w:spacing w:after="0"/>
              <w:rPr>
                <w:sz w:val="24"/>
                <w:szCs w:val="24"/>
                <w:color w:val="auto"/>
              </w:rPr>
            </w:pPr>
          </w:p>
        </w:tc>
      </w:tr>
      <w:tr>
        <w:trPr>
          <w:trHeight w:val="432"/>
        </w:trPr>
        <w:tc>
          <w:tcPr>
            <w:tcW w:w="1300" w:type="dxa"/>
            <w:vAlign w:val="bottom"/>
            <w:tcBorders>
              <w:left w:val="single" w:sz="8" w:color="auto"/>
            </w:tcBorders>
          </w:tcPr>
          <w:p>
            <w:pPr>
              <w:spacing w:after="0"/>
              <w:rPr>
                <w:sz w:val="24"/>
                <w:szCs w:val="24"/>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Fueling our continued pursuit of innovation; and</w:t>
            </w:r>
          </w:p>
        </w:tc>
      </w:tr>
      <w:tr>
        <w:trPr>
          <w:trHeight w:val="432"/>
        </w:trPr>
        <w:tc>
          <w:tcPr>
            <w:tcW w:w="1300" w:type="dxa"/>
            <w:vAlign w:val="bottom"/>
            <w:tcBorders>
              <w:left w:val="single" w:sz="8" w:color="auto"/>
            </w:tcBorders>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  General corporate purposes.</w:t>
            </w:r>
          </w:p>
        </w:tc>
        <w:tc>
          <w:tcPr>
            <w:tcW w:w="6660" w:type="dxa"/>
            <w:vAlign w:val="bottom"/>
            <w:tcBorders>
              <w:right w:val="single" w:sz="8" w:color="auto"/>
            </w:tcBorders>
          </w:tcPr>
          <w:p>
            <w:pPr>
              <w:spacing w:after="0"/>
              <w:rPr>
                <w:sz w:val="24"/>
                <w:szCs w:val="24"/>
                <w:color w:val="auto"/>
              </w:rPr>
            </w:pPr>
          </w:p>
        </w:tc>
      </w:tr>
      <w:tr>
        <w:trPr>
          <w:trHeight w:val="432"/>
        </w:trPr>
        <w:tc>
          <w:tcPr>
            <w:tcW w:w="1300" w:type="dxa"/>
            <w:vAlign w:val="bottom"/>
            <w:tcBorders>
              <w:left w:val="single" w:sz="8" w:color="auto"/>
            </w:tcBorders>
          </w:tcPr>
          <w:p>
            <w:pPr>
              <w:spacing w:after="0"/>
              <w:rPr>
                <w:sz w:val="24"/>
                <w:szCs w:val="24"/>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w w:val="96"/>
              </w:rPr>
              <w:t>See "Use of Proceeds" for further details.</w:t>
            </w:r>
          </w:p>
        </w:tc>
        <w:tc>
          <w:tcPr>
            <w:tcW w:w="6660" w:type="dxa"/>
            <w:vAlign w:val="bottom"/>
            <w:tcBorders>
              <w:right w:val="single" w:sz="8" w:color="auto"/>
            </w:tcBorders>
          </w:tcPr>
          <w:p>
            <w:pPr>
              <w:spacing w:after="0"/>
              <w:rPr>
                <w:sz w:val="24"/>
                <w:szCs w:val="24"/>
                <w:color w:val="auto"/>
              </w:rPr>
            </w:pPr>
          </w:p>
        </w:tc>
      </w:tr>
      <w:tr>
        <w:trPr>
          <w:trHeight w:val="426"/>
        </w:trPr>
        <w:tc>
          <w:tcPr>
            <w:tcW w:w="130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Lock-Up:</w:t>
            </w: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2"/>
              </w:rPr>
              <w:t>We and our directors and executive officers have agreed with the underwriters to certain lock-up restrictions in respect of our ordinary</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2"/>
              </w:rPr>
              <w:t>shares or ADSs, or any securities convertible into or exchangeable or exercisable for any of our ordinary shares or ADSs, for a period</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2"/>
              </w:rPr>
              <w:t>commencing on the price determination date and ending on, and including, the date that is 90 days after the price determination date,</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1"/>
              </w:rPr>
              <w:t>subject to limited exceptions as described under "Underwriting." As of May 25, 2020, our directors and executive officers held a total of</w:t>
            </w:r>
          </w:p>
        </w:tc>
      </w:tr>
      <w:tr>
        <w:trPr>
          <w:trHeight w:val="216"/>
        </w:trPr>
        <w:tc>
          <w:tcPr>
            <w:tcW w:w="1300" w:type="dxa"/>
            <w:vAlign w:val="bottom"/>
            <w:tcBorders>
              <w:left w:val="single" w:sz="8" w:color="auto"/>
            </w:tcBorders>
          </w:tcPr>
          <w:p>
            <w:pPr>
              <w:spacing w:after="0"/>
              <w:rPr>
                <w:sz w:val="18"/>
                <w:szCs w:val="18"/>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1,456,907,000 ordinary shares, including ordinary shares that they have the right to acquire within 60 days of May 25, 2020</w:t>
            </w:r>
          </w:p>
        </w:tc>
      </w:tr>
      <w:tr>
        <w:trPr>
          <w:trHeight w:val="222"/>
        </w:trPr>
        <w:tc>
          <w:tcPr>
            <w:tcW w:w="1300" w:type="dxa"/>
            <w:vAlign w:val="bottom"/>
            <w:tcBorders>
              <w:left w:val="single" w:sz="8" w:color="auto"/>
            </w:tcBorders>
          </w:tcPr>
          <w:p>
            <w:pPr>
              <w:spacing w:after="0"/>
              <w:rPr>
                <w:sz w:val="19"/>
                <w:szCs w:val="19"/>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(representing approximately 44.7% of our ordinary shares then issued).</w:t>
            </w:r>
          </w:p>
        </w:tc>
      </w:tr>
      <w:tr>
        <w:trPr>
          <w:trHeight w:val="420"/>
        </w:trPr>
        <w:tc>
          <w:tcPr>
            <w:tcW w:w="130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Risk</w:t>
            </w: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1"/>
              </w:rPr>
              <w:t>You should carefully read "Risk Factors" beginning on page S-23 and the other information included in this prospectus supplement and</w:t>
            </w:r>
          </w:p>
        </w:tc>
      </w:tr>
      <w:tr>
        <w:trPr>
          <w:trHeight w:val="222"/>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Factors:</w:t>
            </w: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3"/>
              </w:rPr>
              <w:t>the accompanying prospectus, as well as other documents incorporated by reference therein, for a discussion of factors you should</w:t>
            </w:r>
          </w:p>
        </w:tc>
      </w:tr>
      <w:tr>
        <w:trPr>
          <w:trHeight w:val="222"/>
        </w:trPr>
        <w:tc>
          <w:tcPr>
            <w:tcW w:w="1300" w:type="dxa"/>
            <w:vAlign w:val="bottom"/>
            <w:tcBorders>
              <w:left w:val="single" w:sz="8" w:color="auto"/>
            </w:tcBorders>
          </w:tcPr>
          <w:p>
            <w:pPr>
              <w:spacing w:after="0"/>
              <w:rPr>
                <w:sz w:val="19"/>
                <w:szCs w:val="19"/>
                <w:color w:val="auto"/>
              </w:rPr>
            </w:pP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carefully consider before deciding to invest in the ordinary shares.</w:t>
            </w:r>
          </w:p>
        </w:tc>
      </w:tr>
      <w:tr>
        <w:trPr>
          <w:trHeight w:val="420"/>
        </w:trPr>
        <w:tc>
          <w:tcPr>
            <w:tcW w:w="130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Proposed</w:t>
            </w:r>
          </w:p>
        </w:tc>
        <w:tc>
          <w:tcPr>
            <w:tcW w:w="3280" w:type="dxa"/>
            <w:vAlign w:val="bottom"/>
          </w:tcPr>
          <w:p>
            <w:pPr>
              <w:spacing w:after="0"/>
              <w:rPr>
                <w:sz w:val="24"/>
                <w:szCs w:val="24"/>
                <w:color w:val="auto"/>
              </w:rPr>
            </w:pPr>
          </w:p>
        </w:tc>
        <w:tc>
          <w:tcPr>
            <w:tcW w:w="6660" w:type="dxa"/>
            <w:vAlign w:val="bottom"/>
            <w:tcBorders>
              <w:right w:val="single" w:sz="8" w:color="auto"/>
            </w:tcBorders>
          </w:tcPr>
          <w:p>
            <w:pPr>
              <w:spacing w:after="0"/>
              <w:rPr>
                <w:sz w:val="24"/>
                <w:szCs w:val="24"/>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Hong</w:t>
            </w:r>
          </w:p>
        </w:tc>
        <w:tc>
          <w:tcPr>
            <w:tcW w:w="328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Kong</w:t>
            </w:r>
          </w:p>
        </w:tc>
        <w:tc>
          <w:tcPr>
            <w:tcW w:w="328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Stock</w:t>
            </w:r>
          </w:p>
        </w:tc>
        <w:tc>
          <w:tcPr>
            <w:tcW w:w="328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Exchange</w:t>
            </w:r>
          </w:p>
        </w:tc>
        <w:tc>
          <w:tcPr>
            <w:tcW w:w="328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Code for</w:t>
            </w:r>
          </w:p>
        </w:tc>
        <w:tc>
          <w:tcPr>
            <w:tcW w:w="328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the</w:t>
            </w:r>
          </w:p>
        </w:tc>
        <w:tc>
          <w:tcPr>
            <w:tcW w:w="328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Ordinary</w:t>
            </w:r>
          </w:p>
        </w:tc>
        <w:tc>
          <w:tcPr>
            <w:tcW w:w="3280" w:type="dxa"/>
            <w:vAlign w:val="bottom"/>
          </w:tcPr>
          <w:p>
            <w:pPr>
              <w:spacing w:after="0"/>
              <w:rPr>
                <w:sz w:val="18"/>
                <w:szCs w:val="18"/>
                <w:color w:val="auto"/>
              </w:rPr>
            </w:pPr>
          </w:p>
        </w:tc>
        <w:tc>
          <w:tcPr>
            <w:tcW w:w="6660" w:type="dxa"/>
            <w:vAlign w:val="bottom"/>
            <w:tcBorders>
              <w:right w:val="single" w:sz="8" w:color="auto"/>
            </w:tcBorders>
          </w:tcPr>
          <w:p>
            <w:pPr>
              <w:spacing w:after="0"/>
              <w:rPr>
                <w:sz w:val="18"/>
                <w:szCs w:val="18"/>
                <w:color w:val="auto"/>
              </w:rPr>
            </w:pPr>
          </w:p>
        </w:tc>
      </w:tr>
      <w:tr>
        <w:trPr>
          <w:trHeight w:val="228"/>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Shares:</w:t>
            </w: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We have applied to list our ordinary shares on the Hong Kong Stock Exchange, under the stock code "9999."</w:t>
            </w:r>
          </w:p>
        </w:tc>
      </w:tr>
      <w:tr>
        <w:trPr>
          <w:trHeight w:val="420"/>
        </w:trPr>
        <w:tc>
          <w:tcPr>
            <w:tcW w:w="130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Payment</w:t>
            </w:r>
          </w:p>
        </w:tc>
        <w:tc>
          <w:tcPr>
            <w:tcW w:w="3280" w:type="dxa"/>
            <w:vAlign w:val="bottom"/>
          </w:tcPr>
          <w:p>
            <w:pPr>
              <w:spacing w:after="0"/>
              <w:rPr>
                <w:sz w:val="24"/>
                <w:szCs w:val="24"/>
                <w:color w:val="auto"/>
              </w:rPr>
            </w:pPr>
          </w:p>
        </w:tc>
        <w:tc>
          <w:tcPr>
            <w:tcW w:w="6660" w:type="dxa"/>
            <w:vAlign w:val="bottom"/>
            <w:tcBorders>
              <w:right w:val="single" w:sz="8" w:color="auto"/>
            </w:tcBorders>
          </w:tcPr>
          <w:p>
            <w:pPr>
              <w:spacing w:after="0"/>
              <w:rPr>
                <w:sz w:val="24"/>
                <w:szCs w:val="24"/>
                <w:color w:val="auto"/>
              </w:rPr>
            </w:pPr>
          </w:p>
        </w:tc>
      </w:tr>
      <w:tr>
        <w:trPr>
          <w:trHeight w:val="216"/>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rPr>
              <w:t>and</w:t>
            </w:r>
          </w:p>
        </w:tc>
        <w:tc>
          <w:tcPr>
            <w:tcW w:w="994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6"/>
              </w:rPr>
              <w:t>The underwriters expect to deliver the ordinary shares against payment therefor through the facilities of the Central Clearing and</w:t>
            </w:r>
          </w:p>
        </w:tc>
      </w:tr>
      <w:tr>
        <w:trPr>
          <w:trHeight w:val="228"/>
        </w:trPr>
        <w:tc>
          <w:tcPr>
            <w:tcW w:w="1300" w:type="dxa"/>
            <w:vAlign w:val="bottom"/>
            <w:tcBorders>
              <w:left w:val="single" w:sz="8" w:color="auto"/>
            </w:tcBorders>
          </w:tcPr>
          <w:p>
            <w:pPr>
              <w:ind w:left="420"/>
              <w:spacing w:after="0"/>
              <w:rPr>
                <w:sz w:val="20"/>
                <w:szCs w:val="20"/>
                <w:color w:val="auto"/>
              </w:rPr>
            </w:pPr>
            <w:r>
              <w:rPr>
                <w:rFonts w:ascii="Arial" w:cs="Arial" w:eastAsia="Arial" w:hAnsi="Arial"/>
                <w:sz w:val="18"/>
                <w:szCs w:val="18"/>
                <w:b w:val="1"/>
                <w:bCs w:val="1"/>
                <w:color w:val="auto"/>
                <w:w w:val="93"/>
              </w:rPr>
              <w:t>Settlement</w:t>
            </w:r>
          </w:p>
        </w:tc>
        <w:tc>
          <w:tcPr>
            <w:tcW w:w="3280" w:type="dxa"/>
            <w:vAlign w:val="bottom"/>
          </w:tcPr>
          <w:p>
            <w:pPr>
              <w:ind w:left="100"/>
              <w:spacing w:after="0"/>
              <w:rPr>
                <w:sz w:val="20"/>
                <w:szCs w:val="20"/>
                <w:color w:val="auto"/>
              </w:rPr>
            </w:pPr>
            <w:r>
              <w:rPr>
                <w:rFonts w:ascii="Arial" w:cs="Arial" w:eastAsia="Arial" w:hAnsi="Arial"/>
                <w:sz w:val="18"/>
                <w:szCs w:val="18"/>
                <w:color w:val="auto"/>
              </w:rPr>
              <w:t>Settlement System on or about</w:t>
            </w:r>
          </w:p>
        </w:tc>
        <w:tc>
          <w:tcPr>
            <w:tcW w:w="6660" w:type="dxa"/>
            <w:vAlign w:val="bottom"/>
            <w:tcBorders>
              <w:right w:val="single" w:sz="8" w:color="auto"/>
            </w:tcBorders>
          </w:tcPr>
          <w:p>
            <w:pPr>
              <w:jc w:val="right"/>
              <w:ind w:right="6072"/>
              <w:spacing w:after="0"/>
              <w:rPr>
                <w:sz w:val="20"/>
                <w:szCs w:val="20"/>
                <w:color w:val="auto"/>
              </w:rPr>
            </w:pPr>
            <w:r>
              <w:rPr>
                <w:rFonts w:ascii="Arial" w:cs="Arial" w:eastAsia="Arial" w:hAnsi="Arial"/>
                <w:sz w:val="18"/>
                <w:szCs w:val="18"/>
                <w:color w:val="auto"/>
                <w:w w:val="87"/>
              </w:rPr>
              <w:t>, 2020.</w:t>
            </w:r>
          </w:p>
        </w:tc>
      </w:tr>
      <w:tr>
        <w:trPr>
          <w:trHeight w:val="444"/>
        </w:trPr>
        <w:tc>
          <w:tcPr>
            <w:tcW w:w="1300" w:type="dxa"/>
            <w:vAlign w:val="bottom"/>
            <w:tcBorders>
              <w:left w:val="single" w:sz="8" w:color="auto"/>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660" w:type="dxa"/>
            <w:vAlign w:val="bottom"/>
            <w:tcBorders>
              <w:bottom w:val="single" w:sz="8" w:color="auto"/>
              <w:right w:val="single" w:sz="8" w:color="auto"/>
            </w:tcBorders>
          </w:tcPr>
          <w:p>
            <w:pPr>
              <w:spacing w:after="0"/>
              <w:rPr>
                <w:sz w:val="24"/>
                <w:szCs w:val="24"/>
                <w:color w:val="auto"/>
              </w:rPr>
            </w:pPr>
          </w:p>
        </w:tc>
      </w:tr>
      <w:tr>
        <w:trPr>
          <w:trHeight w:val="427"/>
        </w:trPr>
        <w:tc>
          <w:tcPr>
            <w:tcW w:w="1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660" w:type="dxa"/>
            <w:vAlign w:val="bottom"/>
          </w:tcPr>
          <w:p>
            <w:pPr>
              <w:jc w:val="right"/>
              <w:ind w:right="5372"/>
              <w:spacing w:after="0"/>
              <w:rPr>
                <w:sz w:val="20"/>
                <w:szCs w:val="20"/>
                <w:color w:val="auto"/>
              </w:rPr>
            </w:pPr>
            <w:r>
              <w:rPr>
                <w:rFonts w:ascii="Arial" w:cs="Arial" w:eastAsia="Arial" w:hAnsi="Arial"/>
                <w:sz w:val="18"/>
                <w:szCs w:val="18"/>
                <w:color w:val="auto"/>
              </w:rPr>
              <w:t>S-18</w:t>
            </w:r>
          </w:p>
        </w:tc>
      </w:tr>
      <w:tr>
        <w:trPr>
          <w:trHeight w:val="228"/>
        </w:trPr>
        <w:tc>
          <w:tcPr>
            <w:tcW w:w="130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6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414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6130" cy="41446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Fungibility</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ind w:left="420"/>
        <w:spacing w:after="0"/>
        <w:tabs>
          <w:tab w:leader="none" w:pos="1460" w:val="left"/>
        </w:tabs>
        <w:rPr>
          <w:sz w:val="20"/>
          <w:szCs w:val="20"/>
          <w:color w:val="auto"/>
        </w:rPr>
      </w:pPr>
      <w:r>
        <w:rPr>
          <w:rFonts w:ascii="Arial" w:cs="Arial" w:eastAsia="Arial" w:hAnsi="Arial"/>
          <w:sz w:val="16"/>
          <w:szCs w:val="16"/>
          <w:b w:val="1"/>
          <w:bCs w:val="1"/>
          <w:color w:val="auto"/>
        </w:rPr>
        <w:t>Exchanges</w:t>
      </w:r>
      <w:r>
        <w:rPr>
          <w:sz w:val="20"/>
          <w:szCs w:val="20"/>
          <w:color w:val="auto"/>
        </w:rPr>
        <w:tab/>
      </w:r>
      <w:r>
        <w:rPr>
          <w:rFonts w:ascii="Arial" w:cs="Arial" w:eastAsia="Arial" w:hAnsi="Arial"/>
          <w:sz w:val="16"/>
          <w:szCs w:val="16"/>
          <w:color w:val="auto"/>
        </w:rPr>
        <w:t>In connection with the Hong Kong Public Offering, we have established a branch register of members in Hong Kong, or the Hong</w:t>
      </w:r>
    </w:p>
    <w:p>
      <w:pPr>
        <w:spacing w:after="0" w:line="32" w:lineRule="exact"/>
        <w:rPr>
          <w:sz w:val="20"/>
          <w:szCs w:val="20"/>
          <w:color w:val="auto"/>
        </w:rPr>
      </w:pPr>
    </w:p>
    <w:p>
      <w:pPr>
        <w:ind w:left="420" w:right="560"/>
        <w:spacing w:after="0" w:line="281" w:lineRule="auto"/>
        <w:rPr>
          <w:sz w:val="20"/>
          <w:szCs w:val="20"/>
          <w:color w:val="auto"/>
        </w:rPr>
      </w:pPr>
      <w:r>
        <w:rPr>
          <w:rFonts w:ascii="Arial" w:cs="Arial" w:eastAsia="Arial" w:hAnsi="Arial"/>
          <w:sz w:val="16"/>
          <w:szCs w:val="16"/>
          <w:b w:val="1"/>
          <w:bCs w:val="1"/>
          <w:color w:val="auto"/>
        </w:rPr>
        <w:t xml:space="preserve">between </w:t>
      </w:r>
      <w:r>
        <w:rPr>
          <w:rFonts w:ascii="Arial" w:cs="Arial" w:eastAsia="Arial" w:hAnsi="Arial"/>
          <w:sz w:val="16"/>
          <w:szCs w:val="16"/>
          <w:color w:val="auto"/>
        </w:rPr>
        <w:t>Kong share register, which will be maintained by our Hong Kong share registrar, Computershare Hong Kong Investor Services</w:t>
      </w:r>
      <w:r>
        <w:rPr>
          <w:rFonts w:ascii="Arial" w:cs="Arial" w:eastAsia="Arial" w:hAnsi="Arial"/>
          <w:sz w:val="16"/>
          <w:szCs w:val="16"/>
          <w:b w:val="1"/>
          <w:bCs w:val="1"/>
          <w:color w:val="auto"/>
        </w:rPr>
        <w:t xml:space="preserve"> Ordinary </w:t>
      </w:r>
      <w:r>
        <w:rPr>
          <w:rFonts w:ascii="Arial" w:cs="Arial" w:eastAsia="Arial" w:hAnsi="Arial"/>
          <w:sz w:val="16"/>
          <w:szCs w:val="16"/>
          <w:color w:val="auto"/>
        </w:rPr>
        <w:t>Limited. Our principal register of members, or the Cayman share register, will continue to be maintained by our principal share</w:t>
      </w:r>
    </w:p>
    <w:p>
      <w:pPr>
        <w:spacing w:after="0" w:line="1" w:lineRule="exact"/>
        <w:rPr>
          <w:sz w:val="20"/>
          <w:szCs w:val="20"/>
          <w:color w:val="auto"/>
        </w:rPr>
      </w:pPr>
    </w:p>
    <w:p>
      <w:pPr>
        <w:ind w:left="420" w:right="100"/>
        <w:spacing w:after="0" w:line="253" w:lineRule="auto"/>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registrar, Maples Fund Services (Cayman) Limited. In order to facilitate fungibility and exchanges between ordinary shares trading in</w:t>
      </w:r>
      <w:r>
        <w:rPr>
          <w:rFonts w:ascii="Arial" w:cs="Arial" w:eastAsia="Arial" w:hAnsi="Arial"/>
          <w:sz w:val="18"/>
          <w:szCs w:val="18"/>
          <w:b w:val="1"/>
          <w:bCs w:val="1"/>
          <w:color w:val="auto"/>
        </w:rPr>
        <w:t xml:space="preserve"> Trading in </w:t>
      </w:r>
      <w:r>
        <w:rPr>
          <w:rFonts w:ascii="Arial" w:cs="Arial" w:eastAsia="Arial" w:hAnsi="Arial"/>
          <w:sz w:val="18"/>
          <w:szCs w:val="18"/>
          <w:color w:val="auto"/>
        </w:rPr>
        <w:t>Hong Kong and ADSs, and trading between the Hong Kong Stock Exchange and the Nasdaq, we intend to move a portion of our</w:t>
      </w:r>
      <w:r>
        <w:rPr>
          <w:rFonts w:ascii="Arial" w:cs="Arial" w:eastAsia="Arial" w:hAnsi="Arial"/>
          <w:sz w:val="18"/>
          <w:szCs w:val="18"/>
          <w:b w:val="1"/>
          <w:bCs w:val="1"/>
          <w:color w:val="auto"/>
        </w:rPr>
        <w:t xml:space="preserve"> Hong Kong </w:t>
      </w:r>
      <w:r>
        <w:rPr>
          <w:rFonts w:ascii="Arial" w:cs="Arial" w:eastAsia="Arial" w:hAnsi="Arial"/>
          <w:sz w:val="18"/>
          <w:szCs w:val="18"/>
          <w:color w:val="auto"/>
        </w:rPr>
        <w:t>issued ordinary shares, including all of the ordinary shares deposited in our ADS program, from our Cayman share register to our</w:t>
      </w:r>
      <w:r>
        <w:rPr>
          <w:rFonts w:ascii="Arial" w:cs="Arial" w:eastAsia="Arial" w:hAnsi="Arial"/>
          <w:sz w:val="18"/>
          <w:szCs w:val="18"/>
          <w:b w:val="1"/>
          <w:bCs w:val="1"/>
          <w:color w:val="auto"/>
        </w:rPr>
        <w:t xml:space="preserve"> and ADSs </w:t>
      </w:r>
      <w:r>
        <w:rPr>
          <w:rFonts w:ascii="Arial" w:cs="Arial" w:eastAsia="Arial" w:hAnsi="Arial"/>
          <w:sz w:val="18"/>
          <w:szCs w:val="18"/>
          <w:color w:val="auto"/>
        </w:rPr>
        <w:t>Hong Kong share register.</w:t>
      </w:r>
    </w:p>
    <w:p>
      <w:pPr>
        <w:spacing w:after="0" w:line="201" w:lineRule="exact"/>
        <w:rPr>
          <w:sz w:val="20"/>
          <w:szCs w:val="20"/>
          <w:color w:val="auto"/>
        </w:rPr>
      </w:pPr>
    </w:p>
    <w:p>
      <w:pPr>
        <w:ind w:left="1480" w:right="60"/>
        <w:spacing w:after="0" w:line="256" w:lineRule="auto"/>
        <w:rPr>
          <w:sz w:val="20"/>
          <w:szCs w:val="20"/>
          <w:color w:val="auto"/>
        </w:rPr>
      </w:pPr>
      <w:r>
        <w:rPr>
          <w:rFonts w:ascii="Arial" w:cs="Arial" w:eastAsia="Arial" w:hAnsi="Arial"/>
          <w:sz w:val="18"/>
          <w:szCs w:val="18"/>
          <w:color w:val="auto"/>
        </w:rPr>
        <w:t>In addition, all ordinary shares offered in both the International Offering and the Hong Kong Public Offering will be registered on the Hong Kong share register in order to be listed and traded on the Hong Kong Stock Exchange. Holders of ordinary shares registered on the Hong Kong share register will be able to exchange these ordinary shares for ADSs, and vice versa. See "Exchanges between Ordinary Shares Trading in Hong Kong and ADSs."</w:t>
      </w:r>
    </w:p>
    <w:p>
      <w:pPr>
        <w:spacing w:after="0" w:line="197" w:lineRule="exact"/>
        <w:rPr>
          <w:sz w:val="20"/>
          <w:szCs w:val="20"/>
          <w:color w:val="auto"/>
        </w:rPr>
      </w:pPr>
    </w:p>
    <w:p>
      <w:pPr>
        <w:ind w:left="1480" w:right="120"/>
        <w:spacing w:after="0" w:line="254" w:lineRule="auto"/>
        <w:rPr>
          <w:sz w:val="20"/>
          <w:szCs w:val="20"/>
          <w:color w:val="auto"/>
        </w:rPr>
      </w:pPr>
      <w:r>
        <w:rPr>
          <w:rFonts w:ascii="Arial" w:cs="Arial" w:eastAsia="Arial" w:hAnsi="Arial"/>
          <w:sz w:val="18"/>
          <w:szCs w:val="18"/>
          <w:color w:val="auto"/>
        </w:rPr>
        <w:t>It is unclear whether, as a matter of Hong Kong law, the trading or exchange of ADSs constitutes a sale or purchase of the underlying Hong Kong-registered ordinary shares that is subject to Hong Kong stamp duty. We advise investors to consult their own tax advisors on this matter. See "Risk Factors—Risks Related to our Ordinary Shares, the ADSs, the Listing, and the Global Offering—There is uncertainty as to whether Hong Kong stamp duty will apply to deposits of our ordinary shares into or withdrawal of our ordinary shares from the ADS facility or trading of our ADSs following our initial public offering in Hong Kong and listing of our ordinary shares on the Hong Kong Stock Exchange."</w:t>
      </w:r>
    </w:p>
    <w:p>
      <w:pPr>
        <w:spacing w:after="0" w:line="192" w:lineRule="exact"/>
        <w:rPr>
          <w:sz w:val="20"/>
          <w:szCs w:val="20"/>
          <w:color w:val="auto"/>
        </w:rPr>
      </w:pPr>
    </w:p>
    <w:p>
      <w:pPr>
        <w:ind w:left="1480" w:hanging="1239"/>
        <w:spacing w:after="0" w:line="291" w:lineRule="auto"/>
        <w:tabs>
          <w:tab w:leader="none" w:pos="1460" w:val="left"/>
        </w:tabs>
        <w:rPr>
          <w:sz w:val="20"/>
          <w:szCs w:val="20"/>
          <w:color w:val="auto"/>
        </w:rPr>
      </w:pPr>
      <w:r>
        <w:rPr>
          <w:rFonts w:ascii="Arial" w:cs="Arial" w:eastAsia="Arial" w:hAnsi="Arial"/>
          <w:sz w:val="16"/>
          <w:szCs w:val="16"/>
          <w:b w:val="1"/>
          <w:bCs w:val="1"/>
          <w:color w:val="auto"/>
        </w:rPr>
        <w:t>Dividends</w:t>
      </w:r>
      <w:r>
        <w:rPr>
          <w:sz w:val="20"/>
          <w:szCs w:val="20"/>
          <w:color w:val="auto"/>
        </w:rPr>
        <w:tab/>
      </w:r>
      <w:r>
        <w:rPr>
          <w:rFonts w:ascii="Arial" w:cs="Arial" w:eastAsia="Arial" w:hAnsi="Arial"/>
          <w:sz w:val="16"/>
          <w:szCs w:val="16"/>
          <w:color w:val="auto"/>
        </w:rPr>
        <w:t xml:space="preserve">In May 2020, our board of directors approved the Q1 Dividend, and we expect to make dividend payments of approximately US$158 million in aggregate on June 23, 2020 to shareholders of record as of the close of business on June 12, 2020. If you purchase our ordinary shares in the Global Offering, provided that the International Offering and Hong Kong Public Offering become unconditional, you will be entitled to receive the Q1 Dividend. If you purchase our ordinary shares through the open market after the Global Offering, you will not be entitled to receive the Q1 Dividend as our ordinary shares will begin trading </w:t>
      </w:r>
      <w:r>
        <w:rPr>
          <w:rFonts w:ascii="Arial" w:cs="Arial" w:eastAsia="Arial" w:hAnsi="Arial"/>
          <w:sz w:val="16"/>
          <w:szCs w:val="16"/>
          <w:i w:val="1"/>
          <w:iCs w:val="1"/>
          <w:color w:val="auto"/>
        </w:rPr>
        <w:t>ex-dividend</w:t>
      </w:r>
      <w:r>
        <w:rPr>
          <w:rFonts w:ascii="Arial" w:cs="Arial" w:eastAsia="Arial" w:hAnsi="Arial"/>
          <w:sz w:val="16"/>
          <w:szCs w:val="16"/>
          <w:color w:val="auto"/>
        </w:rPr>
        <w:t xml:space="preserve"> immediately after our listing on the Hong Kong Stock Exchange. See the section titled Dividend Policy" for more information.</w:t>
      </w:r>
    </w:p>
    <w:p>
      <w:pPr>
        <w:spacing w:after="0" w:line="200" w:lineRule="exact"/>
        <w:rPr>
          <w:sz w:val="20"/>
          <w:szCs w:val="20"/>
          <w:color w:val="auto"/>
        </w:rPr>
      </w:pPr>
    </w:p>
    <w:p>
      <w:pPr>
        <w:spacing w:after="0" w:line="2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80"/>
          </w:cols>
          <w:pgMar w:left="320" w:top="131" w:right="5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136130" cy="3458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6130" cy="345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31" w:lineRule="exact"/>
        <w:rPr>
          <w:sz w:val="20"/>
          <w:szCs w:val="20"/>
          <w:color w:val="auto"/>
        </w:rPr>
      </w:pPr>
    </w:p>
    <w:p>
      <w:pPr>
        <w:ind w:left="240" w:right="24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following selected consolidated statements of operations and comprehensive income data for the years ended December 31, 2017, 2018 and 2019 and selected consolidated balance sheet data as of December 31, 2018 and 2019 have been derived from our audited consolidated financial statements included in our </w:t>
      </w:r>
      <w:hyperlink r:id="rId33">
        <w:r>
          <w:rPr>
            <w:rFonts w:ascii="Arial" w:cs="Arial" w:eastAsia="Arial" w:hAnsi="Arial"/>
            <w:sz w:val="18"/>
            <w:szCs w:val="18"/>
            <w:u w:val="single" w:color="auto"/>
            <w:color w:val="0000EE"/>
          </w:rPr>
          <w:t>2019 Annual Report</w:t>
        </w:r>
      </w:hyperlink>
      <w:r>
        <w:rPr>
          <w:rFonts w:ascii="Arial" w:cs="Arial" w:eastAsia="Arial" w:hAnsi="Arial"/>
          <w:sz w:val="18"/>
          <w:szCs w:val="18"/>
          <w:color w:val="auto"/>
        </w:rPr>
        <w:t>, which is incorporated by reference.</w:t>
      </w:r>
    </w:p>
    <w:p>
      <w:pPr>
        <w:spacing w:after="0" w:line="194" w:lineRule="exact"/>
        <w:rPr>
          <w:sz w:val="20"/>
          <w:szCs w:val="20"/>
          <w:color w:val="auto"/>
        </w:rPr>
      </w:pPr>
    </w:p>
    <w:p>
      <w:pPr>
        <w:ind w:left="240" w:firstLine="348"/>
        <w:spacing w:after="0" w:line="291" w:lineRule="auto"/>
        <w:rPr>
          <w:rFonts w:ascii="Arial" w:cs="Arial" w:eastAsia="Arial" w:hAnsi="Arial"/>
          <w:sz w:val="16"/>
          <w:szCs w:val="16"/>
          <w:color w:val="0000EE"/>
        </w:rPr>
      </w:pPr>
      <w:r>
        <w:rPr>
          <w:rFonts w:ascii="Arial" w:cs="Arial" w:eastAsia="Arial" w:hAnsi="Arial"/>
          <w:sz w:val="16"/>
          <w:szCs w:val="16"/>
          <w:color w:val="auto"/>
        </w:rPr>
        <w:t xml:space="preserve">The following selected consolidated statements of operations and comprehensive income data for the three months ended March 31, 2019 and 2020 and the selected consolidated balance sheet data as of March 31, 2020 have been derived from our unaudited condensed interim consolidated financial </w:t>
      </w:r>
      <w:hyperlink r:id="rId49">
        <w:r>
          <w:rPr>
            <w:rFonts w:ascii="Arial" w:cs="Arial" w:eastAsia="Arial" w:hAnsi="Arial"/>
            <w:sz w:val="16"/>
            <w:szCs w:val="16"/>
            <w:color w:val="auto"/>
          </w:rPr>
          <w:t xml:space="preserve">statements for the three months ended March 31, 2019 and 2020 and as of March 31, 2020 included in </w:t>
        </w:r>
        <w:r>
          <w:rPr>
            <w:rFonts w:ascii="Arial" w:cs="Arial" w:eastAsia="Arial" w:hAnsi="Arial"/>
            <w:sz w:val="16"/>
            <w:szCs w:val="16"/>
            <w:u w:val="single" w:color="auto"/>
            <w:color w:val="0000EE"/>
          </w:rPr>
          <w:t>Exhibit 99.1, titled "Unaudited Condensed</w:t>
        </w:r>
      </w:hyperlink>
      <w:r>
        <w:rPr>
          <w:rFonts w:ascii="Arial" w:cs="Arial" w:eastAsia="Arial" w:hAnsi="Arial"/>
          <w:sz w:val="16"/>
          <w:szCs w:val="16"/>
          <w:color w:val="auto"/>
        </w:rPr>
        <w:t xml:space="preserve"> </w:t>
      </w:r>
      <w:hyperlink r:id="rId49">
        <w:r>
          <w:rPr>
            <w:rFonts w:ascii="Arial" w:cs="Arial" w:eastAsia="Arial" w:hAnsi="Arial"/>
            <w:sz w:val="16"/>
            <w:szCs w:val="16"/>
            <w:u w:val="single" w:color="auto"/>
            <w:color w:val="0000EE"/>
          </w:rPr>
          <w:t>Consolidated Financial Statements as of March 31, 2020 and for the three months ended March 31, 2019 and 2020," to our Form 6-K dated May 29,</w:t>
        </w:r>
      </w:hyperlink>
      <w:r>
        <w:rPr>
          <w:rFonts w:ascii="Arial" w:cs="Arial" w:eastAsia="Arial" w:hAnsi="Arial"/>
          <w:sz w:val="16"/>
          <w:szCs w:val="16"/>
          <w:u w:val="single" w:color="auto"/>
          <w:color w:val="0000EE"/>
        </w:rPr>
        <w:t xml:space="preserve"> </w:t>
      </w:r>
      <w:hyperlink r:id="rId49">
        <w:r>
          <w:rPr>
            <w:rFonts w:ascii="Arial" w:cs="Arial" w:eastAsia="Arial" w:hAnsi="Arial"/>
            <w:sz w:val="16"/>
            <w:szCs w:val="16"/>
            <w:u w:val="single" w:color="auto"/>
            <w:color w:val="0000EE"/>
          </w:rPr>
          <w:t>2020</w:t>
        </w:r>
        <w:r>
          <w:rPr>
            <w:rFonts w:ascii="Arial" w:cs="Arial" w:eastAsia="Arial" w:hAnsi="Arial"/>
            <w:sz w:val="16"/>
            <w:szCs w:val="16"/>
            <w:color w:val="000000"/>
          </w:rPr>
          <w:t xml:space="preserve">, which is incorporated by reference. The unaudited condensed interim consolidated financial information has been prepared on the same basis </w:t>
        </w:r>
      </w:hyperlink>
      <w:r>
        <w:rPr>
          <w:rFonts w:ascii="Arial" w:cs="Arial" w:eastAsia="Arial" w:hAnsi="Arial"/>
          <w:sz w:val="16"/>
          <w:szCs w:val="16"/>
          <w:color w:val="0000EE"/>
        </w:rPr>
        <w:t xml:space="preserve">as </w:t>
      </w:r>
      <w:r>
        <w:rPr>
          <w:rFonts w:ascii="Arial" w:cs="Arial" w:eastAsia="Arial" w:hAnsi="Arial"/>
          <w:sz w:val="16"/>
          <w:szCs w:val="16"/>
          <w:color w:val="000000"/>
        </w:rPr>
        <w:t>our audited consolidated financial statements.</w:t>
      </w:r>
    </w:p>
    <w:p>
      <w:pPr>
        <w:spacing w:after="0" w:line="174" w:lineRule="exact"/>
        <w:rPr>
          <w:rFonts w:ascii="Arial" w:cs="Arial" w:eastAsia="Arial" w:hAnsi="Arial"/>
          <w:sz w:val="16"/>
          <w:szCs w:val="16"/>
          <w:color w:val="auto"/>
        </w:rPr>
      </w:pPr>
    </w:p>
    <w:p>
      <w:pPr>
        <w:ind w:left="240" w:right="60" w:firstLine="344"/>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You should read the following information in conjunction with (1) our audited consolidated financial statements for the three years ended </w:t>
      </w:r>
      <w:hyperlink r:id="rId33">
        <w:r>
          <w:rPr>
            <w:rFonts w:ascii="Arial" w:cs="Arial" w:eastAsia="Arial" w:hAnsi="Arial"/>
            <w:sz w:val="18"/>
            <w:szCs w:val="18"/>
            <w:color w:val="auto"/>
          </w:rPr>
          <w:t xml:space="preserve">December 31, 2019 and as of December 31, 2018 and 2019 and related notes and "Item 5. Operating and Financial Review and Prospects" in our </w:t>
        </w:r>
        <w:r>
          <w:rPr>
            <w:rFonts w:ascii="Arial" w:cs="Arial" w:eastAsia="Arial" w:hAnsi="Arial"/>
            <w:sz w:val="18"/>
            <w:szCs w:val="18"/>
            <w:u w:val="single" w:color="auto"/>
            <w:color w:val="0000EE"/>
          </w:rPr>
          <w:t>2019</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Annual Report</w:t>
        </w:r>
        <w:r>
          <w:rPr>
            <w:rFonts w:ascii="Arial" w:cs="Arial" w:eastAsia="Arial" w:hAnsi="Arial"/>
            <w:sz w:val="18"/>
            <w:szCs w:val="18"/>
            <w:color w:val="000000"/>
          </w:rPr>
          <w:t>, (2) our unaudited condensed interim consolidated financial statements for the three months ended March 31, 2019 and 2020 and as of</w:t>
        </w:r>
      </w:hyperlink>
      <w:r>
        <w:rPr>
          <w:rFonts w:ascii="Arial" w:cs="Arial" w:eastAsia="Arial" w:hAnsi="Arial"/>
          <w:sz w:val="18"/>
          <w:szCs w:val="18"/>
          <w:color w:val="0000EE"/>
        </w:rPr>
        <w:t xml:space="preserve"> </w:t>
      </w:r>
      <w:hyperlink r:id="rId36">
        <w:r>
          <w:rPr>
            <w:rFonts w:ascii="Arial" w:cs="Arial" w:eastAsia="Arial" w:hAnsi="Arial"/>
            <w:sz w:val="18"/>
            <w:szCs w:val="18"/>
            <w:color w:val="000000"/>
          </w:rPr>
          <w:t xml:space="preserve">March 31, 2020 and related notes, and (3) "Financial Information" in </w:t>
        </w:r>
        <w:r>
          <w:rPr>
            <w:rFonts w:ascii="Arial" w:cs="Arial" w:eastAsia="Arial" w:hAnsi="Arial"/>
            <w:sz w:val="18"/>
            <w:szCs w:val="18"/>
            <w:u w:val="single" w:color="auto"/>
            <w:color w:val="0000EE"/>
          </w:rPr>
          <w:t>Exhibit 99.1, titled "NetEase, Inc. Supplemental and Updated Disclosures," to our</w:t>
        </w:r>
      </w:hyperlink>
      <w:r>
        <w:rPr>
          <w:rFonts w:ascii="Arial" w:cs="Arial" w:eastAsia="Arial" w:hAnsi="Arial"/>
          <w:sz w:val="18"/>
          <w:szCs w:val="18"/>
          <w:color w:val="000000"/>
        </w:rPr>
        <w:t xml:space="preserve"> </w:t>
      </w:r>
      <w:hyperlink r:id="rId36">
        <w:r>
          <w:rPr>
            <w:rFonts w:ascii="Arial" w:cs="Arial" w:eastAsia="Arial" w:hAnsi="Arial"/>
            <w:sz w:val="18"/>
            <w:szCs w:val="18"/>
            <w:u w:val="single" w:color="auto"/>
            <w:color w:val="0000EE"/>
          </w:rPr>
          <w:t>Form 6-K dated May 29, 2020</w:t>
        </w:r>
        <w:r>
          <w:rPr>
            <w:rFonts w:ascii="Arial" w:cs="Arial" w:eastAsia="Arial" w:hAnsi="Arial"/>
            <w:sz w:val="18"/>
            <w:szCs w:val="18"/>
            <w:color w:val="000000"/>
          </w:rPr>
          <w:t>, as well as the other financial information included elsewhere in this prospectus supplement or incorporated by reference</w:t>
        </w:r>
      </w:hyperlink>
      <w:r>
        <w:rPr>
          <w:rFonts w:ascii="Arial" w:cs="Arial" w:eastAsia="Arial" w:hAnsi="Arial"/>
          <w:sz w:val="18"/>
          <w:szCs w:val="18"/>
          <w:color w:val="0000EE"/>
        </w:rPr>
        <w:t xml:space="preserve"> </w:t>
      </w:r>
      <w:r>
        <w:rPr>
          <w:rFonts w:ascii="Arial" w:cs="Arial" w:eastAsia="Arial" w:hAnsi="Arial"/>
          <w:sz w:val="18"/>
          <w:szCs w:val="18"/>
          <w:color w:val="000000"/>
        </w:rPr>
        <w:t>in the accompanying prospectus.</w:t>
      </w:r>
    </w:p>
    <w:p>
      <w:pPr>
        <w:spacing w:after="0" w:line="198" w:lineRule="exact"/>
        <w:rPr>
          <w:rFonts w:ascii="Arial" w:cs="Arial" w:eastAsia="Arial" w:hAnsi="Arial"/>
          <w:sz w:val="18"/>
          <w:szCs w:val="18"/>
          <w:color w:val="0000EE"/>
        </w:rPr>
      </w:pPr>
    </w:p>
    <w:p>
      <w:pPr>
        <w:ind w:left="600"/>
        <w:spacing w:after="0"/>
        <w:rPr>
          <w:sz w:val="20"/>
          <w:szCs w:val="20"/>
          <w:color w:val="auto"/>
        </w:rPr>
      </w:pPr>
      <w:r>
        <w:rPr>
          <w:rFonts w:ascii="Arial" w:cs="Arial" w:eastAsia="Arial" w:hAnsi="Arial"/>
          <w:sz w:val="18"/>
          <w:szCs w:val="18"/>
          <w:color w:val="auto"/>
        </w:rPr>
        <w:t>Our consolidated financial statements have been prepared in accordance with U.S. GAAP.</w:t>
      </w:r>
    </w:p>
    <w:p>
      <w:pPr>
        <w:spacing w:after="0" w:line="200" w:lineRule="exact"/>
        <w:rPr>
          <w:rFonts w:ascii="Arial" w:cs="Arial" w:eastAsia="Arial" w:hAnsi="Arial"/>
          <w:sz w:val="18"/>
          <w:szCs w:val="18"/>
          <w:color w:val="0000EE"/>
        </w:rPr>
      </w:pPr>
    </w:p>
    <w:p>
      <w:pPr>
        <w:spacing w:after="0" w:line="200" w:lineRule="exact"/>
        <w:rPr>
          <w:rFonts w:ascii="Arial" w:cs="Arial" w:eastAsia="Arial" w:hAnsi="Arial"/>
          <w:sz w:val="18"/>
          <w:szCs w:val="18"/>
          <w:color w:val="0000EE"/>
        </w:rPr>
      </w:pPr>
    </w:p>
    <w:p>
      <w:pPr>
        <w:spacing w:after="0" w:line="284" w:lineRule="exact"/>
        <w:rPr>
          <w:rFonts w:ascii="Arial" w:cs="Arial" w:eastAsia="Arial" w:hAnsi="Arial"/>
          <w:sz w:val="18"/>
          <w:szCs w:val="18"/>
          <w:color w:val="0000EE"/>
        </w:rPr>
      </w:pPr>
    </w:p>
    <w:p>
      <w:pPr>
        <w:jc w:val="center"/>
        <w:ind w:right="-299"/>
        <w:spacing w:after="0"/>
        <w:rPr>
          <w:sz w:val="20"/>
          <w:szCs w:val="20"/>
          <w:color w:val="auto"/>
        </w:rPr>
      </w:pPr>
      <w:r>
        <w:rPr>
          <w:rFonts w:ascii="Arial" w:cs="Arial" w:eastAsia="Arial" w:hAnsi="Arial"/>
          <w:sz w:val="18"/>
          <w:szCs w:val="18"/>
          <w:color w:val="auto"/>
        </w:rPr>
        <w:t>S-20</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960"/>
          </w:cols>
          <w:pgMar w:left="320" w:top="131" w:right="6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9219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6130" cy="9219565"/>
                    </a:xfrm>
                    <a:prstGeom prst="rect">
                      <a:avLst/>
                    </a:prstGeom>
                    <a:noFill/>
                  </pic:spPr>
                </pic:pic>
              </a:graphicData>
            </a:graphic>
          </wp:anchor>
        </w:drawing>
      </w:r>
    </w:p>
    <w:p>
      <w:pPr>
        <w:sectPr>
          <w:pgSz w:w="11900" w:h="16838" w:orient="portrait"/>
          <w:cols w:equalWidth="0" w:num="1">
            <w:col w:w="11000"/>
          </w:cols>
          <w:pgMar w:left="320" w:top="131" w:right="579" w:bottom="8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our selected consolidated statements of operations and comprehensive income data for the periods indicated:</w:t>
      </w:r>
    </w:p>
    <w:p>
      <w:pPr>
        <w:spacing w:after="0" w:line="243"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1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For the year ended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8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3"/>
              </w:rPr>
              <w:t>For the three months ended</w:t>
            </w:r>
          </w:p>
        </w:tc>
      </w:tr>
      <w:tr>
        <w:trPr>
          <w:trHeight w:val="161"/>
        </w:trPr>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78"/>
              <w:spacing w:after="0"/>
              <w:rPr>
                <w:sz w:val="20"/>
                <w:szCs w:val="20"/>
                <w:color w:val="auto"/>
              </w:rPr>
            </w:pPr>
            <w:r>
              <w:rPr>
                <w:rFonts w:ascii="Arial" w:cs="Arial" w:eastAsia="Arial" w:hAnsi="Arial"/>
                <w:sz w:val="13"/>
                <w:szCs w:val="13"/>
                <w:b w:val="1"/>
                <w:bCs w:val="1"/>
                <w:color w:val="auto"/>
                <w:w w:val="92"/>
              </w:rPr>
              <w:t>December 31,</w:t>
            </w: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162"/>
              <w:spacing w:after="0"/>
              <w:rPr>
                <w:sz w:val="20"/>
                <w:szCs w:val="20"/>
                <w:color w:val="auto"/>
              </w:rPr>
            </w:pPr>
            <w:r>
              <w:rPr>
                <w:rFonts w:ascii="Arial" w:cs="Arial" w:eastAsia="Arial" w:hAnsi="Arial"/>
                <w:sz w:val="13"/>
                <w:szCs w:val="13"/>
                <w:b w:val="1"/>
                <w:bCs w:val="1"/>
                <w:color w:val="auto"/>
                <w:w w:val="99"/>
              </w:rPr>
              <w:t>March 31,</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89"/>
              </w:rPr>
              <w:t>2018</w:t>
            </w:r>
          </w:p>
        </w:tc>
        <w:tc>
          <w:tcPr>
            <w:tcW w:w="160" w:type="dxa"/>
            <w:vAlign w:val="bottom"/>
          </w:tcPr>
          <w:p>
            <w:pPr>
              <w:spacing w:after="0"/>
              <w:rPr>
                <w:sz w:val="12"/>
                <w:szCs w:val="12"/>
                <w:color w:val="auto"/>
              </w:rPr>
            </w:pPr>
          </w:p>
        </w:tc>
        <w:tc>
          <w:tcPr>
            <w:tcW w:w="940" w:type="dxa"/>
            <w:vAlign w:val="bottom"/>
          </w:tcPr>
          <w:p>
            <w:pPr>
              <w:jc w:val="right"/>
              <w:ind w:right="25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2"/>
                <w:szCs w:val="12"/>
                <w:color w:val="auto"/>
              </w:rPr>
            </w:pPr>
          </w:p>
        </w:tc>
      </w:tr>
      <w:tr>
        <w:trPr>
          <w:trHeight w:val="129"/>
        </w:trPr>
        <w:tc>
          <w:tcPr>
            <w:tcW w:w="1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USD</w:t>
            </w:r>
          </w:p>
        </w:tc>
        <w:tc>
          <w:tcPr>
            <w:tcW w:w="160" w:type="dxa"/>
            <w:vAlign w:val="bottom"/>
          </w:tcPr>
          <w:p>
            <w:pPr>
              <w:spacing w:after="0"/>
              <w:rPr>
                <w:sz w:val="11"/>
                <w:szCs w:val="11"/>
                <w:color w:val="auto"/>
              </w:rPr>
            </w:pPr>
          </w:p>
        </w:tc>
      </w:tr>
      <w:tr>
        <w:trPr>
          <w:trHeight w:val="148"/>
        </w:trPr>
        <w:tc>
          <w:tcPr>
            <w:tcW w:w="1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78"/>
              <w:spacing w:after="0"/>
              <w:rPr>
                <w:sz w:val="20"/>
                <w:szCs w:val="20"/>
                <w:color w:val="auto"/>
              </w:rPr>
            </w:pPr>
            <w:r>
              <w:rPr>
                <w:rFonts w:ascii="Arial" w:cs="Arial" w:eastAsia="Arial" w:hAnsi="Arial"/>
                <w:sz w:val="13"/>
                <w:szCs w:val="13"/>
                <w:b w:val="1"/>
                <w:bCs w:val="1"/>
                <w:color w:val="auto"/>
                <w:w w:val="96"/>
              </w:rPr>
              <w:t>(unaudited)</w:t>
            </w:r>
          </w:p>
        </w:tc>
        <w:tc>
          <w:tcPr>
            <w:tcW w:w="1040" w:type="dxa"/>
            <w:vAlign w:val="bottom"/>
            <w:gridSpan w:val="2"/>
          </w:tcPr>
          <w:p>
            <w:pPr>
              <w:jc w:val="center"/>
              <w:ind w:right="122"/>
              <w:spacing w:after="0"/>
              <w:rPr>
                <w:sz w:val="20"/>
                <w:szCs w:val="20"/>
                <w:color w:val="auto"/>
              </w:rPr>
            </w:pPr>
            <w:r>
              <w:rPr>
                <w:rFonts w:ascii="Arial" w:cs="Arial" w:eastAsia="Arial" w:hAnsi="Arial"/>
                <w:sz w:val="13"/>
                <w:szCs w:val="13"/>
                <w:b w:val="1"/>
                <w:bCs w:val="1"/>
                <w:color w:val="auto"/>
                <w:w w:val="96"/>
              </w:rPr>
              <w:t>(unaudited)</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(unaudited)</w:t>
            </w:r>
          </w:p>
        </w:tc>
      </w:tr>
      <w:tr>
        <w:trPr>
          <w:trHeight w:val="161"/>
        </w:trPr>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738"/>
              <w:spacing w:after="0"/>
              <w:rPr>
                <w:sz w:val="20"/>
                <w:szCs w:val="20"/>
                <w:color w:val="auto"/>
              </w:rPr>
            </w:pPr>
            <w:r>
              <w:rPr>
                <w:rFonts w:ascii="Arial" w:cs="Arial" w:eastAsia="Arial" w:hAnsi="Arial"/>
                <w:sz w:val="13"/>
                <w:szCs w:val="13"/>
                <w:b w:val="1"/>
                <w:bCs w:val="1"/>
                <w:color w:val="auto"/>
              </w:rPr>
              <w:t>(in thousands)</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Online games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36,281,642</w:t>
            </w:r>
          </w:p>
        </w:tc>
        <w:tc>
          <w:tcPr>
            <w:tcW w:w="60" w:type="dxa"/>
            <w:vAlign w:val="bottom"/>
          </w:tcPr>
          <w:p>
            <w:pPr>
              <w:spacing w:after="0"/>
              <w:rPr>
                <w:sz w:val="18"/>
                <w:szCs w:val="18"/>
                <w:color w:val="auto"/>
              </w:rPr>
            </w:pPr>
          </w:p>
        </w:tc>
        <w:tc>
          <w:tcPr>
            <w:tcW w:w="1180" w:type="dxa"/>
            <w:vAlign w:val="bottom"/>
            <w:gridSpan w:val="3"/>
          </w:tcPr>
          <w:p>
            <w:pPr>
              <w:jc w:val="right"/>
              <w:ind w:right="78"/>
              <w:spacing w:after="0"/>
              <w:rPr>
                <w:sz w:val="20"/>
                <w:szCs w:val="20"/>
                <w:color w:val="auto"/>
              </w:rPr>
            </w:pPr>
            <w:r>
              <w:rPr>
                <w:rFonts w:ascii="Arial" w:cs="Arial" w:eastAsia="Arial" w:hAnsi="Arial"/>
                <w:sz w:val="18"/>
                <w:szCs w:val="18"/>
                <w:color w:val="auto"/>
              </w:rPr>
              <w:t>40,190,057</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46,422,640</w:t>
            </w:r>
          </w:p>
        </w:tc>
        <w:tc>
          <w:tcPr>
            <w:tcW w:w="1040" w:type="dxa"/>
            <w:vAlign w:val="bottom"/>
            <w:gridSpan w:val="2"/>
          </w:tcPr>
          <w:p>
            <w:pPr>
              <w:jc w:val="right"/>
              <w:ind w:right="78"/>
              <w:spacing w:after="0"/>
              <w:rPr>
                <w:sz w:val="20"/>
                <w:szCs w:val="20"/>
                <w:color w:val="auto"/>
              </w:rPr>
            </w:pPr>
            <w:r>
              <w:rPr>
                <w:rFonts w:ascii="Arial" w:cs="Arial" w:eastAsia="Arial" w:hAnsi="Arial"/>
                <w:sz w:val="18"/>
                <w:szCs w:val="18"/>
                <w:color w:val="auto"/>
                <w:w w:val="95"/>
              </w:rPr>
              <w:t>11,850,184</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w w:val="95"/>
              </w:rPr>
              <w:t>13,518,244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1,909,141</w:t>
            </w: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Youdao</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455,746</w:t>
            </w: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rPr>
              <w:t>731,598</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1,304,883</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225,731</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541,388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76,459</w:t>
            </w:r>
          </w:p>
        </w:tc>
      </w:tr>
      <w:tr>
        <w:trPr>
          <w:trHeight w:val="208"/>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Innovative businesses and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340" w:type="dxa"/>
            <w:vAlign w:val="bottom"/>
            <w:gridSpan w:val="2"/>
          </w:tcPr>
          <w:p>
            <w:pPr>
              <w:ind w:left="320"/>
              <w:spacing w:after="0"/>
              <w:rPr>
                <w:sz w:val="20"/>
                <w:szCs w:val="20"/>
                <w:color w:val="auto"/>
              </w:rPr>
            </w:pPr>
            <w:r>
              <w:rPr>
                <w:rFonts w:ascii="Arial" w:cs="Arial" w:eastAsia="Arial" w:hAnsi="Arial"/>
                <w:sz w:val="18"/>
                <w:szCs w:val="18"/>
                <w:color w:val="auto"/>
              </w:rPr>
              <w:t>others</w:t>
            </w:r>
          </w:p>
        </w:tc>
        <w:tc>
          <w:tcPr>
            <w:tcW w:w="920" w:type="dxa"/>
            <w:vAlign w:val="bottom"/>
          </w:tcPr>
          <w:p>
            <w:pPr>
              <w:jc w:val="right"/>
              <w:spacing w:after="0"/>
              <w:rPr>
                <w:sz w:val="20"/>
                <w:szCs w:val="20"/>
                <w:color w:val="auto"/>
              </w:rPr>
            </w:pPr>
            <w:r>
              <w:rPr>
                <w:rFonts w:ascii="Arial" w:cs="Arial" w:eastAsia="Arial" w:hAnsi="Arial"/>
                <w:sz w:val="18"/>
                <w:szCs w:val="18"/>
                <w:color w:val="auto"/>
              </w:rPr>
              <w:t>7,699,967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10,256,920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11,513,622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2,346,294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3,002,735</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424,067</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44,437,355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51,178,575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59,241,145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14,422,209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17,062,367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2,409,667</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(19,394,314)</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(23,832,426)</w:t>
            </w:r>
          </w:p>
        </w:tc>
        <w:tc>
          <w:tcPr>
            <w:tcW w:w="4180" w:type="dxa"/>
            <w:vAlign w:val="bottom"/>
            <w:gridSpan w:val="8"/>
          </w:tcPr>
          <w:p>
            <w:pPr>
              <w:jc w:val="right"/>
              <w:ind w:right="100"/>
              <w:spacing w:after="0"/>
              <w:rPr>
                <w:sz w:val="20"/>
                <w:szCs w:val="20"/>
                <w:color w:val="auto"/>
              </w:rPr>
            </w:pPr>
            <w:r>
              <w:rPr>
                <w:rFonts w:ascii="Arial" w:cs="Arial" w:eastAsia="Arial" w:hAnsi="Arial"/>
                <w:sz w:val="18"/>
                <w:szCs w:val="18"/>
                <w:color w:val="auto"/>
                <w:w w:val="97"/>
              </w:rPr>
              <w:t>(27,685,845)   (6,684,535)   (7,684,745)  (1,085,293)</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25,043,041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27,346,149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31,555,300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7,737,674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9,377,622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1,324,374</w:t>
            </w:r>
          </w:p>
        </w:tc>
      </w:tr>
      <w:tr>
        <w:trPr>
          <w:trHeight w:val="209"/>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(5,504,613)</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(6,911,710)</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(6,221,127)</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9"/>
              </w:rPr>
              <w:t>(1,158,090)</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7"/>
              </w:rPr>
              <w:t>(1,863,071)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(263,116)</w:t>
            </w:r>
          </w:p>
        </w:tc>
      </w:tr>
      <w:tr>
        <w:trPr>
          <w:trHeight w:val="208"/>
        </w:trPr>
        <w:tc>
          <w:tcPr>
            <w:tcW w:w="23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(2,381,842)</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(3,078,635)</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(3,130,298)</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rPr>
              <w:t>(786,850)</w:t>
            </w:r>
          </w:p>
        </w:tc>
        <w:tc>
          <w:tcPr>
            <w:tcW w:w="1040" w:type="dxa"/>
            <w:vAlign w:val="bottom"/>
            <w:gridSpan w:val="2"/>
          </w:tcPr>
          <w:p>
            <w:pPr>
              <w:jc w:val="right"/>
              <w:ind w:right="82"/>
              <w:spacing w:after="0"/>
              <w:rPr>
                <w:sz w:val="20"/>
                <w:szCs w:val="20"/>
                <w:color w:val="auto"/>
              </w:rPr>
            </w:pPr>
            <w:r>
              <w:rPr>
                <w:rFonts w:ascii="Arial" w:cs="Arial" w:eastAsia="Arial" w:hAnsi="Arial"/>
                <w:sz w:val="18"/>
                <w:szCs w:val="18"/>
                <w:color w:val="auto"/>
              </w:rPr>
              <w:t>(885,434)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(125,047)</w:t>
            </w: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(4,161,673)</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(7,378,460)</w:t>
            </w:r>
          </w:p>
        </w:tc>
        <w:tc>
          <w:tcPr>
            <w:tcW w:w="3180" w:type="dxa"/>
            <w:vAlign w:val="bottom"/>
            <w:gridSpan w:val="6"/>
            <w:shd w:val="clear" w:color="auto" w:fill="CCEEFF"/>
          </w:tcPr>
          <w:p>
            <w:pPr>
              <w:jc w:val="right"/>
              <w:ind w:right="82"/>
              <w:spacing w:after="0"/>
              <w:rPr>
                <w:sz w:val="20"/>
                <w:szCs w:val="20"/>
                <w:color w:val="auto"/>
              </w:rPr>
            </w:pPr>
            <w:r>
              <w:rPr>
                <w:rFonts w:ascii="Arial" w:cs="Arial" w:eastAsia="Arial" w:hAnsi="Arial"/>
                <w:sz w:val="18"/>
                <w:szCs w:val="18"/>
                <w:color w:val="auto"/>
                <w:w w:val="99"/>
              </w:rPr>
              <w:t>(8,413,224)   (2,037,694)   (2,142,649)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(302,600)</w:t>
            </w:r>
          </w:p>
        </w:tc>
      </w:tr>
      <w:tr>
        <w:trPr>
          <w:trHeight w:val="209"/>
        </w:trPr>
        <w:tc>
          <w:tcPr>
            <w:tcW w:w="23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(12,048,128</w:t>
            </w: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(17,368,805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(17,764,649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(3,982,634</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(4,891,154</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(690,763)</w:t>
            </w:r>
          </w:p>
        </w:tc>
        <w:tc>
          <w:tcPr>
            <w:tcW w:w="160" w:type="dxa"/>
            <w:vAlign w:val="bottom"/>
          </w:tcPr>
          <w:p>
            <w:pPr>
              <w:spacing w:after="0"/>
              <w:rPr>
                <w:sz w:val="18"/>
                <w:szCs w:val="18"/>
                <w:color w:val="auto"/>
              </w:rPr>
            </w:pPr>
          </w:p>
        </w:tc>
      </w:tr>
      <w:tr>
        <w:trPr>
          <w:trHeight w:val="21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12,994,913</w:t>
            </w: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9,977,344</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13,790,651</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3,755,040</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4,486,468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633,611</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income/(losses),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362,113</w:t>
            </w:r>
          </w:p>
        </w:tc>
        <w:tc>
          <w:tcPr>
            <w:tcW w:w="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(22,383)</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1,306,320</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155,824</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(109,731)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(15,497)</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666,616</w:t>
            </w:r>
          </w:p>
        </w:tc>
        <w:tc>
          <w:tcPr>
            <w:tcW w:w="60" w:type="dxa"/>
            <w:vAlign w:val="bottom"/>
          </w:tcPr>
          <w:p>
            <w:pPr>
              <w:spacing w:after="0"/>
              <w:rPr>
                <w:sz w:val="18"/>
                <w:szCs w:val="18"/>
                <w:color w:val="auto"/>
              </w:rPr>
            </w:pPr>
          </w:p>
        </w:tc>
        <w:tc>
          <w:tcPr>
            <w:tcW w:w="1180" w:type="dxa"/>
            <w:vAlign w:val="bottom"/>
            <w:gridSpan w:val="3"/>
          </w:tcPr>
          <w:p>
            <w:pPr>
              <w:jc w:val="right"/>
              <w:ind w:right="78"/>
              <w:spacing w:after="0"/>
              <w:rPr>
                <w:sz w:val="20"/>
                <w:szCs w:val="20"/>
                <w:color w:val="auto"/>
              </w:rPr>
            </w:pPr>
            <w:r>
              <w:rPr>
                <w:rFonts w:ascii="Arial" w:cs="Arial" w:eastAsia="Arial" w:hAnsi="Arial"/>
                <w:sz w:val="18"/>
                <w:szCs w:val="18"/>
                <w:color w:val="auto"/>
              </w:rPr>
              <w:t>586,671</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821,774</w:t>
            </w:r>
          </w:p>
        </w:tc>
        <w:tc>
          <w:tcPr>
            <w:tcW w:w="1040" w:type="dxa"/>
            <w:vAlign w:val="bottom"/>
            <w:gridSpan w:val="2"/>
          </w:tcPr>
          <w:p>
            <w:pPr>
              <w:jc w:val="right"/>
              <w:ind w:right="78"/>
              <w:spacing w:after="0"/>
              <w:rPr>
                <w:sz w:val="20"/>
                <w:szCs w:val="20"/>
                <w:color w:val="auto"/>
              </w:rPr>
            </w:pPr>
            <w:r>
              <w:rPr>
                <w:rFonts w:ascii="Arial" w:cs="Arial" w:eastAsia="Arial" w:hAnsi="Arial"/>
                <w:sz w:val="18"/>
                <w:szCs w:val="18"/>
                <w:color w:val="auto"/>
              </w:rPr>
              <w:t>172,206</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rPr>
              <w:t>345,184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48,749</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(losses)/gains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(455,948)</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(51,799)</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25,166</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(39,520)</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244,057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34,467</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920" w:type="dxa"/>
            <w:vAlign w:val="bottom"/>
          </w:tcPr>
          <w:p>
            <w:pPr>
              <w:jc w:val="right"/>
              <w:spacing w:after="0"/>
              <w:rPr>
                <w:sz w:val="20"/>
                <w:szCs w:val="20"/>
                <w:color w:val="auto"/>
              </w:rPr>
            </w:pPr>
            <w:r>
              <w:rPr>
                <w:rFonts w:ascii="Arial" w:cs="Arial" w:eastAsia="Arial" w:hAnsi="Arial"/>
                <w:sz w:val="18"/>
                <w:szCs w:val="18"/>
                <w:color w:val="auto"/>
              </w:rPr>
              <w:t>271,885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586,916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439,422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37,164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66,708</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9,421</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13,839,579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11,076,749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16,383,333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4,080,714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5,032,686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710,751</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(2,155,988)</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(2,460,650)</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(2,914,726)</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w w:val="99"/>
              </w:rPr>
              <w:t>(1,266,685)</w:t>
            </w:r>
          </w:p>
        </w:tc>
        <w:tc>
          <w:tcPr>
            <w:tcW w:w="1040" w:type="dxa"/>
            <w:vAlign w:val="bottom"/>
            <w:gridSpan w:val="2"/>
          </w:tcPr>
          <w:p>
            <w:pPr>
              <w:jc w:val="right"/>
              <w:ind w:right="82"/>
              <w:spacing w:after="0"/>
              <w:rPr>
                <w:sz w:val="20"/>
                <w:szCs w:val="20"/>
                <w:color w:val="auto"/>
              </w:rPr>
            </w:pPr>
            <w:r>
              <w:rPr>
                <w:rFonts w:ascii="Arial" w:cs="Arial" w:eastAsia="Arial" w:hAnsi="Arial"/>
                <w:sz w:val="18"/>
                <w:szCs w:val="18"/>
                <w:color w:val="auto"/>
                <w:w w:val="97"/>
              </w:rPr>
              <w:t>(1,082,033)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(152,812)</w:t>
            </w:r>
          </w:p>
        </w:tc>
      </w:tr>
      <w:tr>
        <w:trPr>
          <w:trHeight w:val="201"/>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from continuing</w:t>
            </w: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11,683,591</w:t>
            </w:r>
          </w:p>
        </w:tc>
        <w:tc>
          <w:tcPr>
            <w:tcW w:w="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rPr>
              <w:t>8,616,099</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13,468,607</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2,814,029</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3,950,653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557,939</w:t>
            </w:r>
          </w:p>
        </w:tc>
      </w:tr>
      <w:tr>
        <w:trPr>
          <w:trHeight w:val="209"/>
        </w:trPr>
        <w:tc>
          <w:tcPr>
            <w:tcW w:w="2340" w:type="dxa"/>
            <w:vAlign w:val="bottom"/>
            <w:gridSpan w:val="2"/>
          </w:tcPr>
          <w:p>
            <w:pPr>
              <w:spacing w:after="0"/>
              <w:rPr>
                <w:sz w:val="20"/>
                <w:szCs w:val="20"/>
                <w:color w:val="auto"/>
              </w:rPr>
            </w:pPr>
            <w:r>
              <w:rPr>
                <w:rFonts w:ascii="Arial" w:cs="Arial" w:eastAsia="Arial" w:hAnsi="Arial"/>
                <w:sz w:val="18"/>
                <w:szCs w:val="18"/>
                <w:color w:val="auto"/>
              </w:rPr>
              <w:t>Net (loss)/income from</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4"/>
        </w:trPr>
        <w:tc>
          <w:tcPr>
            <w:tcW w:w="234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discontinued operations</w:t>
            </w:r>
            <w:r>
              <w:rPr>
                <w:rFonts w:ascii="Arial" w:cs="Arial" w:eastAsia="Arial" w:hAnsi="Arial"/>
                <w:sz w:val="29"/>
                <w:szCs w:val="29"/>
                <w:color w:val="auto"/>
                <w:vertAlign w:val="superscript"/>
              </w:rPr>
              <w:t>(1)</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(834,454)</w:t>
            </w:r>
          </w:p>
        </w:tc>
        <w:tc>
          <w:tcPr>
            <w:tcW w:w="1180" w:type="dxa"/>
            <w:vAlign w:val="bottom"/>
            <w:gridSpan w:val="3"/>
          </w:tcPr>
          <w:p>
            <w:pPr>
              <w:jc w:val="right"/>
              <w:ind w:right="18"/>
              <w:spacing w:after="0"/>
              <w:rPr>
                <w:sz w:val="20"/>
                <w:szCs w:val="20"/>
                <w:color w:val="auto"/>
              </w:rPr>
            </w:pPr>
            <w:r>
              <w:rPr>
                <w:rFonts w:ascii="Arial" w:cs="Arial" w:eastAsia="Arial" w:hAnsi="Arial"/>
                <w:sz w:val="18"/>
                <w:szCs w:val="18"/>
                <w:color w:val="auto"/>
              </w:rPr>
              <w:t>(2,138,682)</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auto"/>
              </w:rPr>
              <w:t>7,962,519</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rPr>
              <w:t>(350,755)</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10,849,137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6,477,417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21,431,126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2,463,274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3,950,653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557,939</w:t>
            </w: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Other comprehensive</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9"/>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income</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9"/>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losses on</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available-for-sale securities,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(23,321)</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34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340" w:type="dxa"/>
            <w:vAlign w:val="bottom"/>
            <w:gridSpan w:val="2"/>
          </w:tcPr>
          <w:p>
            <w:pPr>
              <w:ind w:left="160"/>
              <w:spacing w:after="0"/>
              <w:rPr>
                <w:sz w:val="20"/>
                <w:szCs w:val="20"/>
                <w:color w:val="auto"/>
              </w:rPr>
            </w:pPr>
            <w:r>
              <w:rPr>
                <w:rFonts w:ascii="Arial" w:cs="Arial" w:eastAsia="Arial" w:hAnsi="Arial"/>
                <w:sz w:val="18"/>
                <w:szCs w:val="18"/>
                <w:color w:val="auto"/>
              </w:rPr>
              <w:t>adjustment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(1,573)</w:t>
            </w:r>
          </w:p>
        </w:tc>
        <w:tc>
          <w:tcPr>
            <w:tcW w:w="1180" w:type="dxa"/>
            <w:vAlign w:val="bottom"/>
            <w:gridSpan w:val="3"/>
          </w:tcPr>
          <w:p>
            <w:pPr>
              <w:jc w:val="right"/>
              <w:ind w:right="78"/>
              <w:spacing w:after="0"/>
              <w:rPr>
                <w:sz w:val="20"/>
                <w:szCs w:val="20"/>
                <w:color w:val="auto"/>
              </w:rPr>
            </w:pPr>
            <w:r>
              <w:rPr>
                <w:rFonts w:ascii="Arial" w:cs="Arial" w:eastAsia="Arial" w:hAnsi="Arial"/>
                <w:sz w:val="18"/>
                <w:szCs w:val="18"/>
                <w:color w:val="auto"/>
              </w:rPr>
              <w:t>18,624</w:t>
            </w:r>
          </w:p>
        </w:tc>
        <w:tc>
          <w:tcPr>
            <w:tcW w:w="1100" w:type="dxa"/>
            <w:vAlign w:val="bottom"/>
            <w:gridSpan w:val="2"/>
          </w:tcPr>
          <w:p>
            <w:pPr>
              <w:jc w:val="right"/>
              <w:ind w:right="18"/>
              <w:spacing w:after="0"/>
              <w:rPr>
                <w:sz w:val="20"/>
                <w:szCs w:val="20"/>
                <w:color w:val="auto"/>
              </w:rPr>
            </w:pPr>
            <w:r>
              <w:rPr>
                <w:rFonts w:ascii="Arial" w:cs="Arial" w:eastAsia="Arial" w:hAnsi="Arial"/>
                <w:sz w:val="18"/>
                <w:szCs w:val="18"/>
                <w:color w:val="auto"/>
              </w:rPr>
              <w:t>(93,774)</w:t>
            </w:r>
          </w:p>
        </w:tc>
        <w:tc>
          <w:tcPr>
            <w:tcW w:w="1040" w:type="dxa"/>
            <w:vAlign w:val="bottom"/>
            <w:gridSpan w:val="2"/>
          </w:tcPr>
          <w:p>
            <w:pPr>
              <w:jc w:val="right"/>
              <w:ind w:right="18"/>
              <w:spacing w:after="0"/>
              <w:rPr>
                <w:sz w:val="20"/>
                <w:szCs w:val="20"/>
                <w:color w:val="auto"/>
              </w:rPr>
            </w:pPr>
            <w:r>
              <w:rPr>
                <w:rFonts w:ascii="Arial" w:cs="Arial" w:eastAsia="Arial" w:hAnsi="Arial"/>
                <w:sz w:val="18"/>
                <w:szCs w:val="18"/>
                <w:color w:val="auto"/>
              </w:rPr>
              <w:t>(58,761)</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color w:val="auto"/>
              </w:rPr>
              <w:t>150,103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21,099</w:t>
            </w:r>
          </w:p>
        </w:tc>
      </w:tr>
      <w:tr>
        <w:trPr>
          <w:trHeight w:val="196"/>
        </w:trPr>
        <w:tc>
          <w:tcPr>
            <w:tcW w:w="2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other comprehensive</w:t>
            </w: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(loss)/income</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(24,894)</w:t>
            </w:r>
          </w:p>
        </w:tc>
        <w:tc>
          <w:tcPr>
            <w:tcW w:w="118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18,624</w:t>
            </w:r>
          </w:p>
        </w:tc>
        <w:tc>
          <w:tcPr>
            <w:tcW w:w="11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(93,774)</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(58,761)</w:t>
            </w:r>
          </w:p>
        </w:tc>
        <w:tc>
          <w:tcPr>
            <w:tcW w:w="10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b w:val="1"/>
                <w:bCs w:val="1"/>
                <w:color w:val="auto"/>
              </w:rPr>
              <w:t>150,103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21,199</w:t>
            </w:r>
          </w:p>
        </w:tc>
      </w:tr>
      <w:tr>
        <w:trPr>
          <w:trHeight w:val="210"/>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highlight w:val="white"/>
                <w:w w:val="93"/>
              </w:rPr>
              <w:t>Total comprehensive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10,824,243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6,496,041</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21,337,352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2,404,513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4,100,756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579,138</w:t>
            </w:r>
          </w:p>
        </w:tc>
        <w:tc>
          <w:tcPr>
            <w:tcW w:w="160" w:type="dxa"/>
            <w:vAlign w:val="bottom"/>
          </w:tcPr>
          <w:p>
            <w:pPr>
              <w:spacing w:after="0"/>
              <w:rPr>
                <w:sz w:val="18"/>
                <w:szCs w:val="18"/>
                <w:color w:val="auto"/>
              </w:rPr>
            </w:pPr>
          </w:p>
        </w:tc>
      </w:tr>
      <w:tr>
        <w:trPr>
          <w:trHeight w:val="201"/>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Comprehensive (income)/ loss</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attributable to</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noncontrolling interests and</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redeemable noncontrolling</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(141,198)</w:t>
            </w:r>
          </w:p>
        </w:tc>
        <w:tc>
          <w:tcPr>
            <w:tcW w:w="11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(76,912)</w:t>
            </w:r>
          </w:p>
        </w:tc>
        <w:tc>
          <w:tcPr>
            <w:tcW w:w="11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83,685</w:t>
            </w:r>
          </w:p>
        </w:tc>
        <w:tc>
          <w:tcPr>
            <w:tcW w:w="10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(12,373)</w:t>
            </w:r>
          </w:p>
        </w:tc>
        <w:tc>
          <w:tcPr>
            <w:tcW w:w="10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(22,830)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r>
      <w:tr>
        <w:trPr>
          <w:trHeight w:val="195"/>
        </w:trPr>
        <w:tc>
          <w:tcPr>
            <w:tcW w:w="23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Comprehensive income</w:t>
            </w: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attributable to</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NetEase, Inc.'s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3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shareholders</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10,683,045</w:t>
            </w:r>
          </w:p>
        </w:tc>
        <w:tc>
          <w:tcPr>
            <w:tcW w:w="60" w:type="dxa"/>
            <w:vAlign w:val="bottom"/>
          </w:tcPr>
          <w:p>
            <w:pPr>
              <w:spacing w:after="0"/>
              <w:rPr>
                <w:sz w:val="19"/>
                <w:szCs w:val="19"/>
                <w:color w:val="auto"/>
              </w:rPr>
            </w:pPr>
          </w:p>
        </w:tc>
        <w:tc>
          <w:tcPr>
            <w:tcW w:w="1180" w:type="dxa"/>
            <w:vAlign w:val="bottom"/>
            <w:gridSpan w:val="3"/>
          </w:tcPr>
          <w:p>
            <w:pPr>
              <w:jc w:val="right"/>
              <w:ind w:right="78"/>
              <w:spacing w:after="0"/>
              <w:rPr>
                <w:sz w:val="20"/>
                <w:szCs w:val="20"/>
                <w:color w:val="auto"/>
              </w:rPr>
            </w:pPr>
            <w:r>
              <w:rPr>
                <w:rFonts w:ascii="Arial" w:cs="Arial" w:eastAsia="Arial" w:hAnsi="Arial"/>
                <w:sz w:val="18"/>
                <w:szCs w:val="18"/>
                <w:b w:val="1"/>
                <w:bCs w:val="1"/>
                <w:color w:val="auto"/>
              </w:rPr>
              <w:t>6,419,129</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21,421,037</w:t>
            </w:r>
          </w:p>
        </w:tc>
        <w:tc>
          <w:tcPr>
            <w:tcW w:w="104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rPr>
              <w:t>2,392,140</w:t>
            </w:r>
          </w:p>
        </w:tc>
        <w:tc>
          <w:tcPr>
            <w:tcW w:w="1040" w:type="dxa"/>
            <w:vAlign w:val="bottom"/>
            <w:gridSpan w:val="2"/>
          </w:tcPr>
          <w:p>
            <w:pPr>
              <w:jc w:val="right"/>
              <w:ind w:right="122"/>
              <w:spacing w:after="0"/>
              <w:rPr>
                <w:sz w:val="20"/>
                <w:szCs w:val="20"/>
                <w:color w:val="auto"/>
              </w:rPr>
            </w:pPr>
            <w:r>
              <w:rPr>
                <w:rFonts w:ascii="Arial" w:cs="Arial" w:eastAsia="Arial" w:hAnsi="Arial"/>
                <w:sz w:val="18"/>
                <w:szCs w:val="18"/>
                <w:b w:val="1"/>
                <w:bCs w:val="1"/>
                <w:color w:val="auto"/>
              </w:rPr>
              <w:t>4,077,926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575,914</w:t>
            </w:r>
          </w:p>
        </w:tc>
      </w:tr>
      <w:tr>
        <w:trPr>
          <w:trHeight w:val="20"/>
        </w:trPr>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90"/>
        </w:trPr>
        <w:tc>
          <w:tcPr>
            <w:tcW w:w="15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0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Note:</w:t>
      </w:r>
    </w:p>
    <w:p>
      <w:pPr>
        <w:spacing w:after="0" w:line="252" w:lineRule="exact"/>
        <w:rPr>
          <w:sz w:val="20"/>
          <w:szCs w:val="20"/>
          <w:color w:val="auto"/>
        </w:rPr>
      </w:pPr>
    </w:p>
    <w:p>
      <w:pPr>
        <w:ind w:left="1860" w:hanging="542"/>
        <w:spacing w:after="0" w:line="306" w:lineRule="auto"/>
        <w:tabs>
          <w:tab w:leader="none" w:pos="1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September 6, 2019, we entered into an agreement with a subsidiary of Alibaba Group Holding Limited to sell our e-commerce platform Kaola for approximately US$1.9 billion. Following the completion of the transaction, Kaola was deconsolidated and its historical financial results were accordingly reflected in our consolidated financial statements as discontinued operations.</w:t>
      </w:r>
    </w:p>
    <w:p>
      <w:pPr>
        <w:sectPr>
          <w:pgSz w:w="11900" w:h="16838" w:orient="portrait"/>
          <w:cols w:equalWidth="0" w:num="1">
            <w:col w:w="11000"/>
          </w:cols>
          <w:pgMar w:left="320" w:top="131" w:right="579" w:bottom="8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13613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131" w:right="579" w:bottom="809"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4701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6130" cy="470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our selected consolidated balance sheet data as of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As of December 31,</w:t>
            </w:r>
          </w:p>
        </w:tc>
        <w:tc>
          <w:tcPr>
            <w:tcW w:w="160" w:type="dxa"/>
            <w:vAlign w:val="bottom"/>
          </w:tcPr>
          <w:p>
            <w:pPr>
              <w:spacing w:after="0"/>
              <w:rPr>
                <w:sz w:val="14"/>
                <w:szCs w:val="14"/>
                <w:color w:val="auto"/>
              </w:rPr>
            </w:pPr>
          </w:p>
        </w:tc>
        <w:tc>
          <w:tcPr>
            <w:tcW w:w="3560" w:type="dxa"/>
            <w:vAlign w:val="bottom"/>
            <w:gridSpan w:val="5"/>
          </w:tcPr>
          <w:p>
            <w:pPr>
              <w:ind w:left="580"/>
              <w:spacing w:after="0"/>
              <w:rPr>
                <w:sz w:val="20"/>
                <w:szCs w:val="20"/>
                <w:color w:val="auto"/>
              </w:rPr>
            </w:pPr>
            <w:r>
              <w:rPr>
                <w:rFonts w:ascii="Arial" w:cs="Arial" w:eastAsia="Arial" w:hAnsi="Arial"/>
                <w:sz w:val="13"/>
                <w:szCs w:val="13"/>
                <w:b w:val="1"/>
                <w:bCs w:val="1"/>
                <w:color w:val="auto"/>
              </w:rPr>
              <w:t>As of March 31,</w:t>
            </w:r>
          </w:p>
        </w:tc>
      </w:tr>
      <w:tr>
        <w:trPr>
          <w:trHeight w:val="142"/>
        </w:trPr>
        <w:tc>
          <w:tcPr>
            <w:tcW w:w="1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2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3"/>
                <w:szCs w:val="13"/>
                <w:b w:val="1"/>
                <w:bCs w:val="1"/>
                <w:color w:val="auto"/>
              </w:rPr>
              <w:t>2018</w:t>
            </w:r>
          </w:p>
        </w:tc>
        <w:tc>
          <w:tcPr>
            <w:tcW w:w="11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2020</w:t>
            </w:r>
          </w:p>
        </w:tc>
        <w:tc>
          <w:tcPr>
            <w:tcW w:w="1080" w:type="dxa"/>
            <w:vAlign w:val="bottom"/>
            <w:tcBorders>
              <w:top w:val="single" w:sz="8" w:color="auto"/>
            </w:tcBorders>
            <w:gridSpan w:val="2"/>
          </w:tcPr>
          <w:p>
            <w:pPr>
              <w:jc w:val="center"/>
              <w:ind w:left="73"/>
              <w:spacing w:after="0" w:line="142" w:lineRule="exact"/>
              <w:rPr>
                <w:sz w:val="20"/>
                <w:szCs w:val="20"/>
                <w:color w:val="auto"/>
              </w:rPr>
            </w:pPr>
            <w:r>
              <w:rPr>
                <w:rFonts w:ascii="Arial" w:cs="Arial" w:eastAsia="Arial" w:hAnsi="Arial"/>
                <w:sz w:val="13"/>
                <w:szCs w:val="13"/>
                <w:b w:val="1"/>
                <w:bCs w:val="1"/>
                <w:color w:val="auto"/>
                <w:w w:val="96"/>
              </w:rPr>
              <w:t>2020</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29"/>
        </w:trPr>
        <w:tc>
          <w:tcPr>
            <w:tcW w:w="13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020" w:type="dxa"/>
            <w:vAlign w:val="bottom"/>
            <w:tcBorders>
              <w:top w:val="single" w:sz="8" w:color="auto"/>
            </w:tcBorders>
          </w:tcPr>
          <w:p>
            <w:pPr>
              <w:jc w:val="right"/>
              <w:ind w:right="275"/>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020" w:type="dxa"/>
            <w:vAlign w:val="bottom"/>
            <w:tcBorders>
              <w:top w:val="single" w:sz="8" w:color="auto"/>
            </w:tcBorders>
          </w:tcPr>
          <w:p>
            <w:pPr>
              <w:jc w:val="right"/>
              <w:ind w:right="280"/>
              <w:spacing w:after="0" w:line="12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USD</w:t>
            </w:r>
          </w:p>
        </w:tc>
        <w:tc>
          <w:tcPr>
            <w:tcW w:w="1480" w:type="dxa"/>
            <w:vAlign w:val="bottom"/>
            <w:gridSpan w:val="2"/>
          </w:tcPr>
          <w:p>
            <w:pPr>
              <w:spacing w:after="0"/>
              <w:rPr>
                <w:sz w:val="11"/>
                <w:szCs w:val="11"/>
                <w:color w:val="auto"/>
              </w:rPr>
            </w:pPr>
          </w:p>
        </w:tc>
      </w:tr>
      <w:tr>
        <w:trPr>
          <w:trHeight w:val="148"/>
        </w:trPr>
        <w:tc>
          <w:tcPr>
            <w:tcW w:w="13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(Unaudited)</w:t>
            </w:r>
          </w:p>
        </w:tc>
        <w:tc>
          <w:tcPr>
            <w:tcW w:w="180" w:type="dxa"/>
            <w:vAlign w:val="bottom"/>
          </w:tcPr>
          <w:p>
            <w:pPr>
              <w:spacing w:after="0"/>
              <w:rPr>
                <w:sz w:val="12"/>
                <w:szCs w:val="12"/>
                <w:color w:val="auto"/>
              </w:rPr>
            </w:pPr>
          </w:p>
        </w:tc>
        <w:tc>
          <w:tcPr>
            <w:tcW w:w="2380" w:type="dxa"/>
            <w:vAlign w:val="bottom"/>
            <w:gridSpan w:val="3"/>
          </w:tcPr>
          <w:p>
            <w:pPr>
              <w:jc w:val="center"/>
              <w:ind w:right="1480"/>
              <w:spacing w:after="0"/>
              <w:rPr>
                <w:sz w:val="20"/>
                <w:szCs w:val="20"/>
                <w:color w:val="auto"/>
              </w:rPr>
            </w:pPr>
            <w:r>
              <w:rPr>
                <w:rFonts w:ascii="Arial" w:cs="Arial" w:eastAsia="Arial" w:hAnsi="Arial"/>
                <w:sz w:val="13"/>
                <w:szCs w:val="13"/>
                <w:b w:val="1"/>
                <w:bCs w:val="1"/>
                <w:color w:val="auto"/>
                <w:w w:val="96"/>
              </w:rPr>
              <w:t>(Unaudited)</w:t>
            </w:r>
          </w:p>
        </w:tc>
      </w:tr>
      <w:tr>
        <w:trPr>
          <w:trHeight w:val="161"/>
        </w:trPr>
        <w:tc>
          <w:tcPr>
            <w:tcW w:w="13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3"/>
          </w:tcPr>
          <w:p>
            <w:pPr>
              <w:jc w:val="right"/>
              <w:ind w:right="644"/>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4,977,432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3,246,373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5,592,847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789,861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Time deposits-current</w:t>
            </w:r>
          </w:p>
        </w:tc>
        <w:tc>
          <w:tcPr>
            <w:tcW w:w="1020" w:type="dxa"/>
            <w:vAlign w:val="bottom"/>
          </w:tcPr>
          <w:p>
            <w:pPr>
              <w:jc w:val="right"/>
              <w:spacing w:after="0"/>
              <w:rPr>
                <w:sz w:val="20"/>
                <w:szCs w:val="20"/>
                <w:color w:val="auto"/>
              </w:rPr>
            </w:pPr>
            <w:r>
              <w:rPr>
                <w:rFonts w:ascii="Arial" w:cs="Arial" w:eastAsia="Arial" w:hAnsi="Arial"/>
                <w:sz w:val="18"/>
                <w:szCs w:val="18"/>
                <w:color w:val="auto"/>
              </w:rPr>
              <w:t>32,900,287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53,487,075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50,515,092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7,134,094</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cash-current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4,692,050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3,150,354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3,507,105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495,298</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jc w:val="right"/>
              <w:spacing w:after="0"/>
              <w:rPr>
                <w:sz w:val="20"/>
                <w:szCs w:val="20"/>
                <w:color w:val="auto"/>
              </w:rPr>
            </w:pPr>
            <w:r>
              <w:rPr>
                <w:rFonts w:ascii="Arial" w:cs="Arial" w:eastAsia="Arial" w:hAnsi="Arial"/>
                <w:sz w:val="18"/>
                <w:szCs w:val="18"/>
                <w:color w:val="auto"/>
              </w:rPr>
              <w:t>4,002,487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4,169,358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4,559,441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643,916</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650,557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562,117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79,386</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3,925,205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4,817,422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6,060,421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855,895</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11,674,775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15,312,595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19,373,366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2,736,042</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Property, equipment and software, net</w:t>
            </w:r>
          </w:p>
        </w:tc>
        <w:tc>
          <w:tcPr>
            <w:tcW w:w="1020" w:type="dxa"/>
            <w:vAlign w:val="bottom"/>
          </w:tcPr>
          <w:p>
            <w:pPr>
              <w:jc w:val="right"/>
              <w:spacing w:after="0"/>
              <w:rPr>
                <w:sz w:val="20"/>
                <w:szCs w:val="20"/>
                <w:color w:val="auto"/>
              </w:rPr>
            </w:pPr>
            <w:r>
              <w:rPr>
                <w:rFonts w:ascii="Arial" w:cs="Arial" w:eastAsia="Arial" w:hAnsi="Arial"/>
                <w:sz w:val="18"/>
                <w:szCs w:val="18"/>
                <w:color w:val="auto"/>
              </w:rPr>
              <w:t>4,672,079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4,621,712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4,569,982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645,405</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investments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5,245,108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9,293,868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9,217,017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1,301,691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Other long-term assets</w:t>
            </w:r>
          </w:p>
        </w:tc>
        <w:tc>
          <w:tcPr>
            <w:tcW w:w="1020" w:type="dxa"/>
            <w:vAlign w:val="bottom"/>
          </w:tcPr>
          <w:p>
            <w:pPr>
              <w:jc w:val="right"/>
              <w:spacing w:after="0"/>
              <w:rPr>
                <w:sz w:val="20"/>
                <w:szCs w:val="20"/>
                <w:color w:val="auto"/>
              </w:rPr>
            </w:pPr>
            <w:r>
              <w:rPr>
                <w:rFonts w:ascii="Arial" w:cs="Arial" w:eastAsia="Arial" w:hAnsi="Arial"/>
                <w:sz w:val="18"/>
                <w:szCs w:val="18"/>
                <w:color w:val="auto"/>
              </w:rPr>
              <w:t>2,930,069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5,666,610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5,670,163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800,780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86,967,928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112,124,371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118,653,818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16,757,120</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1,201,210</w:t>
            </w: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1,212,303</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1,197,007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169,050</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welfare payables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2,799,212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2,957,360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2,429,147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343,061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020" w:type="dxa"/>
            <w:vAlign w:val="bottom"/>
          </w:tcPr>
          <w:p>
            <w:pPr>
              <w:jc w:val="right"/>
              <w:spacing w:after="0"/>
              <w:rPr>
                <w:sz w:val="20"/>
                <w:szCs w:val="20"/>
                <w:color w:val="auto"/>
              </w:rPr>
            </w:pPr>
            <w:r>
              <w:rPr>
                <w:rFonts w:ascii="Arial" w:cs="Arial" w:eastAsia="Arial" w:hAnsi="Arial"/>
                <w:sz w:val="18"/>
                <w:szCs w:val="18"/>
                <w:color w:val="auto"/>
              </w:rPr>
              <w:t>2,260,646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3,156,513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4,390,606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620,072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loans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13,658,554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16,828,226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19,624,535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2,771,514</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7,718,485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8,602,227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9,981,353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1,409,636</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 and other payables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5,005,190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5,292,774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5,546,607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783,331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Short-term operating lease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191,454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238,071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33,622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382,030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625,578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88,348</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35,556,347</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39,082,916</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44,460,267</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6,278,989</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9"/>
        </w:trPr>
        <w:tc>
          <w:tcPr>
            <w:tcW w:w="1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NetEase, Inc.'s shareholders'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445,231,636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61,453,699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65,597,346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8,840,434</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794,209</w:t>
            </w: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1,139,156</w:t>
            </w: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1,210,794</w:t>
            </w:r>
          </w:p>
        </w:tc>
        <w:tc>
          <w:tcPr>
            <w:tcW w:w="1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170,997</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46,025,845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62,592,855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63,808,140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9,011,431</w:t>
            </w:r>
          </w:p>
        </w:tc>
        <w:tc>
          <w:tcPr>
            <w:tcW w:w="1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20" w:type="dxa"/>
            <w:vAlign w:val="bottom"/>
          </w:tcPr>
          <w:p>
            <w:pPr>
              <w:jc w:val="right"/>
              <w:ind w:right="475"/>
              <w:spacing w:after="0"/>
              <w:rPr>
                <w:sz w:val="20"/>
                <w:szCs w:val="20"/>
                <w:color w:val="auto"/>
              </w:rPr>
            </w:pPr>
            <w:r>
              <w:rPr>
                <w:rFonts w:ascii="Arial" w:cs="Arial" w:eastAsia="Arial" w:hAnsi="Arial"/>
                <w:sz w:val="18"/>
                <w:szCs w:val="18"/>
                <w:color w:val="auto"/>
              </w:rPr>
              <w:t>S-22</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Any investment in the ordinary shares involves a high degree of risk. Holders of the ordinary shares may be able to deposit and exchange their shares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ADSs with the depositary. See "Exchanges between Ordinary Shares Trading in Hong Kong and ADSs" for more information about this process.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carefully consider the risk factors set forth below, which discuss risks related to our ordinary shares, ADSs and the Global Offering, together with the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contained in this prospectus supplement, the accompanying prospectus and the documents incorporated by reference, before deciding whether to</w:t>
      </w:r>
    </w:p>
    <w:p>
      <w:pPr>
        <w:spacing w:after="0" w:line="32" w:lineRule="exact"/>
        <w:rPr>
          <w:sz w:val="20"/>
          <w:szCs w:val="20"/>
          <w:color w:val="auto"/>
        </w:rPr>
      </w:pPr>
    </w:p>
    <w:p>
      <w:pPr>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the ordinary shares. In addition, you should carefully consider the matters discussed under "Risk Factors" in the </w:t>
      </w:r>
      <w:hyperlink r:id="rId33">
        <w:r>
          <w:rPr>
            <w:rFonts w:ascii="Arial" w:cs="Arial" w:eastAsia="Arial" w:hAnsi="Arial"/>
            <w:sz w:val="16"/>
            <w:szCs w:val="16"/>
            <w:i w:val="1"/>
            <w:iCs w:val="1"/>
            <w:u w:val="single" w:color="auto"/>
            <w:color w:val="0000EE"/>
          </w:rPr>
          <w:t>2019 Annual Report</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and in</w:t>
      </w:r>
    </w:p>
    <w:p>
      <w:pPr>
        <w:spacing w:after="0" w:line="32" w:lineRule="exact"/>
        <w:rPr>
          <w:sz w:val="20"/>
          <w:szCs w:val="20"/>
          <w:color w:val="auto"/>
        </w:rPr>
      </w:pPr>
    </w:p>
    <w:p>
      <w:pPr>
        <w:spacing w:after="0"/>
        <w:rPr>
          <w:rFonts w:ascii="Arial" w:cs="Arial" w:eastAsia="Arial" w:hAnsi="Arial"/>
          <w:sz w:val="16"/>
          <w:szCs w:val="16"/>
          <w:i w:val="1"/>
          <w:iCs w:val="1"/>
          <w:color w:val="0000EE"/>
        </w:rPr>
      </w:pPr>
      <w:hyperlink r:id="rId36">
        <w:r>
          <w:rPr>
            <w:rFonts w:ascii="Arial" w:cs="Arial" w:eastAsia="Arial" w:hAnsi="Arial"/>
            <w:sz w:val="16"/>
            <w:szCs w:val="16"/>
            <w:i w:val="1"/>
            <w:iCs w:val="1"/>
            <w:u w:val="single" w:color="auto"/>
            <w:color w:val="0000EE"/>
          </w:rPr>
          <w:t>Exhibit 99.1 to our current report on Form 6-K furnished to the SEC on May 29, 2020, titled "NetEase, Inc. Supplemental and Updated Disclosures"</w:t>
        </w:r>
      </w:hyperlink>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documents incorporated by reference into the accompanying prospectus. Any of the following risks and the risks described in the 2019 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additional risks and uncertainties not currently known to us or those we currently view to be immaterial, may also materially and adversely affect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financial condition or results of operations. In such case, you may lose all or part of your original investment.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the ADSs, the Listing, and the Global Offering</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The trading price of ADSs has been and is likely to continue to be, and the trading price of our ordinary shares can be, volatile, which could result in substantial losses to holders of our ordinary shares and/or the ADSs.</w:t>
      </w:r>
    </w:p>
    <w:p>
      <w:pPr>
        <w:spacing w:after="0" w:line="186" w:lineRule="exact"/>
        <w:rPr>
          <w:sz w:val="20"/>
          <w:szCs w:val="20"/>
          <w:color w:val="auto"/>
        </w:rPr>
      </w:pPr>
    </w:p>
    <w:p>
      <w:pPr>
        <w:ind w:right="240" w:firstLine="348"/>
        <w:spacing w:after="0" w:line="288" w:lineRule="auto"/>
        <w:rPr>
          <w:sz w:val="20"/>
          <w:szCs w:val="20"/>
          <w:color w:val="auto"/>
        </w:rPr>
      </w:pPr>
      <w:r>
        <w:rPr>
          <w:rFonts w:ascii="Arial" w:cs="Arial" w:eastAsia="Arial" w:hAnsi="Arial"/>
          <w:sz w:val="16"/>
          <w:szCs w:val="16"/>
          <w:color w:val="auto"/>
        </w:rPr>
        <w:t>The trading price of ADSs has been and is likely to continue to be volatile and could fluctuate widely in response to a variety of factors, many of which are beyond our control. The trading price of our ordinary shares, likewise, can be volatile for similar or different reasons. For example, the trading prices of ADSs ranged from US$209.01 to US$325.00 per ADS in 2019. In addition, the performance and fluctuation of the market prices of other companies with business operations located mainly in China, especially internet and technology companies, that have listed their securities in Hong Kong and/or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ordinary shares and/or the ADSs may be adversely and materially affected, regardless of our actual operation performance.</w:t>
      </w:r>
    </w:p>
    <w:p>
      <w:pPr>
        <w:spacing w:after="0" w:line="17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to market and industry factors, the price and trading volume for our ordinary shares and/or the ADSs may be highly volatile for factors specific to our operation, including the followings:</w:t>
      </w:r>
    </w:p>
    <w:p>
      <w:pPr>
        <w:spacing w:after="0" w:line="199" w:lineRule="exact"/>
        <w:rPr>
          <w:sz w:val="20"/>
          <w:szCs w:val="20"/>
          <w:color w:val="auto"/>
        </w:rPr>
      </w:pPr>
    </w:p>
    <w:p>
      <w:pPr>
        <w:ind w:left="1080" w:right="5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results of operations that are not in line with market or research analyst expectations or changes in financial estimates by securities research analysts;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 and service offerings or those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market players in our industries;</w:t>
      </w:r>
    </w:p>
    <w:p>
      <w:pPr>
        <w:spacing w:after="0" w:line="238" w:lineRule="exact"/>
        <w:rPr>
          <w:rFonts w:ascii="Arial" w:cs="Arial" w:eastAsia="Arial" w:hAnsi="Arial"/>
          <w:sz w:val="18"/>
          <w:szCs w:val="18"/>
          <w:color w:val="auto"/>
        </w:rPr>
      </w:pPr>
    </w:p>
    <w:p>
      <w:pPr>
        <w:ind w:left="1080" w:right="8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made by us or our competitors of new features or functionalities or other product and service offerings, investments, acquisitions, strategic relationships, joint ventures or capital commitments;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press and other reports, whether or not true, about our business, including negative reports published by short sellers, regardless of their veracity or materiality to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and regulatory allegations or proceedings that involve us and our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to or departures of our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or market instability or disruptions, and actual or perceived social unrest in the markets where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of exchange rates among the Renminbi, the Hong Kong dollar and the U.S. dollar;</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perceived potential sales or other dispositions of existing or additional ordinary shares and/or ADSs or other equity or equity-linked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actual or alleged illegal acts of our senior management or other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share repurchase program;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developments affecting us or our industry, customers, licensors and other suppliers.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particular, our revenues and results of operations have varied significantly in the past and may continue to fluctuate in the future, which may adversely impact the trading price of our ADSs and ordinary shares. Historically, usage of our online games has generally increased around the Chinese holidays, particularly the winter and summer school holidays. Our Youdao platform tends to have larger student enrollments in the second and fourth quarters when it offers more courses including, for example, test preparation courses for school exams in the spring and fall semesters and China's national college entrance exams, national postgraduate entrance exams and college English tests, compared to the rest of the year. Revenues from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77"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Furthermore, the stock market in general experiences price and volume fluctuations that are often unrelated or disproportionate to the operating performance of companies like us, such as the large decline in share prices in the United States in early 2020. These market and industry fluctuations may significantly affect the trading price of our ordinary shares and/or ADSs. In the past, following periods of instability in the market price of a company's securities, shareholders have often instituted securities class action suits against that company.</w:t>
      </w:r>
    </w:p>
    <w:p>
      <w:pPr>
        <w:spacing w:after="0" w:line="16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Furthermore, our directors and employees may face additional exposure to claims and lawsuits as a result of their position in other public companies. For example, one of our directors, Mr. Denny Lee, was named as a defendant in ongoing securities class action lawsuits filed in the United States against NIO Inc., a company listed on the New York Stock Exchange (ticker: NIO), together with certain current, former directors and/or senior officers of NIO Inc., regarding an alleged misrepresentation in the registration statement and the prospectus filed in connection with the company's initial public offering. Mr. Lee's appointment as the independent director of NIO Inc. was effective immediately after the SEC's declaration of effectiveness of NIO Inc.'s registration statement on Form F-1, of which its prospectus is a part. Mr. Lee has also been named as a defendant in a putative class action lawsuit against another U.S.-listed company. All of these cases concern Mr. Lee in his capacity as an independent director of such U.S.-listed companies. The existence of litigation, claims, investigations and proceedings against our directors and employees, even if they do not involve our company, may harm our reputation and adversely affect the trading price of our ordinary shares and/or ADSs.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ordinary shares, ADSs, or other equity or equity-linked securities in the public market could cause the price of our ordinary shares and/or ADSs to decline.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Sales of our ordinary shares, ADSs, or other equity or equity-linked securities in the public market, or the perception that these sales could occur, could cause the market price of our ordinary shares and/or ADSs to decline significantly. All of our ordinary shares represented by ADSs were freely transferable by persons other than our affiliates without restriction or additional registration under the Securities Act of 1933, as amended, or the Securities Act. The ordinary shares held by our affiliates are also available for sale, subject to volume and other restrictions as applicable under Rule 144 of the Securities Act, under trading plans adopted pursuant to Rule 10b5-1 or otherwise.</w:t>
      </w:r>
    </w:p>
    <w:p>
      <w:pPr>
        <w:spacing w:after="0" w:line="20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Divesture in the future of our ordinary shares and/or ADSs by shareholders, the announcement of any plan to divest our ordinary shares and/or ADS, or hedging activity by third-party financial institutions in connection with similar derivative or other financing arrangements entered into by shareholders, could cause the price of our ordinary shares and/or ADSs to decline.</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Furthermore, although all of our directors and executive officers have agreed to a lock-up of their ordinary shares, any major disposal of our ordinary shares and/or ADSs by any of them upon expiration of the relevant lock-up periods (or the perception that these disposals may occur upon the expiration of the lock-up period) may cause the prevailing market price of our ordinary shares and/or ADSs to fall which could negatively impact our ability to raise equity capital in the future.</w:t>
      </w:r>
    </w:p>
    <w:p>
      <w:pPr>
        <w:spacing w:after="0" w:line="19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The different characteristics of the capital markets in Hong Kong and the U.S. may negatively affect the trading prices of our ordinary shares and/or ADSs.</w:t>
      </w:r>
    </w:p>
    <w:p>
      <w:pPr>
        <w:spacing w:after="0" w:line="186" w:lineRule="exact"/>
        <w:rPr>
          <w:sz w:val="20"/>
          <w:szCs w:val="20"/>
          <w:color w:val="auto"/>
        </w:rPr>
      </w:pPr>
    </w:p>
    <w:p>
      <w:pPr>
        <w:ind w:right="80" w:firstLine="351"/>
        <w:spacing w:after="0" w:line="310" w:lineRule="auto"/>
        <w:rPr>
          <w:sz w:val="20"/>
          <w:szCs w:val="20"/>
          <w:color w:val="auto"/>
        </w:rPr>
      </w:pPr>
      <w:r>
        <w:rPr>
          <w:rFonts w:ascii="Arial" w:cs="Arial" w:eastAsia="Arial" w:hAnsi="Arial"/>
          <w:sz w:val="15"/>
          <w:szCs w:val="15"/>
          <w:color w:val="auto"/>
        </w:rPr>
        <w:t>Upon the listing on the Hong Kong Stock Exchange, we will be subject to Hong Kong and SEC requirements and Nasdaq rules concurrently. The Hong Kong Stock Exchange and Nasdaq have different trading hours, trading characteristics (including trading volume and liquidity), trading and listing rules, and investor bases (including different levels of retail and institutional participation). As a result of these differences, the trading prices of our ordinary shares and our ADSs may not be the same, even allowing for currency differences. Fluctuations in the price of our ADSs due to circumstances peculiar to the U.S. capital markets could materially and adversely affect the price of the ordinary shares, or vice versa. Certain events having significant negative impact specifically on the U.S. capital markets may result in a decline in the trading price of our ordinary shares notwithstanding that such event may not impact the trading prices of securities listed in Hong Kong generally or to the same extent, or vice versa. Because of the different characteristics of the U.S. and Hong Kong capital markets, the historical market prices of our ADSs may not be indicative of the trading performance of the ordinary shares after the Global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between our ordinary shares and our ADSs may adversely affect the liquidity and/or trading price of each other.</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ADSs are currently traded on the Nasdaq. Subject to compliance with U.S. securities law and the terms of the deposit agreement, holders of our ordinary shares may deposit ordinary shares with the depositary in exchange for the issuance of our ADSs. Any holder of ADSs may also withdraw the underlying ordinary shares represented by the ADSs pursuant to the terms of the deposit agreement for trading on the Hong Kong Stock Exchange. In the event that a substantial number of ordinary shares are deposited with the depositary in exchange for ADSs or vice versa, the liquidity and trading price of our ordinary shares on the Hong Kong Stock Exchange and our ADSs on the Nasdaq may be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b w:val="1"/>
          <w:bCs w:val="1"/>
          <w:i w:val="1"/>
          <w:iCs w:val="1"/>
          <w:color w:val="auto"/>
        </w:rPr>
        <w:t>The time required for the exchange between ordinary shares and ADSs might be longer than expected and investors might not be able to settle or effect any sale of their securities during this period, and the exchange of ordinary shares into ADSs involves costs.</w:t>
      </w:r>
    </w:p>
    <w:p>
      <w:pPr>
        <w:spacing w:after="0" w:line="14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There is no direct trading or settlement between the Nasdaq and the Hong Kong Stock Exchange on which our ADSs and the ordinary shares are respectively traded. In addition, the time differences between Hong Kong and New York and unforeseen market circumstances or other factors may delay the deposit of ordinary shares in exchange for ADSs or the withdrawal of ordinary shares underlying the ADSs. Investors will be prevented from settling or effecting the sale of their securities during such periods of delay. In addition, there is no assurance that any exchange of ordinary shares into ADSs (and vice versa) will be completed in accordance with the timelines investors may anticipate.</w:t>
      </w:r>
    </w:p>
    <w:p>
      <w:pPr>
        <w:spacing w:after="0" w:line="16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Furthermore, the depositary for the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ordinary shares into ADSs, and vice versa, may not achieve the level of economic return the shareholders may anticipate.</w:t>
      </w:r>
    </w:p>
    <w:p>
      <w:pPr>
        <w:spacing w:after="0" w:line="16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As a company incorporated in the Cayman Islands, we are permitted to adopt certain home country practices in relation to corporate governance matters that differ significantly from Nasdaq rules.</w:t>
      </w:r>
    </w:p>
    <w:p>
      <w:pPr>
        <w:spacing w:after="0" w:line="186"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a Cayman Islands exempted company listed on the Nasdaq, we are subject to Nasdaq rules. However, Nasdaq rules permit a foreign private issuer like us to follow the corporate governance practices of its home country. Certain corporate governance practices in the Cayman Islands, which is our home country, may differ significantly from Nasdaq rules applicable to U.S. domestic issuers. For instance, we are not required to:</w:t>
      </w:r>
    </w:p>
    <w:p>
      <w:pPr>
        <w:spacing w:after="0" w:line="174" w:lineRule="exact"/>
        <w:rPr>
          <w:sz w:val="20"/>
          <w:szCs w:val="20"/>
          <w:color w:val="auto"/>
        </w:rPr>
      </w:pPr>
    </w:p>
    <w:p>
      <w:pPr>
        <w:ind w:left="1080" w:right="4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 majority of the board be independent (although all of the members of the audit committee must be independent under the Securities Exchange Act of 1934, as amended, or the Exchange Act);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have a compensation committee or a nominating or corporate governance committee consisting entirely of independent directors;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regularly scheduled executive sessions for non-management directors;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executive sessions of solely independent directors each year.</w:t>
      </w:r>
    </w:p>
    <w:p>
      <w:pPr>
        <w:spacing w:after="0" w:line="225"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We have relied on and intend to continue to rely on some of these exemptions. Specifically, our board of directors adopted our 2009 RSU Plan and 2019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 In situations where we choose to follow home country practices, our shareholders may be afforded less protection than they otherwise would under Nasdaq rules applicable to U.S. domestic issuers.</w:t>
      </w:r>
    </w:p>
    <w:p>
      <w:pPr>
        <w:spacing w:after="0" w:line="20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Because we qualify as a foreign private issuer under the Exchange Act, we are exempt from certain provisions of the securities rules and regulations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246" w:lineRule="exact"/>
        <w:rPr>
          <w:sz w:val="20"/>
          <w:szCs w:val="20"/>
          <w:color w:val="auto"/>
        </w:rPr>
      </w:pPr>
    </w:p>
    <w:p>
      <w:pPr>
        <w:jc w:val="center"/>
        <w:ind w:left="5460" w:right="740" w:hanging="4912"/>
        <w:spacing w:after="0" w:line="518" w:lineRule="auto"/>
        <w:tabs>
          <w:tab w:leader="none" w:pos="10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 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required to file an annual report on Form 20-F within four months of the end of each fiscal year. In addition, we intend to continue to publish our results on a quarterly basis as press releases, distributed pursuant to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holders of our ADSs may be afforded less protection or information than they would under the Exchange Act rules applicable to U.S. domestic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Holders of ADSs may exercise their voting rights with respect to the underlying ordinary shares represented by their ADSs only in accordance with the provisions of the deposit agreement. Upon receipt of voting instructions from them in the manner set forth in the deposit agreement, the depositary will endeavor, in so far as practicable, to vote the underlying ordinary shares represented by their ADSs in accordance with these instructions. However, the depositary and its agents may not be able to send voting instructions to holders of ADSs or carry out their voting instructions in a timely manner. We will make all reasonable efforts to cause the depositary to extend voting rights to holders of ADSs in a timely manner, but they may not receive the voting materials in time to ensure that they can instruct the depositary to vote the underlying ordinary shares represented by their ADSs. Furthermore, the depositary and its agents will not be responsible for any failure to carry out any instructions to vote, for the manner in which any vote is cast or for the effect of any vote. As a result, holders of ADSs may not be able to exercise their rights to vote and they may lack recourse if the underlying ordinary shares represented by their ADSs are not voted as they requested.</w:t>
      </w:r>
    </w:p>
    <w:p>
      <w:pPr>
        <w:spacing w:after="0" w:line="173" w:lineRule="exact"/>
        <w:rPr>
          <w:sz w:val="20"/>
          <w:szCs w:val="20"/>
          <w:color w:val="auto"/>
        </w:rPr>
      </w:pPr>
    </w:p>
    <w:p>
      <w:pPr>
        <w:ind w:right="20"/>
        <w:spacing w:after="0" w:line="369" w:lineRule="auto"/>
        <w:rPr>
          <w:sz w:val="20"/>
          <w:szCs w:val="20"/>
          <w:color w:val="auto"/>
        </w:rPr>
      </w:pPr>
      <w:r>
        <w:rPr>
          <w:rFonts w:ascii="Arial" w:cs="Arial" w:eastAsia="Arial" w:hAnsi="Arial"/>
          <w:sz w:val="15"/>
          <w:szCs w:val="15"/>
          <w:b w:val="1"/>
          <w:bCs w:val="1"/>
          <w:i w:val="1"/>
          <w:iCs w:val="1"/>
          <w:color w:val="auto"/>
        </w:rPr>
        <w:t>Except in limited circumstances, the depositary will give us a discretionary proxy to vote our ordinary shares underlying the ADSs if holders of these ADSs do not give voting instructions to the depositary, which could adversely affect the interests of holders of ordinary shares and/or the ADSs.</w:t>
      </w:r>
    </w:p>
    <w:p>
      <w:pPr>
        <w:spacing w:after="0" w:line="11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Under the deposit agreement, the depositary will give us a discretionary proxy to vote the ordinary shares underlying the ADSs at shareholders' meetings if holders of these ADSs do not give voting instructions to the depositary, unless: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voting at the meeting is made on a show of hands.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effect of this discretionary proxy is that, if holders of ADSs fail to give voting instructions to the depositary, they cannot prevent our ordinary shares underlying their ADSs from being voted, except under the circumstances described above. This may make it more difficult for shareholders to influence our management. Holders of our ordinary shares are not subject to this discretionary proxy.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ADSs may be subject to limitations on transfer of their ADSs.</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ADSs may not receive distributions on our ordinary shares if the depositary decides it is impractical or unlawful to make such distributions.</w:t>
      </w:r>
    </w:p>
    <w:p>
      <w:pPr>
        <w:spacing w:after="0" w:line="26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depositary has agreed to pay cash to holders of ADSs to the extent that we decide to distribute cash dividends or other cash distributions on our ordinary shares or other deposited securities. In the second quarter of 2019, our board of directors determined that quarterly dividends will be set at an amount equivalent to approximately 20%-30% of our anticipated net income after tax in each fiscal quarter. Our board of directors also approved an additional special dividend equivalent to US$3.45 per ADS in the third quarter of 2019.</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To the extent that there is a distribution in shares, rights or other securities and properties, the depositary has agreed to distribute to holders of ADSs the shares, rights or other distributions it or the custodian receives on our ordinary shares or other deposited securities after deducting its fees and expenses. ADS holders will receive these distributions in proportion to the number of ordinary shares their ADSs represent. However, the depositary may, at its discretion, decide that it is impractical to make a distribution available to holders of ADSs. For example, it would be unlawful to make a distribution to a holder of ADSs if it consists of securities that require registration under the Securities Act but that are not properly registered or distributed pursuant to an applicable exemption from registration. We have no obligation to take any other action to permit the distribution of shares, rights or anything else to holders of ADSs. This means that holders of ADSs may not receive the distributions we make on our ordinary shares if it is impractical for us to make them available. These restrictions may materially reduce the value of the ADSs.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auditor of the consolidated financial statements included in our annual report on Form 20-F filed with the SEC, like other independent registered public accounting firms operating in China, is not permitted to be subject to inspection by the PCAOB, and consequently you are deprived of the benefits of such inspection.</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auditor of the consolidated financial statements included in our annual report on Form 20-F filed with the SEC, the independent registered public accounting firm, as an auditor of companies that are registered with the SEC and traded publicly in the United States and a firm registered with the PCAOB, is subject to the laws in the United States pursuant to which the PCAOB conducts regular inspections to assess its compliance with the applicable professional standards. It is located in, and organized under the laws of, the PRC, which is a jurisdiction where the PCAOB has been unable to conduct inspections without the approval of the Chinese authorities.</w:t>
      </w:r>
    </w:p>
    <w:p>
      <w:pPr>
        <w:spacing w:after="0" w:line="20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24, 2013, the PCAOB announced that it had entered into a Memorandum of Understanding on Enforcement Cooperation, or the MOU, with the China Securities Regulatory Commission, or the CSRC, and the Ministry of Finance of the PRC,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 However, it remains unclear what further actions, if any, the SEC and PCAOB will take to address the problem.</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This lack of PCAOB inspections in China prevents the PCAOB from fully evaluating audits and quality control procedures of our independent registered public accounting firm. As a result, we and our investors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us to lose confidence in our audit procedures and reported financial information and the quality of our financial statements.</w:t>
      </w:r>
    </w:p>
    <w:p>
      <w:pPr>
        <w:spacing w:after="0" w:line="169"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such issuers and, beginning in 2025, the delisting from national securities exchanges such as Nasdaq of issuers included for three consecutive years on the SEC's list.</w:t>
      </w:r>
    </w:p>
    <w:p>
      <w:pPr>
        <w:spacing w:after="0" w:line="16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May 20, 2020, the U.S. Senate passed S. 945, the Holding Foreign Companies Accountable Act. If passed by the U.S. House of Representatives and signed by the U.S. President, this bill would amend the Sarbanes-Oxley Act of 2002 to direct the SEC to prohibit securities of any registrant from being listed on any of the U.S. securities exchanges or traded "over-the-counter" if the auditor of the registrant's financial statements is not subject to PCAOB inspection for three consecutive years. Enactment of any of such legislations or other efforts to increase U.S. regulatory access to audit information could cause investor uncertainty for affected issuers, including us, the market price of our ADSs could be adversely affected, and we could be delisted if we are unable to cure the situation to meet the PCAOB inspection requirement in time. It is unclear if and when any of such proposed legislations will be enacted. Furthermore, there have been recent media reports on deliberations within the U.S. government regarding potentially limiting or restricting China-based companies from accessing U.S. capital markets. If any such deliberations were to materialize, the resulting legislation may have material and adverse impact on the stock performance of China-based issuers listed in the United States.</w:t>
      </w:r>
    </w:p>
    <w:p>
      <w:pPr>
        <w:spacing w:after="0" w:line="17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An active trading market for our ordinary shares on the Hong Kong Stock Exchange might not develop or be sustained and trading prices of our ordinary shares might fluctuate significantly.</w:t>
      </w:r>
    </w:p>
    <w:p>
      <w:pPr>
        <w:spacing w:after="0" w:line="186"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Following the completion of the Global Offering, we cannot assure you that an active trading market for our ordinary shares on the Hong Kong Stock Exchange will develop or be sustained. The trading price or liquidity for our ADSs on the Nasdaq might not be indicative of those of our ordinary shares on the Hong Kong Stock Exchange following the completion of the Global Offering. If an active trading market of our ordinary shares on the Hong Kong Stock Exchange does not develop or is not sustained after the Global Offering, the market price and liquidity of our ordinary shares could be materially and adversely affected.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2014, the Hong Kong, Shanghai and Shenzhen Stock Exchanges collaborated to create an inter-exchange trading mechanism called Stock Connect that allows international and mainland Chinese investors to trade eligible equity securities listed in each other's markets through the trading and clearing facilities of their home exchange. Stock Connect currently covers over 2,000 equity securities trading in the Hong Kong, Shanghai and Shenzhen markets. Stock Connect allows mainland Chinese investors to trade directly in eligible equity securities listed on the Hong Kong Stock Exchange, known as Southbound Trading. Without Stock Connect, mainland Chinese investors would not otherwise have a direct and established means of engaging in Southbound Trading. However, it is unclear whether and when our ordinary shares with a secondary listing in Hong Kong will be eligible to be traded through Stock Connect, if at all. The ineligibility or any delay of our ordinary shares for trading through Stock Connect will affect mainland Chinese investors' ability to trade our ordinary shares and therefore may limit the liquidity of the trading of our ordinary shares on the Hong Kong Stock Exchange.</w:t>
      </w:r>
    </w:p>
    <w:p>
      <w:pPr>
        <w:spacing w:after="0" w:line="178"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b w:val="1"/>
          <w:bCs w:val="1"/>
          <w:i w:val="1"/>
          <w:iCs w:val="1"/>
          <w:color w:val="auto"/>
        </w:rPr>
        <w:t>Since there will be a gap of several days between pricing and trading of our ordinary shares, the price of our ADSs traded on the Nasdaq may fall during this period and could result in a fall in the price of our ordinary shares to be traded on the Hong Kong Stock Exchange.</w:t>
      </w:r>
    </w:p>
    <w:p>
      <w:pPr>
        <w:spacing w:after="0" w:line="14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pricing of the Offer Shares (as defined below) will be determined on the price determination date. However, our ordinary shares will not commence trading on the Hong Kong Stock Exchange until they are delivered, which is expected to be about four Hong Kong business days after the price determination date. As a result, investors may not be able to sell or otherwise deal in our ordinary shares during that period. Accordingly, holders of our ordinary shares are subject to the risk that the trading price of our ordinary shares could fall when trading commences as a result of adverse market conditions or other adverse developments that could occur between the price determination date and the time trading begins. In particular, as our ADSs will continue to be traded on the Nasdaq and their price can be volatile, any fall in the price of our ADSs may result in a fall in the price of our ordinary shares to be traded on the Hong Kong Stock Exchange.</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There is uncertainty as to whether Hong Kong stamp duty will apply to deposits of our ordinary shares into or withdrawal of our ordinary shares from the ADS facility or trading of our ADSs following our initial public offering in Hong Kong and listing of our ordinary shares on the Hong Kong Stock Exchange.</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connection with our initial public offering of ordinary shares in Hong Kong, we will establish a branch register of members in Hong Kong, or the Hong Kong share register. Our ordinary shares that are traded on the Hong Kong Stock Exchange, including those to be issued in the Global Offering and those represented by ADSs, will be registered on the Hong Kong share register, and the trading of these ordinary shares on the Hong Kong Stock Exchange will be subject to the Hong Kong stamp duty. To facilitate exchanges between ordinary shares trading in Hong Kong and ADSs and their respective trading on the Hong Kong Stock Exchange and Nasdaq, we also intend to move a portion of our issued ordinary shares, including all of the ordinary shares deposited in our ADS program, from our Cayman share register to our Hong Kong share register.</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 See below "Exchanges between Ordinary Shares Trading in Hong Kong and ADSs—Dealings and Settlement of Ordinary Shares in Hong Kong."</w:t>
      </w:r>
    </w:p>
    <w:p>
      <w:pPr>
        <w:spacing w:after="0" w:line="166"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To the best of our knowledge, Hong Kong stamp duty has not been levied in practice on the trading of ADSs representing shares of companies that are listed in both the United States and Hong Kong and that have maintained all or a portion of their ordinary shares, including ordinary shares underlying ADSs, in their Hong Kong share registers, or on the deposit of shares in or withdrawal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shares from ADS facilities of that kind. However, it is unclear whether, as a matter of Hong Kong law, the trading of ADSs representing shares of these dual-listed companies or the deposit of shares in or withdrawal of shares from those ADS facilities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of those ADSs or deposits of shares in or withdrawal of shares from those ADS facilities, the trading price and the value of your investment in our ordinary shares and/or the ADSs may be affected.</w:t>
      </w:r>
    </w:p>
    <w:p>
      <w:pPr>
        <w:spacing w:after="0" w:line="16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Purchasers of our ordinary shares in the Global Offering will experience immediate dilution and may experience further dilution if we issue additional ordinary shares in the future.</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public offering price of our ordinary shares is higher than the net tangible assets per ordinary share of the ordinary shares issued to our existing shareholders immediately prior to the Global Offering. Therefore, purchasers of our ordinary shares in the Global Offering will experience an immediate dilution in terms of the pro forma net tangible asset value. In addition, we may consider offering and issuing additional ordinary shares, ADSs or equity-related securities in the future to raise additional funds, finance acquisitions or for other purposes. Purchasers of our ordinary shares may experience further dilution in terms of the net tangible asset value per ordinary share, ADS or equity-related security if we issue additional ordinary shares in the future at a price that is lower than the net tangible asset value per ordinary share.</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As a company applying for listing under Chapter 19C, we adopt different practices as to certain matters as compared with many other companies listed on the Hong Kong Stock Exchange.</w:t>
      </w:r>
    </w:p>
    <w:p>
      <w:pPr>
        <w:spacing w:after="0" w:line="18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we are applying for listing under Chapter 19C of the Rules Governing the Listing of Securities on The Stock Exchange of Hong Kong Limited, or the Hong Kong Listing Rules, we will not be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on the Hong Kong Stock Exchange, we have applied for a number of waivers and/or exemptions from strict compliance with the Hong Kong Listing Rules, the Companies (Winding Up and Miscellaneous Provisions) Ordinance (Chapter 32 of the Laws of Hong Kong), or the Companies (WUMP) Ordinance, the Codes on Takeovers and Mergers and Share Buybacks issued by the Securities and Futures Commission of Hong Kong, or the Takeover Codes, and the Securities and Futures Ordinance (Chapter 571 of the Laws of Hong Kong), or the SFO. As a result, we will adopt different practices as to those matters as compared with other companies listed on the Hong Kong Stock Exchange that do not enjoy those exemptions or waivers.</w:t>
      </w:r>
    </w:p>
    <w:p>
      <w:pPr>
        <w:spacing w:after="0" w:line="17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Furthermore, if 55% or more of the total worldwide trading volume, by dollar value, of our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Companies (WUMP) Ordinance, the Takeovers Codes and the SFO, which could result in our incurring of incremental compliance costs.</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classified as a passive foreign investment company, or PFIC, such classification could result in adverse U.S. federal income tax consequences to U.S. investors.</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could be classified as a passive foreign investment company, or PFIC, by the U.S. Internal Revenue Service, or the IRS, for U.S. federal income tax purposes. Such characterization could result in adverse U.S. federal income tax consequences to you if you are a U.S. investor. For example, U.S. investors who owned our ordinary shares or ADSs during any taxable year in which we were a PFIC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331" w:lineRule="auto"/>
        <w:rPr>
          <w:sz w:val="20"/>
          <w:szCs w:val="20"/>
          <w:color w:val="auto"/>
        </w:rPr>
      </w:pPr>
      <w:r>
        <w:rPr>
          <w:rFonts w:ascii="Arial" w:cs="Arial" w:eastAsia="Arial" w:hAnsi="Arial"/>
          <w:sz w:val="16"/>
          <w:szCs w:val="16"/>
          <w:color w:val="auto"/>
        </w:rPr>
        <w:t>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4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8"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do not believe that we were a PFIC for the taxable years 2017, 2018 and 2019. Based on certain estimates and assumptions, we do not expect to be a PFIC for taxable year 2020. However, as more fully described under "Taxation—Material United States Federal Income Tax Considerations" in the accompanying prospectus, the PFIC determination is highly fact intensive and made at the end of each taxable year. We hold and will continue to hold a substantial amount of cash and cash equivalents, and our PFIC status may depend in large part in the market price of our ADSs and ordinary shares which is likely to fluctuate. For these reasons, there can be no assurance that we are not a PFIC in taxable year 2020 or that we will not be a PFIC in any future taxable year or that the IRS will not challenge our determination concerning our PFIC status.</w:t>
      </w:r>
    </w:p>
    <w:p>
      <w:pPr>
        <w:spacing w:after="0" w:line="17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If we are or become a PFIC, and, if so, if one or more of our subsidiaries or VIEs are treated as PFICs, U.S. investors would be subject to adverse U.S. federal income tax consequences, such as increased tax liability on capital gains and actual or deemed dividends, interest charges on certain taxes treated as deferred, and additional reporting requirements under U.S. federal income tax laws and regulations. Whether U.S. investors make (or are eligible to make) a timely mark-to-market election may affect the U.S. federal income tax consequences to U.S. investors with respect to the acquisition, ownership and disposition of our ordinary shares and ADSs and any distributions such U.S. investors may receive. We do not expect to provide the information regarding our income that would be necessary in order for a U.S. investor to make a qualified electing fund, or QEF, election if we are classified as a PFIC. Investors should consult their own tax advisors regarding all aspects of the application of the PFIC rules to our ordinary shares and ADSs.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If we are a PFIC in any year with respect to a U.S. investor, the U.S. investor will be required to file an annual information return on IRS Form 8621 (or other then-applicable IRS Form or statement) regarding distributions received on our ordinary shares or ADSs and any gain realized on the disposition of our ordinary shares or ADSs, and certain U.S. investors will be required to file an annual information return (also on IRS Form 8621 or other then-applicable IRS Form or statement) relating to their ownership of our ordinary shares or ADSs. U.S. investors should consult their tax advisors regarding the potential application of the PFIC regime and related reporting requirements.</w:t>
      </w:r>
    </w:p>
    <w:p>
      <w:pPr>
        <w:spacing w:after="0" w:line="20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further discussion of the adverse U.S. federal income tax consequences of our possible classification as a PFIC, see "Taxation—Material United States Federal Income Tax Considerations" in the accompanying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will determine the offer price for both the International Offering and the Hong Kong Public Offering by reference to, among other factors, the closing price of our ADSs on the last trading day before the pricing of the Global Offering, which is expected to be on or about June 5, 2020. The maximum offer price for the Hong Kong Public Offering is HK$126.00, or US$16.25, per ordinary share (equivalent to US$406.13 per ADS). Assuming (i) the offering price is HK$126.00 per ordinary share, (ii) initially 166,330,000 ordinary shares are allocated to the International Offering and (iii) initially 5,150,000 ordinary shares are allocated to the Hong Kong Public Offering, we estimate that we will receive net proceeds from the Global Offering of approximately HK$21,279.0 million (US$2,743.5 million), assuming the option of the international underwriters to purchase additional ordinary shares is not exercised, or HK$24,486.8 million (US$3,157.1 million) if the over-allotment option is exercised in full, after deducting estimated underwriting fees and the estimated offering expenses payable by us. On May 29, 2020, the last reported trading price of our ADSs on the Nasdaq was US$382.90 per ADS, or HK$118.79 per ordinary share. Each ADS represents 25 ordinary shares.</w:t>
      </w:r>
    </w:p>
    <w:p>
      <w:pPr>
        <w:spacing w:after="0" w:line="173"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public offering price in the International Offering may be higher than, or the same as, the public offering price in the Hong Kong Public Offering. In addition, the allocation of ordinary shares between the Hong Kong Public Offering and the International Offering is subject to reallocation as described in "Underwriting."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plan to use the net proceeds we will receive from the Global Offering for the following purposes:</w:t>
      </w:r>
    </w:p>
    <w:p>
      <w:pPr>
        <w:spacing w:after="0" w:line="233" w:lineRule="exact"/>
        <w:rPr>
          <w:sz w:val="20"/>
          <w:szCs w:val="20"/>
          <w:color w:val="auto"/>
        </w:rPr>
      </w:pPr>
    </w:p>
    <w:p>
      <w:pPr>
        <w:ind w:left="1080" w:hanging="532"/>
        <w:spacing w:after="0" w:line="255"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approximately 45% (approximately HK$9,575.6 million (US$1,234.6 million), assuming the over-allotment option is not exercised) for globalization strategies and opportunities</w:t>
      </w:r>
      <w:r>
        <w:rPr>
          <w:rFonts w:ascii="Arial" w:cs="Arial" w:eastAsia="Arial" w:hAnsi="Arial"/>
          <w:sz w:val="18"/>
          <w:szCs w:val="18"/>
          <w:color w:val="auto"/>
        </w:rPr>
        <w:t>. We will continue to improve our global presence by expanding our online game offerings in</w:t>
      </w:r>
      <w:r>
        <w:rPr>
          <w:rFonts w:ascii="Arial" w:cs="Arial" w:eastAsia="Arial" w:hAnsi="Arial"/>
          <w:sz w:val="18"/>
          <w:szCs w:val="18"/>
          <w:b w:val="1"/>
          <w:bCs w:val="1"/>
          <w:color w:val="auto"/>
        </w:rPr>
        <w:t xml:space="preserve"> </w:t>
      </w:r>
      <w:r>
        <w:rPr>
          <w:rFonts w:ascii="Arial" w:cs="Arial" w:eastAsia="Arial" w:hAnsi="Arial"/>
          <w:sz w:val="18"/>
          <w:szCs w:val="18"/>
          <w:color w:val="auto"/>
        </w:rPr>
        <w:t>overseas markets, such as Japan, the United States, Europe and Southeast Asia and enhancing our global R&amp;D and game design capabilities. We will also continue to explore global opportunities by investing in and collaborating with international game developers, IP and content owners. Furthermore, we aim to grow our intelligent learning and other innovative businesses in overseas markets with large potential user bases and favorable demographic characteristics.</w:t>
      </w:r>
    </w:p>
    <w:p>
      <w:pPr>
        <w:spacing w:after="0" w:line="219" w:lineRule="exact"/>
        <w:rPr>
          <w:rFonts w:ascii="Arial" w:cs="Arial" w:eastAsia="Arial" w:hAnsi="Arial"/>
          <w:sz w:val="18"/>
          <w:szCs w:val="18"/>
          <w:color w:val="auto"/>
        </w:rPr>
      </w:pPr>
    </w:p>
    <w:p>
      <w:pPr>
        <w:ind w:left="1080" w:right="160" w:hanging="532"/>
        <w:spacing w:after="0" w:line="301"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approximately 45% (approximately HK$9,575.6 million (US$1,234.6 million), assuming the over-allotment option is not exercised) for fueling our continued pursuit of innovation. </w:t>
      </w:r>
      <w:r>
        <w:rPr>
          <w:rFonts w:ascii="Arial" w:cs="Arial" w:eastAsia="Arial" w:hAnsi="Arial"/>
          <w:sz w:val="16"/>
          <w:szCs w:val="16"/>
          <w:color w:val="auto"/>
        </w:rPr>
        <w:t>We will continue to expand and enhance our innovative content offerings, and strengthen our</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technologies. Our R&amp;D approach will remain focused on bringing commercially viable technologies into specific applications that can further enhance user experience. In addition, we will continue to attract and nurture talents to support further innovation and growth.</w:t>
      </w:r>
    </w:p>
    <w:p>
      <w:pPr>
        <w:spacing w:after="0" w:line="170" w:lineRule="exact"/>
        <w:rPr>
          <w:rFonts w:ascii="Arial" w:cs="Arial" w:eastAsia="Arial" w:hAnsi="Arial"/>
          <w:sz w:val="16"/>
          <w:szCs w:val="16"/>
          <w:color w:val="auto"/>
        </w:rPr>
      </w:pPr>
    </w:p>
    <w:p>
      <w:pPr>
        <w:ind w:left="1080" w:right="100" w:hanging="532"/>
        <w:spacing w:after="0" w:line="310"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approximately 10% (approximately HK$2,127.8 million (US$274.3 million), assuming the over-allotment option is not exercised) for general corporate purposes</w:t>
      </w:r>
      <w:r>
        <w:rPr>
          <w:rFonts w:ascii="Arial" w:cs="Arial" w:eastAsia="Arial" w:hAnsi="Arial"/>
          <w:sz w:val="16"/>
          <w:szCs w:val="16"/>
          <w:color w:val="auto"/>
        </w:rPr>
        <w:t>. We will use the remaining proceeds for general corporate purposes, working capital needs and potential strategic</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and acquisitions, although we have not identified any specific investments or acquisition opportunities at this time.</w:t>
      </w:r>
    </w:p>
    <w:p>
      <w:pPr>
        <w:spacing w:after="0" w:line="15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For the purposes of this "Use of Proceeds" section, all translations of Hong Kong dollars into U.S. dollars were made at HK$7.7561 to US$1.00, the exchange rate on May 22, 2020 as set forth in the H.10 statistical release of the Federal Reserve Board.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March 31, 2020:</w:t>
      </w:r>
    </w:p>
    <w:p>
      <w:pPr>
        <w:spacing w:after="0" w:line="23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120" w:hanging="532"/>
        <w:spacing w:after="0" w:line="25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an adjusted basis giving effect to our issuance and sale in the Global Offering of 171,480,000 ordinary shares, resulting in estimated net proceeds of HK$21,279.0 million (US$2,743.5 million), based on the assumed offer price of HK$126.00, or US$16.25, per ordinary share (equivalent to US$406.13 per ADS), after deducting estimated underwriting discounts and commissions and estimated offering expenses payable by us, and assuming (i) the Joint Global Coordinators do not exercise, on behalf of the international underwriters, their option to purchase additional ordinary shares and (ii) no adjustment to the allocation of ordinary shares between the Hong Kong Public Offering and the International Offering.</w:t>
      </w:r>
    </w:p>
    <w:p>
      <w:pPr>
        <w:spacing w:after="0" w:line="198" w:lineRule="exact"/>
        <w:rPr>
          <w:sz w:val="20"/>
          <w:szCs w:val="20"/>
          <w:color w:val="auto"/>
        </w:rPr>
      </w:pPr>
    </w:p>
    <w:p>
      <w:pPr>
        <w:ind w:firstLine="348"/>
        <w:spacing w:after="0" w:line="291"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The as adjusted information below is illustrative only. You should read this table in conjunction with, and this table is qualified in its entirety by reference to, Item 5. "Operating and Financial Review and Prospects," and our consolidated financial statements and the related notes included in the financial statements as of December 31, 2018 and 2019 and for each of the three years in the period ended December 31, 2019 in our </w:t>
      </w:r>
      <w:hyperlink r:id="rId33">
        <w:r>
          <w:rPr>
            <w:rFonts w:ascii="Arial" w:cs="Arial" w:eastAsia="Arial" w:hAnsi="Arial"/>
            <w:sz w:val="16"/>
            <w:szCs w:val="16"/>
            <w:u w:val="single" w:color="auto"/>
            <w:color w:val="0000EE"/>
          </w:rPr>
          <w:t>2019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the financial </w:t>
      </w:r>
      <w:hyperlink r:id="rId49">
        <w:r>
          <w:rPr>
            <w:rFonts w:ascii="Arial" w:cs="Arial" w:eastAsia="Arial" w:hAnsi="Arial"/>
            <w:sz w:val="16"/>
            <w:szCs w:val="16"/>
            <w:u w:val="single" w:color="auto"/>
            <w:color w:val="auto"/>
          </w:rPr>
          <w:t xml:space="preserve">statements as of March 31, 2020 and for the three months ended March 31, 2019 and 2020 included in </w:t>
        </w:r>
        <w:r>
          <w:rPr>
            <w:rFonts w:ascii="Arial" w:cs="Arial" w:eastAsia="Arial" w:hAnsi="Arial"/>
            <w:sz w:val="16"/>
            <w:szCs w:val="16"/>
            <w:u w:val="single" w:color="auto"/>
            <w:color w:val="0000EE"/>
          </w:rPr>
          <w:t>Exhibit 99.1, titled "Unaudited Condensed Consolidated</w:t>
        </w:r>
      </w:hyperlink>
      <w:r>
        <w:rPr>
          <w:rFonts w:ascii="Arial" w:cs="Arial" w:eastAsia="Arial" w:hAnsi="Arial"/>
          <w:sz w:val="16"/>
          <w:szCs w:val="16"/>
          <w:u w:val="single" w:color="auto"/>
          <w:color w:val="auto"/>
        </w:rPr>
        <w:t xml:space="preserve"> </w:t>
      </w:r>
      <w:hyperlink r:id="rId49">
        <w:r>
          <w:rPr>
            <w:rFonts w:ascii="Arial" w:cs="Arial" w:eastAsia="Arial" w:hAnsi="Arial"/>
            <w:sz w:val="16"/>
            <w:szCs w:val="16"/>
            <w:u w:val="single" w:color="auto"/>
            <w:color w:val="0000EE"/>
          </w:rPr>
          <w:t>Financial Statements as of March 31, 2020 and for the three months ended March 31, 2019 and 2020," to our Form 6-K dated May 29, 2020</w:t>
        </w:r>
        <w:r>
          <w:rPr>
            <w:rFonts w:ascii="Arial" w:cs="Arial" w:eastAsia="Arial" w:hAnsi="Arial"/>
            <w:sz w:val="16"/>
            <w:szCs w:val="16"/>
            <w:u w:val="single" w:color="auto"/>
            <w:color w:val="000000"/>
          </w:rPr>
          <w:t>, each of which are</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incorporated by reference into the accompanying prospectus.</w:t>
      </w:r>
    </w:p>
    <w:p>
      <w:pPr>
        <w:spacing w:after="0" w:line="223" w:lineRule="exact"/>
        <w:rPr>
          <w:rFonts w:ascii="Arial" w:cs="Arial" w:eastAsia="Arial" w:hAnsi="Arial"/>
          <w:sz w:val="16"/>
          <w:szCs w:val="16"/>
          <w:color w:val="auto"/>
        </w:rPr>
      </w:pPr>
    </w:p>
    <w:tbl>
      <w:tblPr>
        <w:tblLayout w:type="fixed"/>
        <w:tblInd w:w="112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As of March 31, 2020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0" w:type="dxa"/>
            <w:vAlign w:val="bottom"/>
            <w:tcBorders>
              <w:bottom w:val="single" w:sz="8" w:color="auto"/>
            </w:tcBorders>
            <w:gridSpan w:val="3"/>
          </w:tcPr>
          <w:p>
            <w:pPr>
              <w:ind w:left="800"/>
              <w:spacing w:after="0" w:line="142" w:lineRule="exact"/>
              <w:rPr>
                <w:sz w:val="20"/>
                <w:szCs w:val="20"/>
                <w:color w:val="auto"/>
              </w:rPr>
            </w:pPr>
            <w:r>
              <w:rPr>
                <w:rFonts w:ascii="Arial" w:cs="Arial" w:eastAsia="Arial" w:hAnsi="Arial"/>
                <w:sz w:val="13"/>
                <w:szCs w:val="13"/>
                <w:b w:val="1"/>
                <w:bCs w:val="1"/>
                <w:color w:val="auto"/>
                <w:w w:val="95"/>
              </w:rPr>
              <w:t>Actual</w:t>
            </w: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tcBorders>
              <w:bottom w:val="single" w:sz="8" w:color="auto"/>
            </w:tcBorders>
            <w:gridSpan w:val="3"/>
          </w:tcPr>
          <w:p>
            <w:pPr>
              <w:jc w:val="right"/>
              <w:ind w:right="595"/>
              <w:spacing w:after="0" w:line="142" w:lineRule="exact"/>
              <w:rPr>
                <w:sz w:val="20"/>
                <w:szCs w:val="20"/>
                <w:color w:val="auto"/>
              </w:rPr>
            </w:pPr>
            <w:r>
              <w:rPr>
                <w:rFonts w:ascii="Arial" w:cs="Arial" w:eastAsia="Arial" w:hAnsi="Arial"/>
                <w:sz w:val="13"/>
                <w:szCs w:val="13"/>
                <w:b w:val="1"/>
                <w:bCs w:val="1"/>
                <w:color w:val="auto"/>
              </w:rPr>
              <w:t>As Adjusted</w:t>
            </w:r>
          </w:p>
        </w:tc>
        <w:tc>
          <w:tcPr>
            <w:tcW w:w="160" w:type="dxa"/>
            <w:vAlign w:val="bottom"/>
          </w:tcPr>
          <w:p>
            <w:pPr>
              <w:spacing w:after="0"/>
              <w:rPr>
                <w:sz w:val="12"/>
                <w:szCs w:val="12"/>
                <w:color w:val="auto"/>
              </w:rPr>
            </w:pPr>
          </w:p>
        </w:tc>
      </w:tr>
      <w:tr>
        <w:trPr>
          <w:trHeight w:val="169"/>
        </w:trPr>
        <w:tc>
          <w:tcPr>
            <w:tcW w:w="2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8"/>
              <w:spacing w:after="0" w:line="169" w:lineRule="exact"/>
              <w:rPr>
                <w:sz w:val="20"/>
                <w:szCs w:val="20"/>
                <w:color w:val="auto"/>
              </w:rPr>
            </w:pPr>
            <w:r>
              <w:rPr>
                <w:rFonts w:ascii="Arial" w:cs="Arial" w:eastAsia="Arial" w:hAnsi="Arial"/>
                <w:sz w:val="19"/>
                <w:szCs w:val="19"/>
                <w:b w:val="1"/>
                <w:bCs w:val="1"/>
                <w:color w:val="auto"/>
                <w:vertAlign w:val="subscript"/>
              </w:rPr>
              <w:t>US$</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75"/>
              <w:spacing w:after="0" w:line="169" w:lineRule="exact"/>
              <w:rPr>
                <w:sz w:val="20"/>
                <w:szCs w:val="20"/>
                <w:color w:val="auto"/>
              </w:rPr>
            </w:pPr>
            <w:r>
              <w:rPr>
                <w:rFonts w:ascii="Arial" w:cs="Arial" w:eastAsia="Arial" w:hAnsi="Arial"/>
                <w:sz w:val="19"/>
                <w:szCs w:val="19"/>
                <w:b w:val="1"/>
                <w:bCs w:val="1"/>
                <w:color w:val="auto"/>
                <w:vertAlign w:val="subscript"/>
              </w:rPr>
              <w:t>US$</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(unaudited,</w:t>
            </w:r>
          </w:p>
        </w:tc>
        <w:tc>
          <w:tcPr>
            <w:tcW w:w="1180" w:type="dxa"/>
            <w:vAlign w:val="bottom"/>
            <w:gridSpan w:val="2"/>
          </w:tcPr>
          <w:p>
            <w:pPr>
              <w:jc w:val="right"/>
              <w:ind w:right="215"/>
              <w:spacing w:after="0" w:line="142"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loans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19,624,535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97"/>
              </w:rPr>
              <w:t>2,771,514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19,624,535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2,771,514</w:t>
            </w:r>
          </w:p>
        </w:tc>
      </w:tr>
      <w:tr>
        <w:trPr>
          <w:trHeight w:val="431"/>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Redeemable noncontrolling interests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10,385,411</w:t>
            </w:r>
          </w:p>
        </w:tc>
        <w:tc>
          <w:tcPr>
            <w:tcW w:w="120" w:type="dxa"/>
            <w:vAlign w:val="bottom"/>
          </w:tcPr>
          <w:p>
            <w:pPr>
              <w:spacing w:after="0"/>
              <w:rPr>
                <w:sz w:val="24"/>
                <w:szCs w:val="24"/>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8"/>
                <w:szCs w:val="18"/>
                <w:color w:val="auto"/>
                <w:w w:val="97"/>
              </w:rPr>
              <w:t>1,466,700</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10,385,411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1,466,700</w:t>
            </w:r>
          </w:p>
        </w:tc>
      </w:tr>
      <w:tr>
        <w:trPr>
          <w:trHeight w:val="43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8"/>
        </w:trPr>
        <w:tc>
          <w:tcPr>
            <w:tcW w:w="4580" w:type="dxa"/>
            <w:vAlign w:val="bottom"/>
            <w:gridSpan w:val="2"/>
          </w:tcPr>
          <w:p>
            <w:pPr>
              <w:ind w:left="20"/>
              <w:spacing w:after="0"/>
              <w:rPr>
                <w:sz w:val="20"/>
                <w:szCs w:val="20"/>
                <w:color w:val="auto"/>
              </w:rPr>
            </w:pPr>
            <w:r>
              <w:rPr>
                <w:rFonts w:ascii="Arial" w:cs="Arial" w:eastAsia="Arial" w:hAnsi="Arial"/>
                <w:sz w:val="18"/>
                <w:szCs w:val="18"/>
                <w:color w:val="auto"/>
                <w:w w:val="92"/>
              </w:rPr>
              <w:t>Ordinary shares (US$0.0001 par value, 1,000,300,000 shares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80" w:type="dxa"/>
            <w:vAlign w:val="bottom"/>
            <w:gridSpan w:val="2"/>
          </w:tcPr>
          <w:p>
            <w:pPr>
              <w:ind w:left="200"/>
              <w:spacing w:after="0"/>
              <w:rPr>
                <w:sz w:val="20"/>
                <w:szCs w:val="20"/>
                <w:color w:val="auto"/>
              </w:rPr>
            </w:pPr>
            <w:r>
              <w:rPr>
                <w:rFonts w:ascii="Arial" w:cs="Arial" w:eastAsia="Arial" w:hAnsi="Arial"/>
                <w:sz w:val="18"/>
                <w:szCs w:val="18"/>
                <w:color w:val="auto"/>
                <w:w w:val="92"/>
              </w:rPr>
              <w:t>authorized, 3,257,915 shares issued as of March 31, 2020;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580" w:type="dxa"/>
            <w:vAlign w:val="bottom"/>
            <w:gridSpan w:val="2"/>
          </w:tcPr>
          <w:p>
            <w:pPr>
              <w:ind w:left="200"/>
              <w:spacing w:after="0"/>
              <w:rPr>
                <w:sz w:val="20"/>
                <w:szCs w:val="20"/>
                <w:color w:val="auto"/>
              </w:rPr>
            </w:pPr>
            <w:r>
              <w:rPr>
                <w:rFonts w:ascii="Arial" w:cs="Arial" w:eastAsia="Arial" w:hAnsi="Arial"/>
                <w:sz w:val="18"/>
                <w:szCs w:val="18"/>
                <w:color w:val="auto"/>
              </w:rPr>
              <w:t>and 3,429,395 shares issued on an as adjusted basis)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9"/>
                <w:szCs w:val="19"/>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2,776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392</w:t>
            </w:r>
          </w:p>
        </w:tc>
      </w:tr>
      <w:tr>
        <w:trPr>
          <w:trHeight w:val="217"/>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4,687,742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662,036</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24,163,441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3,406,917</w:t>
            </w:r>
          </w:p>
        </w:tc>
      </w:tr>
      <w:tr>
        <w:trPr>
          <w:trHeight w:val="216"/>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Treasury Stock</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(2,395,815)</w:t>
            </w:r>
          </w:p>
        </w:tc>
        <w:tc>
          <w:tcPr>
            <w:tcW w:w="120" w:type="dxa"/>
            <w:vAlign w:val="bottom"/>
          </w:tcPr>
          <w:p>
            <w:pPr>
              <w:spacing w:after="0"/>
              <w:rPr>
                <w:sz w:val="18"/>
                <w:szCs w:val="18"/>
                <w:color w:val="auto"/>
              </w:rPr>
            </w:pPr>
          </w:p>
        </w:tc>
        <w:tc>
          <w:tcPr>
            <w:tcW w:w="960" w:type="dxa"/>
            <w:vAlign w:val="bottom"/>
            <w:gridSpan w:val="2"/>
          </w:tcPr>
          <w:p>
            <w:pPr>
              <w:jc w:val="right"/>
              <w:ind w:right="33"/>
              <w:spacing w:after="0"/>
              <w:rPr>
                <w:sz w:val="20"/>
                <w:szCs w:val="20"/>
                <w:color w:val="auto"/>
              </w:rPr>
            </w:pPr>
            <w:r>
              <w:rPr>
                <w:rFonts w:ascii="Arial" w:cs="Arial" w:eastAsia="Arial" w:hAnsi="Arial"/>
                <w:sz w:val="18"/>
                <w:szCs w:val="18"/>
                <w:color w:val="auto"/>
              </w:rPr>
              <w:t>(338,354)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(2,395,815)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(338,354)</w:t>
            </w:r>
          </w:p>
        </w:tc>
      </w:tr>
      <w:tr>
        <w:trPr>
          <w:trHeight w:val="216"/>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Statutory reserves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1,215,208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171,620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1,215,208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171,620</w:t>
            </w:r>
          </w:p>
        </w:tc>
      </w:tr>
      <w:tr>
        <w:trPr>
          <w:trHeight w:val="216"/>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69,456</w:t>
            </w:r>
          </w:p>
        </w:tc>
        <w:tc>
          <w:tcPr>
            <w:tcW w:w="120" w:type="dxa"/>
            <w:vAlign w:val="bottom"/>
          </w:tcPr>
          <w:p>
            <w:pPr>
              <w:spacing w:after="0"/>
              <w:rPr>
                <w:sz w:val="18"/>
                <w:szCs w:val="18"/>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8"/>
                <w:szCs w:val="18"/>
                <w:color w:val="auto"/>
              </w:rPr>
              <w:t>9,809</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69,456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9,809</w:t>
            </w:r>
          </w:p>
        </w:tc>
      </w:tr>
      <w:tr>
        <w:trPr>
          <w:trHeight w:val="216"/>
        </w:trPr>
        <w:tc>
          <w:tcPr>
            <w:tcW w:w="4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59,018,101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97"/>
              </w:rPr>
              <w:t>8,334,948</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59,008,333</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8,333,571</w:t>
            </w:r>
          </w:p>
        </w:tc>
      </w:tr>
      <w:tr>
        <w:trPr>
          <w:trHeight w:val="21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NetEase, Inc.'s shareholders' equity</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62,597,346</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8,840,434</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82,063,399</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11,583,955</w:t>
            </w:r>
          </w:p>
        </w:tc>
        <w:tc>
          <w:tcPr>
            <w:tcW w:w="160" w:type="dxa"/>
            <w:vAlign w:val="bottom"/>
          </w:tcPr>
          <w:p>
            <w:pPr>
              <w:spacing w:after="0"/>
              <w:rPr>
                <w:sz w:val="18"/>
                <w:szCs w:val="18"/>
                <w:color w:val="auto"/>
              </w:rPr>
            </w:pPr>
          </w:p>
        </w:tc>
      </w:tr>
      <w:tr>
        <w:trPr>
          <w:trHeight w:val="216"/>
        </w:trPr>
        <w:tc>
          <w:tcPr>
            <w:tcW w:w="4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1,210,794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170,997</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1,210,794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170,997</w:t>
            </w:r>
          </w:p>
        </w:tc>
      </w:tr>
      <w:tr>
        <w:trPr>
          <w:trHeight w:val="21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Total shareholders' equity</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63,808,140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9,011,431</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83,274,193</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11,754,952</w:t>
            </w:r>
          </w:p>
        </w:tc>
        <w:tc>
          <w:tcPr>
            <w:tcW w:w="160" w:type="dxa"/>
            <w:vAlign w:val="bottom"/>
          </w:tcPr>
          <w:p>
            <w:pPr>
              <w:spacing w:after="0"/>
              <w:rPr>
                <w:sz w:val="18"/>
                <w:szCs w:val="18"/>
                <w:color w:val="auto"/>
              </w:rPr>
            </w:pPr>
          </w:p>
        </w:tc>
      </w:tr>
      <w:tr>
        <w:trPr>
          <w:trHeight w:val="432"/>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93,818,086</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w w:val="86"/>
              </w:rPr>
              <w:t>13,249,645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113,284,139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15,993,166</w:t>
            </w:r>
          </w:p>
        </w:tc>
      </w:tr>
      <w:tr>
        <w:trPr>
          <w:trHeight w:val="108"/>
        </w:trPr>
        <w:tc>
          <w:tcPr>
            <w:tcW w:w="238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08" w:lineRule="exact"/>
        <w:rPr>
          <w:rFonts w:ascii="Arial" w:cs="Arial" w:eastAsia="Arial" w:hAnsi="Arial"/>
          <w:sz w:val="16"/>
          <w:szCs w:val="16"/>
          <w:color w:val="auto"/>
        </w:rPr>
      </w:pPr>
    </w:p>
    <w:p>
      <w:pPr>
        <w:ind w:left="1140"/>
        <w:spacing w:after="0"/>
        <w:rPr>
          <w:sz w:val="20"/>
          <w:szCs w:val="20"/>
          <w:color w:val="auto"/>
        </w:rPr>
      </w:pPr>
      <w:r>
        <w:rPr>
          <w:rFonts w:ascii="Arial" w:cs="Arial" w:eastAsia="Arial" w:hAnsi="Arial"/>
          <w:sz w:val="18"/>
          <w:szCs w:val="18"/>
          <w:color w:val="auto"/>
        </w:rPr>
        <w:t>Note:</w:t>
      </w:r>
    </w:p>
    <w:p>
      <w:pPr>
        <w:spacing w:after="0" w:line="239" w:lineRule="exact"/>
        <w:rPr>
          <w:rFonts w:ascii="Arial" w:cs="Arial" w:eastAsia="Arial" w:hAnsi="Arial"/>
          <w:sz w:val="16"/>
          <w:szCs w:val="16"/>
          <w:color w:val="auto"/>
        </w:rPr>
      </w:pPr>
    </w:p>
    <w:p>
      <w:pPr>
        <w:ind w:left="1680" w:right="120" w:hanging="549"/>
        <w:spacing w:after="0" w:line="294"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purposes of this "Capitalization" section, all translations of Hong Kong dollars into U.S. dollars and RMB into U.S. dollars for purposes of calculating the net proceeds from the Global Offering were made at HK$7.7561 to US$1.00 and RMB7.1269 to US$1.00, the exchange rates on May 22, 2020 as set forth in the H.10 statistical release of the Federal Reserve Board. All translations of Hong Kong dollars into RMB for purposes of calculating the net proceeds were made at HK$1.0931 to RMB1.00, the exchange rate on May 22, 2020 as set forth in the release from The People's Bank of China Monetary Policy Department.</w:t>
      </w:r>
    </w:p>
    <w:p>
      <w:pPr>
        <w:spacing w:after="0" w:line="16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you invest in the ordinary shares in the Global Offering, your interest will be diluted to the extent of the difference between the public offering price per ordinary share and our as adjusted net tangible book value per ordinary share after the Global Offering. Dilution results from the fact that the public offering price per ordinary share is substantially in excess of the net tangible book value per ordinary share attributable to the existing shareholders for our presently issued ordinary shares.</w:t>
      </w:r>
    </w:p>
    <w:p>
      <w:pPr>
        <w:spacing w:after="0" w:line="197" w:lineRule="exact"/>
        <w:rPr>
          <w:sz w:val="20"/>
          <w:szCs w:val="20"/>
          <w:color w:val="auto"/>
        </w:rPr>
      </w:pPr>
    </w:p>
    <w:p>
      <w:pPr>
        <w:ind w:right="200" w:firstLine="351"/>
        <w:spacing w:after="0" w:line="253" w:lineRule="auto"/>
        <w:rPr>
          <w:sz w:val="20"/>
          <w:szCs w:val="20"/>
          <w:color w:val="auto"/>
        </w:rPr>
      </w:pPr>
      <w:r>
        <w:rPr>
          <w:rFonts w:ascii="Arial" w:cs="Arial" w:eastAsia="Arial" w:hAnsi="Arial"/>
          <w:sz w:val="18"/>
          <w:szCs w:val="18"/>
          <w:color w:val="auto"/>
        </w:rPr>
        <w:t>Our net tangible book value as of March 31, 2020 was RMB73,912.0 million (US$10,438.4 million), or RMB22.69 (US$3.20) per ordinary share as of that date, and RMB567.17 (US$80.10) per ADS. Net tangible book value represents the amount of our total consolidated assets, less the amount of our intangible assets and total consolidated liabilities. Dilution is determined by subtracting as adjusted net tangible book value per ordinary share, after giving effect to the issuance and sale by us of ordinary shares in the Global Offering at an assumed offer price of HK$126.00, or US$16.25 per ordinary share, after deducting the estimated underwriting discounts and commissions and estimated offering expenses payable by us from the public offering price per ordinary share, and assuming the Joint Global Coordinators do not exercise, on behalf of the international underwriters, their option to purchase additional ordinary shares.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taking into account any other changes in net tangible book value after March 31, 2020, other than to give effect to the issuance and sale by us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in the Global Offering at an assumed offer price of HK$126.00, or US$16.25, per ordinary share, assuming no adjustment to the allocation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between the Hong Kong Public Offering and the International Offering and after deducting estimated underwriting discounts and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estimated offering expenses payable by us, and assuming the Joint Global Coordinators do not exercise, on behalf of the international underwriters, their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option to purchase additional ordinary shares, our as adjusted net tangible book value as of March 31, 2020 would have been US$13,181.9 million, or US$3.84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per issued ordinary share and US$96.09 per ADS. This represents an immediate increase in net tangible book value of US$0.64 per ordinary share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US$15.99 per ADS to the existing shareholders and an immediate dilution in net tangible book value of US$12.41 per ordinary share and US$310.04 per ADS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investors purchasing ordinary shares in the Global Offering.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such dilution:</w:t>
      </w:r>
    </w:p>
    <w:p>
      <w:pPr>
        <w:spacing w:after="0" w:line="220"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73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Per</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73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Ordinary</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73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Share</w:t>
            </w: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Per ADS</w:t>
            </w:r>
          </w:p>
        </w:tc>
      </w:tr>
      <w:tr>
        <w:trPr>
          <w:trHeight w:val="142"/>
        </w:trPr>
        <w:tc>
          <w:tcPr>
            <w:tcW w:w="73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4"/>
              </w:rPr>
              <w:t>US$</w:t>
            </w:r>
          </w:p>
        </w:tc>
        <w:tc>
          <w:tcPr>
            <w:tcW w:w="160" w:type="dxa"/>
            <w:vAlign w:val="bottom"/>
          </w:tcPr>
          <w:p>
            <w:pPr>
              <w:spacing w:after="0"/>
              <w:rPr>
                <w:sz w:val="12"/>
                <w:szCs w:val="12"/>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net tangible book value per ordinary share as of March 31, 2020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80.10</w:t>
            </w: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w w:val="96"/>
              </w:rPr>
              <w:t>As adjusted net tangible book value per ordinary share after giving effect to the Global Offering</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96.09</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public offering price per ordinary share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406.13</w:t>
            </w:r>
          </w:p>
        </w:tc>
      </w:tr>
      <w:tr>
        <w:trPr>
          <w:trHeight w:val="222"/>
        </w:trPr>
        <w:tc>
          <w:tcPr>
            <w:tcW w:w="7300" w:type="dxa"/>
            <w:vAlign w:val="bottom"/>
          </w:tcPr>
          <w:p>
            <w:pPr>
              <w:ind w:left="20"/>
              <w:spacing w:after="0"/>
              <w:rPr>
                <w:sz w:val="20"/>
                <w:szCs w:val="20"/>
                <w:color w:val="auto"/>
              </w:rPr>
            </w:pPr>
            <w:r>
              <w:rPr>
                <w:rFonts w:ascii="Arial" w:cs="Arial" w:eastAsia="Arial" w:hAnsi="Arial"/>
                <w:sz w:val="18"/>
                <w:szCs w:val="18"/>
                <w:color w:val="auto"/>
                <w:w w:val="99"/>
              </w:rPr>
              <w:t>Dilution in net tangible book value per ordinary share to new investors in the Global Offering</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12.41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310.04</w:t>
            </w:r>
          </w:p>
        </w:tc>
      </w:tr>
    </w:tbl>
    <w:p>
      <w:pPr>
        <w:spacing w:after="0" w:line="20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If the Joint Global Coordinators, on behalf of the international underwriters, exercise their option to purchase additional ordinary shares in full, the as adjusted net tangible book value would be US$3.93 per ordinary share and US$98.37 per ADS, and the dilution in as adjusted net tangible book value to investors in the Global Offering would be US$12.32 per ordinary share and US$307.76 per ADS.</w:t>
      </w:r>
    </w:p>
    <w:p>
      <w:pPr>
        <w:spacing w:after="0" w:line="194"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 US$1.00 increase (decrease) in the assumed offer price of HK$126.00, or US$16.25, per ordinary share would increase (decrease) our as adjusted net tangible book value after giving effect to the Global Offering by US$169.8 million, the as adjusted net tangible book value per ordinary share and per ADS after giving effect to the Global Offering by US$0.05 per ordinary share and US$1.24 per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ADS and the dilution in net tangible book value per ordinary share and per ADS to new investors in the Global Offering by US$0.95 per ordinary share and US$23.76 per ADS, assuming no change to the number of ordinary shares offered by us as set forth on the front cover page of this prospectus supplement, no adjustment to the allocation of ordinary shares between the Hong Kong Public Offering and the International Offering and after deducting estimated underwriting discounts and commissions.</w:t>
      </w:r>
    </w:p>
    <w:p>
      <w:pPr>
        <w:spacing w:after="0" w:line="197" w:lineRule="exact"/>
        <w:rPr>
          <w:sz w:val="20"/>
          <w:szCs w:val="20"/>
          <w:color w:val="auto"/>
        </w:rPr>
      </w:pPr>
    </w:p>
    <w:p>
      <w:pPr>
        <w:ind w:right="160" w:firstLine="348"/>
        <w:spacing w:after="0" w:line="369" w:lineRule="auto"/>
        <w:rPr>
          <w:sz w:val="20"/>
          <w:szCs w:val="20"/>
          <w:color w:val="auto"/>
        </w:rPr>
      </w:pPr>
      <w:r>
        <w:rPr>
          <w:rFonts w:ascii="Arial" w:cs="Arial" w:eastAsia="Arial" w:hAnsi="Arial"/>
          <w:sz w:val="15"/>
          <w:szCs w:val="15"/>
          <w:color w:val="auto"/>
        </w:rPr>
        <w:t>The discussion and tables above do not reflect any ordinary shares issuable under granted but not yet vested RSUs. As of March 31, 2020, there were 74,512,830 ordinary shares issuable under granted but not yet vested RSUs and 304,776,175 ordinary shares reserved for future grant under our RSU plans.</w:t>
      </w:r>
    </w:p>
    <w:p>
      <w:pPr>
        <w:spacing w:after="0" w:line="118"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For the purposes of this section, all translations of Hong Kong dollars into U.S. dollars and RMB into U.S. dollars for purposes of calculating the net proceeds from the Global Offering were made at HK$7.7561 to US$1.00 and RMB7.1269 to US$1.00, the exchange rates on May 22, 2020 as set forth in the H.10 statistical release of the Federal Reserve Board. All translations of Hong Kong dollars into RMB for purposes of calculating the net proceeds were made at HK$1.0931 to RMB1.00, the exchange rate on May 22, 2020 as set forth in the release from The People's Bank of China Monetary Policy Department.</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131" w:right="4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AND OTHER SHAREHOLDERS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specifically noted, the following table summarizes the beneficial ownership of our ordinary shares held as of May 25, 2020 by:</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directors and our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directors and our executive officer as a group; and</w:t>
      </w:r>
    </w:p>
    <w:p>
      <w:pPr>
        <w:spacing w:after="0" w:line="238" w:lineRule="exact"/>
        <w:rPr>
          <w:rFonts w:ascii="Arial" w:cs="Arial" w:eastAsia="Arial" w:hAnsi="Arial"/>
          <w:sz w:val="18"/>
          <w:szCs w:val="18"/>
          <w:color w:val="auto"/>
        </w:rPr>
      </w:pPr>
    </w:p>
    <w:p>
      <w:pPr>
        <w:ind w:left="360" w:right="3100" w:firstLine="188"/>
        <w:spacing w:after="0" w:line="563" w:lineRule="auto"/>
        <w:tabs>
          <w:tab w:leader="none" w:pos="1092" w:val="left"/>
        </w:tabs>
        <w:numPr>
          <w:ilvl w:val="0"/>
          <w:numId w:val="28"/>
        </w:numPr>
        <w:rPr>
          <w:rFonts w:ascii="Arial" w:cs="Arial" w:eastAsia="Arial" w:hAnsi="Arial"/>
          <w:sz w:val="16"/>
          <w:szCs w:val="16"/>
          <w:color w:val="auto"/>
        </w:rPr>
      </w:pPr>
      <w:r>
        <w:rPr>
          <w:rFonts w:ascii="Arial" w:cs="Arial" w:eastAsia="Arial" w:hAnsi="Arial"/>
          <w:sz w:val="16"/>
          <w:szCs w:val="16"/>
          <w:color w:val="auto"/>
        </w:rPr>
        <w:t>each person known to us to beneficially own more than 5% of our total outstanding ordinary shares. The calculations are based on 3,257,915,456 ordinary shares issued as of May 25, 2020.</w:t>
      </w:r>
    </w:p>
    <w:p>
      <w:pPr>
        <w:spacing w:after="0" w:line="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Beneficial ownership is determined in accordance with SEC rules and regulations. In calculating the number of ordinary shares beneficially owned by a person and the percentage of ownership held by that person, we have included ordinary shares that the person has a right to acquire within 60 days, including through the exercise of any option, warrant or other right, the vesting of any RSUs, or the conversion of any other security; these ordinary shares are not included when calculating the percentage of ownership held by any other person.</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26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Number of Shares Beneficially</w:t>
            </w:r>
          </w:p>
        </w:tc>
      </w:tr>
      <w:tr>
        <w:trPr>
          <w:trHeight w:val="161"/>
        </w:trPr>
        <w:tc>
          <w:tcPr>
            <w:tcW w:w="2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Owned</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340" w:type="dxa"/>
            <w:vAlign w:val="bottom"/>
            <w:gridSpan w:val="3"/>
          </w:tcPr>
          <w:p>
            <w:pPr>
              <w:jc w:val="right"/>
              <w:ind w:right="520"/>
              <w:spacing w:after="0" w:line="142" w:lineRule="exact"/>
              <w:rPr>
                <w:sz w:val="20"/>
                <w:szCs w:val="20"/>
                <w:color w:val="auto"/>
              </w:rPr>
            </w:pPr>
            <w:r>
              <w:rPr>
                <w:rFonts w:ascii="Arial" w:cs="Arial" w:eastAsia="Arial" w:hAnsi="Arial"/>
                <w:sz w:val="13"/>
                <w:szCs w:val="13"/>
                <w:b w:val="1"/>
                <w:bCs w:val="1"/>
                <w:color w:val="auto"/>
              </w:rPr>
              <w:t>Number</w:t>
            </w: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w w:val="94"/>
              </w:rPr>
              <w:t>Percentage</w:t>
            </w:r>
          </w:p>
        </w:tc>
        <w:tc>
          <w:tcPr>
            <w:tcW w:w="160" w:type="dxa"/>
            <w:vAlign w:val="bottom"/>
          </w:tcPr>
          <w:p>
            <w:pPr>
              <w:spacing w:after="0"/>
              <w:rPr>
                <w:sz w:val="12"/>
                <w:szCs w:val="12"/>
                <w:color w:val="auto"/>
              </w:rPr>
            </w:pPr>
          </w:p>
        </w:tc>
      </w:tr>
      <w:tr>
        <w:trPr>
          <w:trHeight w:val="210"/>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 Shareholder</w:t>
            </w: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8"/>
        </w:trPr>
        <w:tc>
          <w:tcPr>
            <w:tcW w:w="6720" w:type="dxa"/>
            <w:vAlign w:val="bottom"/>
            <w:gridSpan w:val="2"/>
          </w:tcPr>
          <w:p>
            <w:pPr>
              <w:ind w:left="20"/>
              <w:spacing w:after="0" w:line="247" w:lineRule="exact"/>
              <w:rPr>
                <w:sz w:val="20"/>
                <w:szCs w:val="20"/>
                <w:color w:val="auto"/>
              </w:rPr>
            </w:pPr>
            <w:r>
              <w:rPr>
                <w:rFonts w:ascii="Arial" w:cs="Arial" w:eastAsia="Arial" w:hAnsi="Arial"/>
                <w:sz w:val="17"/>
                <w:szCs w:val="17"/>
                <w:color w:val="auto"/>
              </w:rPr>
              <w:t>Shining Globe International Limited/William Lei Ding</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c/o NetEase, Inc., NetEase</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720" w:type="dxa"/>
            <w:vAlign w:val="bottom"/>
            <w:gridSpan w:val="2"/>
          </w:tcPr>
          <w:p>
            <w:pPr>
              <w:ind w:left="200"/>
              <w:spacing w:after="0"/>
              <w:rPr>
                <w:sz w:val="20"/>
                <w:szCs w:val="20"/>
                <w:color w:val="auto"/>
              </w:rPr>
            </w:pPr>
            <w:r>
              <w:rPr>
                <w:rFonts w:ascii="Arial" w:cs="Arial" w:eastAsia="Arial" w:hAnsi="Arial"/>
                <w:sz w:val="18"/>
                <w:szCs w:val="18"/>
                <w:color w:val="auto"/>
                <w:w w:val="94"/>
              </w:rPr>
              <w:t>Building, No. 599 Wangshang Road, Binjiang District, Hangzhou, People's Republic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6720" w:type="dxa"/>
            <w:vAlign w:val="bottom"/>
            <w:gridSpan w:val="2"/>
          </w:tcPr>
          <w:p>
            <w:pPr>
              <w:ind w:left="200"/>
              <w:spacing w:after="0"/>
              <w:rPr>
                <w:sz w:val="20"/>
                <w:szCs w:val="20"/>
                <w:color w:val="auto"/>
              </w:rPr>
            </w:pPr>
            <w:r>
              <w:rPr>
                <w:rFonts w:ascii="Arial" w:cs="Arial" w:eastAsia="Arial" w:hAnsi="Arial"/>
                <w:sz w:val="18"/>
                <w:szCs w:val="18"/>
                <w:color w:val="auto"/>
              </w:rPr>
              <w:t>China 310052.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1,456,000,000</w:t>
            </w:r>
          </w:p>
        </w:tc>
        <w:tc>
          <w:tcPr>
            <w:tcW w:w="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r>
      <w:tr>
        <w:trPr>
          <w:trHeight w:val="20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Orbis Investment Management Limited c/o Orbis House, 25 Front Street, Hamilton HM 11,</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Bermuda and Allan Gray Australia Pty Limited c/o Level 2, Challis House, 4 Martin</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Place, Sydney NSW2000, Australia.</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167,410,775</w:t>
            </w:r>
            <w:r>
              <w:rPr>
                <w:rFonts w:ascii="Arial" w:cs="Arial" w:eastAsia="Arial" w:hAnsi="Arial"/>
                <w:sz w:val="14"/>
                <w:szCs w:val="14"/>
                <w:color w:val="auto"/>
              </w:rPr>
              <w:t>(2)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4"/>
                <w:szCs w:val="14"/>
                <w:color w:val="auto"/>
              </w:rPr>
              <w:t>(2)</w:t>
            </w:r>
          </w:p>
        </w:tc>
      </w:tr>
      <w:tr>
        <w:trPr>
          <w:trHeight w:val="250"/>
        </w:trPr>
        <w:tc>
          <w:tcPr>
            <w:tcW w:w="6720" w:type="dxa"/>
            <w:vAlign w:val="bottom"/>
            <w:gridSpan w:val="2"/>
          </w:tcPr>
          <w:p>
            <w:pPr>
              <w:ind w:left="20"/>
              <w:spacing w:after="0" w:line="250" w:lineRule="exact"/>
              <w:rPr>
                <w:sz w:val="20"/>
                <w:szCs w:val="20"/>
                <w:color w:val="auto"/>
              </w:rPr>
            </w:pPr>
            <w:r>
              <w:rPr>
                <w:rFonts w:ascii="Arial" w:cs="Arial" w:eastAsia="Arial" w:hAnsi="Arial"/>
                <w:sz w:val="17"/>
                <w:szCs w:val="17"/>
                <w:b w:val="1"/>
                <w:bCs w:val="1"/>
                <w:color w:val="auto"/>
              </w:rPr>
              <w:t>Executive Officers and Directors</w:t>
            </w:r>
            <w:r>
              <w:rPr>
                <w:rFonts w:ascii="Arial" w:cs="Arial" w:eastAsia="Arial" w:hAnsi="Arial"/>
                <w:sz w:val="28"/>
                <w:szCs w:val="28"/>
                <w:color w:val="auto"/>
                <w:vertAlign w:val="superscript"/>
              </w:rPr>
              <w:t>(3)</w:t>
            </w:r>
          </w:p>
        </w:tc>
        <w:tc>
          <w:tcPr>
            <w:tcW w:w="11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Charles Zhaoxuan Yang</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Alice Cheng</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Denny Lee</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Joseph Tong</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Lun Feng</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Michael Leung</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Tong</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65"/>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All current directors and executive officers as a group (8 persons)</w:t>
            </w:r>
            <w:r>
              <w:rPr>
                <w:rFonts w:ascii="Arial" w:cs="Arial" w:eastAsia="Arial" w:hAnsi="Arial"/>
                <w:sz w:val="29"/>
                <w:szCs w:val="29"/>
                <w:color w:val="auto"/>
                <w:vertAlign w:val="superscript"/>
              </w:rPr>
              <w:t>(4)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1,456,907,000</w:t>
            </w:r>
          </w:p>
        </w:tc>
        <w:tc>
          <w:tcPr>
            <w:tcW w:w="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44.7%</w:t>
            </w:r>
          </w:p>
        </w:tc>
      </w:tr>
      <w:tr>
        <w:trPr>
          <w:trHeight w:val="20"/>
        </w:trPr>
        <w:tc>
          <w:tcPr>
            <w:tcW w:w="23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Notes:</w:t>
      </w:r>
    </w:p>
    <w:p>
      <w:pPr>
        <w:spacing w:after="0" w:line="239" w:lineRule="exact"/>
        <w:rPr>
          <w:sz w:val="20"/>
          <w:szCs w:val="20"/>
          <w:color w:val="auto"/>
        </w:rPr>
      </w:pPr>
    </w:p>
    <w:p>
      <w:pPr>
        <w:ind w:left="1680" w:hanging="549"/>
        <w:spacing w:after="0"/>
        <w:tabs>
          <w:tab w:leader="none" w:pos="1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1680" w:hanging="549"/>
        <w:spacing w:after="0" w:line="254"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Shining Globe International Limited is the record owner of 1,456,000,000 ordinary shares, consisting of 1,406,000,000 ordinary shares and 2,000,000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0" w:hanging="549"/>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the number of ADSs included in the Schedule 13F dated May 15, 2020, filed with the SEC by the reporting manager of Orbis Investment Management Limited and Allan Gray Australia Pty Limited.</w:t>
      </w:r>
    </w:p>
    <w:p>
      <w:pPr>
        <w:spacing w:after="0" w:line="212" w:lineRule="exact"/>
        <w:rPr>
          <w:rFonts w:ascii="Arial" w:cs="Arial" w:eastAsia="Arial" w:hAnsi="Arial"/>
          <w:sz w:val="18"/>
          <w:szCs w:val="18"/>
          <w:color w:val="auto"/>
        </w:rPr>
      </w:pPr>
    </w:p>
    <w:p>
      <w:pPr>
        <w:ind w:left="1680" w:right="500" w:hanging="549"/>
        <w:spacing w:after="0" w:line="268" w:lineRule="auto"/>
        <w:tabs>
          <w:tab w:leader="none" w:pos="1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is c/o NetEase Building, No. 599 Wangshang Road, Binjiang District, Hangzhou, People's Republic of China 310052.</w:t>
      </w:r>
    </w:p>
    <w:p>
      <w:pPr>
        <w:spacing w:after="0" w:line="199" w:lineRule="exact"/>
        <w:rPr>
          <w:rFonts w:ascii="Arial" w:cs="Arial" w:eastAsia="Arial" w:hAnsi="Arial"/>
          <w:sz w:val="18"/>
          <w:szCs w:val="18"/>
          <w:color w:val="auto"/>
        </w:rPr>
      </w:pPr>
    </w:p>
    <w:p>
      <w:pPr>
        <w:ind w:left="1680" w:right="40" w:hanging="549"/>
        <w:spacing w:after="0" w:line="331"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owned by all of our current directors and executive officers as a group includes shares beneficially owned by William Lei Ding. This amount includes ordinary shares issuable upon the vesting of RSUs held by our directors and executive officers as a group.</w:t>
      </w:r>
    </w:p>
    <w:p>
      <w:pPr>
        <w:spacing w:after="0" w:line="14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Solely based on public filings with the SEC as of May 28, 2020, other than William Lei Ding, there are no shareholders who hold more than 10% of our total issued share capital.</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J.P. Morgan Securities plc expects to enter into a borrowing arrangement with Shining Globe International Limited in connection with the Global Offering that is intended to facilitate the settlement of over-allocations. J.P. Morgan Securities plc is obligated to return ordinary shares to Shining Globe International Limited by exercising the option to purchase additional ordinary shares from us or by making purchases in the open market. No fees or other remuneration will be paid by the underwriters to us or Shining Globe International Limited for the loan of these ordinary shares.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May 2014, our board of directors approved a quarterly dividend policy commencing in 2014. Under this policy, quarterly dividends were set at an amount equivalent to approximately 25% of our anticipated net income after tax in each fiscal quarter. In the second quarter of 2019, our board of directors determined that quarterly dividends will be set at an amount equivalent to approximately 20%-30%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on our ordinary shares which were equivalent to US$0.69, US$1.04, US$4.14 and US$1.02 per ADS for the first, second, third and fourth quarters of 2019, respectively. Our board of directors also approved an additional special dividend equivalent to US$3.45 per ADS in the third quarter of 2019. All dividends declared in 2019 have been paid.</w:t>
      </w:r>
    </w:p>
    <w:p>
      <w:pPr>
        <w:spacing w:after="0" w:line="17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May 2020, our board of directors approved the Q1 Dividend, and we expect to make dividend payments of approximately US$158 million in aggregate on June 23, 2020 to shareholders of record as of the close of business on June 12, 2020.</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June 11, 2020, the price of our ADSs traded on the Nasdaq reflects the entitlement of such ADS holders to receive the Q1 Dividend. June 11, 2020 is the first day of trading when the buyers of our ADSs are no longer entitled to the Q1 Dividend, because trades executed on June 11, 2020 will settle the day after the record date of the Q1 Dividend, making it too late for the buyers to receive the dividend. Therefore, the price of our ADSs will be adjusted down on June 11, 2020 to reflect the ex-dividend nature of ADSs bought on or after such date.</w:t>
      </w:r>
    </w:p>
    <w:p>
      <w:pPr>
        <w:spacing w:after="0" w:line="166"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 xml:space="preserve">After our listing on the Hong Kong Stock Exchange on June 11, 2020, our ordinary shares will immediately begin to trade on the Hong Kong Stock Exchange </w:t>
      </w:r>
      <w:r>
        <w:rPr>
          <w:rFonts w:ascii="Arial" w:cs="Arial" w:eastAsia="Arial" w:hAnsi="Arial"/>
          <w:sz w:val="16"/>
          <w:szCs w:val="16"/>
          <w:i w:val="1"/>
          <w:iCs w:val="1"/>
          <w:color w:val="auto"/>
        </w:rPr>
        <w:t>ex-dividend</w:t>
      </w:r>
      <w:r>
        <w:rPr>
          <w:rFonts w:ascii="Arial" w:cs="Arial" w:eastAsia="Arial" w:hAnsi="Arial"/>
          <w:sz w:val="16"/>
          <w:szCs w:val="16"/>
          <w:color w:val="auto"/>
        </w:rPr>
        <w:t>. If you purchase our ordinary shares in the Global Offering, provided that the International Offering and Hong Kong Public Offering become unconditional, you will be entitled to receive the Q1 Dividend. If you purchase our ordinary shares through the open market on the Hong Kong Stock Exchange, you will not be entitled to receive the Q1 Dividend. The trading price of our ordinary shares immediately after our listing on the Hong Kong Stock Exchange on June 11, 2020 may be lower than the comparable closing price of our ADSs on June 10, 2020. However, you should not interpret such difference as a discount on the price of our ordinary shares offered to investors. Rather such discrepancy is, at least in part, the result of the different entitlement rights with respect to the Q1 Dividend.</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 the event that there are unforeseen reasons (including but not limited to bad weather, extreme conditions or other events in the nature of force majeure, together "Unforeseen Reasons") that result in the listing date in the Hong Kong market being delayed to a date after June 12, 2020 but no later than June 18, 2020 (the "Delay") and the Delay is solely due to the Unforeseen Reasons, we undertake to pay investors of the Global Offering an amount equal to the Q1 Dividend (based on the investor's corresponding number of Offer Shares allocated in the Global Offering) if the investor would have been entitled to the Q1 Dividend had the Delay not otherwise occurred.</w:t>
      </w:r>
    </w:p>
    <w:p>
      <w:pPr>
        <w:spacing w:after="0" w:line="20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are a holding company incorporated in the Cayman Islands, and our ability to pay dividends to our shareholders depends upon dividends, loans or advances that we receive from our subsidiaries and variable interest entities, or VIEs. Please refer to Item 3.D. "Risk Factors—Risks Related to Our Company —Our corporate structure may restrict our ability to receive dividends from, and transfer funds to, our PRC subsidiaries and VIEs, which could restrict our ability to act in response to changing market conditions and reallocate funds internally in a timely manner" in our 2019 Annual Report.</w:t>
      </w:r>
    </w:p>
    <w:p>
      <w:pPr>
        <w:spacing w:after="0" w:line="16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Holders of our ADSs will be entitled to receive dividends, if any, subject to the terms of the deposit agreement (including the fees and expenses payable thereunder), to the same extent as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holders of our ordinary shares. Cash dividends will be paid to the depositary, which will distribute them to the holders of ADSs according to the terms of the deposit agreement. Other distributions, if any, will be paid by the depositary to the holders of ADSs in any means it deems legal, fair and practical. Due to the relocation of certain of our ordinary shares, including all of the ordinary shares deposited in our ADS program, from our Cayman share register to our Hong Kong share register as further detailed in the section "Exchanges Between Ordinary Shares Trading in Hong Kong and ADSs" below, the time needed to distribute dividends to holders of our ADSs whose underlying ordinary shares remain on the Hong Kong share register may be longer than had been the case prior to such relocation.</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EXCHANGES BETWEEN ORDINARY SHARES TRADING IN HONG KONG AND ADSs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 and Stamp Duty</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principal register of members will be maintained by our principal share registrar, Maples Fund Services (Cayman) Limited, or Maples, in the Cayman Islands, and our Hong Kong register of members will be maintained by our Hong Kong share registrar, Computershare Hong Kong Investor Services Limited, in Hong Kong.</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Dealings in our ordinary shares registered on our Hong Kong share register will be subject to Hong Kong stamp duty. The stamp duty is charged to each of the seller and purchaser at the ad valorem rate of 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97"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To facilitate deposits of ordinary shares to and withdrawals of ordinary shares from the ADS facility, we also intend to move a portion of our issued ordinary shares from our Cayman share register to our Hong Kong share register. It is unclear whether, as a matter of Hong Kong law, the trading of ADSs representing ordinary shares constitutes a sale or purchase of the underlying Hong Kong-registered ordinary shares that is subject to Hong Kong stamp duty. We advise investors to consult their own tax advisors on this matter. See above "Risk Factors—Risks related to our Ordinary Shares, the ADSs, the Listing, and the Global Offering—There is uncertainty as to whether Hong Kong stamp duty will apply to deposits of our ordinary shares into or withdrawal of our ordinary shares from the ADS facility or trading of our ADSs following our initial public offering in Hong Kong and listing of our ordinary shares on the Hong Kong Stock Exchange."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Dealings and Settlement of Ordinary Shares in Hong Kong</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ordinary shares will trade on the Hong Kong Stock Exchange in board lots of 100 ordinary shares. Dealings in our ordinary shares on the Hong Kong Stock Exchange will be conducted in Hong Kong dollars.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transaction costs of dealings in our ordinary shares on the Hong Kong Stock Exchange include:</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Hong Kong Stock Exchange trading fee of 0.005% of the consideration of the transaction, charged to each of the buyer and seller;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SFC, transaction levy of 0.0027% of the consideration of the transaction, charged to each of the buyer and seller;</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trading tariff of HK$0.50 on each and every purchase or sale transaction. The decision on whether or not to pass the trading tariff onto investors is at the discretion of brokers;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deed stamp duty of HK$5.00 per transfer deed (if applicable), payable by the seller;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 valorem stamp duty at a total rate of 0.2% of the value of the transaction, with 0.1% payable by each of the buyer and the seller;</w:t>
      </w:r>
    </w:p>
    <w:p>
      <w:pPr>
        <w:spacing w:after="0" w:line="261"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stock settlement fee, which is currently 0.002% of the gross transaction value, subject to a minimum fee of HK$2.00 and a maximum fee of HK$100.00 per side per trade;</w:t>
      </w:r>
    </w:p>
    <w:p>
      <w:pPr>
        <w:spacing w:after="0" w:line="19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brokerage commission, which is freely negotiable with the broker (other than brokerage commissions for initial public offering transactions which are currently set at 1% of the subscription or purchase price and will be payable by the person subscribing for or purchasing the securities);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16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Hong Kong share registrar will charge between HK$2.50 to HK$20.00, depending on the speed of service (or such higher fee as may from time to time be permitted under the Hong Kong Listing Rules), for each transfer of ordinary shares from one registered owner to another, each share certificate canceled or issued by it and any applicable fee as stated in the share transfer forms used in Hong Kong.</w:t>
      </w:r>
    </w:p>
    <w:p>
      <w:pPr>
        <w:spacing w:after="0" w:line="160"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Investors must settle their trades executed on the Hong Kong Stock Exchange through their brokers directly or through custodians. For an investor who has deposited his or her ordinary shares in his or her stock account or in his or her designated Central Clearing and Settlement System participant's stock account maintained with the Central Clearing and Settlement System, or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 between Ordinary Shares Trading in Hong Kong and ADSs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connection with the Hong Kong Public Offering, we have established the Hong Kong share register, which will be maintained by our Hong Kong share registrar, Computershare Hong Kong Investor Services Limited. Our principal register of members, or the Cayman share register, will continue to be maintained by our principal share registrar, Maples Fund Services (Cayman) Limited.</w:t>
      </w:r>
    </w:p>
    <w:p>
      <w:pPr>
        <w:spacing w:after="0" w:line="194" w:lineRule="exact"/>
        <w:rPr>
          <w:sz w:val="20"/>
          <w:szCs w:val="20"/>
          <w:color w:val="auto"/>
        </w:rPr>
      </w:pPr>
    </w:p>
    <w:p>
      <w:pPr>
        <w:ind w:right="300" w:firstLine="341"/>
        <w:spacing w:after="0" w:line="259" w:lineRule="auto"/>
        <w:rPr>
          <w:sz w:val="20"/>
          <w:szCs w:val="20"/>
          <w:color w:val="auto"/>
        </w:rPr>
      </w:pPr>
      <w:r>
        <w:rPr>
          <w:rFonts w:ascii="Arial" w:cs="Arial" w:eastAsia="Arial" w:hAnsi="Arial"/>
          <w:sz w:val="18"/>
          <w:szCs w:val="18"/>
          <w:color w:val="auto"/>
        </w:rPr>
        <w:t>All ordinary shares offered in the Hong Kong Public Offering will be registered on the Hong Kong share register in order to be listed and traded on the Hong Kong Stock Exchange. As described in further detail below, holders of ordinary shares registered on the Hong Kong share register will be able to exchange those ordinary shares for ADSs, and vice versa.</w:t>
      </w:r>
    </w:p>
    <w:p>
      <w:pPr>
        <w:spacing w:after="0" w:line="194"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In connection with the Hong Kong Public Offering, and to facilitate fungibility and exchanges between ordinary shares trading in Hong Kong and ADSs and trading between the Hong Kong Stock Exchange and the Nasdaq, we intend to move a portion of our issued ordinary shares, including all of the ordinary shares deposited in our ADS program, from our Cayman share register to our Hong Kong share register.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ADSs are traded on the Nasdaq. Dealings in our ADSs on the Nasdaq are conducted in U.S. Dollars.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ADSs may be held either:</w:t>
      </w:r>
    </w:p>
    <w:p>
      <w:pPr>
        <w:spacing w:after="0" w:line="252" w:lineRule="exact"/>
        <w:rPr>
          <w:sz w:val="20"/>
          <w:szCs w:val="20"/>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(i) by having an American Depositary Receipt, also referred to as an ADR, which is a certificate evidencing a specific number of ADSs registered in the holder's name; or (ii) by having uncertificated ADSs registered in the holder's name; or</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indirectly, by holding a security entitlement in ADSs through a broker or other financial institution that is a direct or indirect participant in The Depository Trust Company, also called DTC.</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depositary for our ADSs is The Bank of New York Mellon, whose office is located at 240 Greenwich Street, New York, New York 10286. The depositary's custodian in Hong Kong is the Hong Kong office of The Hongkong and Shanghai Banking Corporation Limited or HSBC, whose office is located at 1 Queen's Road Central, Hong Kong.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Depositing Ordinary Shares Trading in Hong Kong for delivery of ADSs</w:t>
      </w:r>
    </w:p>
    <w:p>
      <w:pPr>
        <w:spacing w:after="0" w:line="225" w:lineRule="exact"/>
        <w:rPr>
          <w:sz w:val="20"/>
          <w:szCs w:val="20"/>
          <w:color w:val="auto"/>
        </w:rPr>
      </w:pPr>
    </w:p>
    <w:p>
      <w:pPr>
        <w:ind w:right="80" w:firstLine="341"/>
        <w:spacing w:after="0" w:line="331" w:lineRule="auto"/>
        <w:rPr>
          <w:sz w:val="20"/>
          <w:szCs w:val="20"/>
          <w:color w:val="auto"/>
        </w:rPr>
      </w:pPr>
      <w:r>
        <w:rPr>
          <w:rFonts w:ascii="Arial" w:cs="Arial" w:eastAsia="Arial" w:hAnsi="Arial"/>
          <w:sz w:val="16"/>
          <w:szCs w:val="16"/>
          <w:color w:val="auto"/>
        </w:rPr>
        <w:t>An investor who holds the ordinary shares registered in Hong Kong and who wishes to receive delivery of ADSs that trade on the Nasdaq must deposit or have his or her broker deposit the ordinary shares with the depositary's Hong Kong custodian, HSBC, or the custodian, in exchange for ADSs.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deposit of ordinary shares trading in Hong Kong in exchange for ADSs involves the following procedures:</w:t>
      </w:r>
    </w:p>
    <w:p>
      <w:pPr>
        <w:spacing w:after="0" w:line="239" w:lineRule="exact"/>
        <w:rPr>
          <w:sz w:val="20"/>
          <w:szCs w:val="20"/>
          <w:color w:val="auto"/>
        </w:rPr>
      </w:pPr>
    </w:p>
    <w:p>
      <w:pPr>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ordinary shares have been deposited with CCASS, the investor must transfer the ordinary shares to the depositary's account with the custodian within CCASS by following the CCASS procedures for transfer and submit and deliver a duly completed and signed ADS delivery form to the custodian via his or her broker.</w:t>
      </w:r>
    </w:p>
    <w:p>
      <w:pPr>
        <w:spacing w:after="0" w:line="220"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the ordinary shares are held outside CCASS, the investor must arrange for the registration of a transfer of his/her ordinary shares into the depositary's name and delivery of evidence of that registration to the custodian, and must sign and deliver an ADS delivery form to the depositary.</w:t>
      </w:r>
    </w:p>
    <w:p>
      <w:pPr>
        <w:spacing w:after="0" w:line="207"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payment of its fees and expenses and of any taxes or charges, such as stamp taxes or stock transfer taxes or fees, if applicable, the depositary will register the corresponding number of ADSs in the name(s) requested by an investor and will deliver the ADSs as instructed in the ADS delivery form.</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ordinary shares deposited in CCASS, under normal circumstances, the above steps generally require two business days, provided that the investor has provided timely and complete instructions. For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Surrender of ADSs for delivery of Ordinary Shares Trading in Hong Kong</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investor who holds ADSs and who wishes to receive ordinary shares that trade on the Hong Kong Stock Exchange must cancel the ADSs the investor holds and withdraw the ordinary shares from our ADS program and cause his or her broker or other financial institution to trade such ordinary shares on the Hong Kong Stock Exchange.</w:t>
      </w:r>
    </w:p>
    <w:p>
      <w:pPr>
        <w:spacing w:after="0" w:line="194"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investor that holds ADSs indirectly through a broker or other financial institution should follow the procedures of the broker or financial institution and instruct the broker to arrange for cancellation of the ADSs, and transfer of the underlying ordinary shares from the depositary's account with the custodian within the CCASS system to the investor's Hong Kong stock account.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investors holding ADSs directly, the following steps must be taken:</w:t>
      </w:r>
    </w:p>
    <w:p>
      <w:pPr>
        <w:spacing w:after="0" w:line="239" w:lineRule="exact"/>
        <w:rPr>
          <w:sz w:val="20"/>
          <w:szCs w:val="20"/>
          <w:color w:val="auto"/>
        </w:rPr>
      </w:pPr>
    </w:p>
    <w:p>
      <w:pPr>
        <w:jc w:val="both"/>
        <w:ind w:left="1080" w:right="30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withdraw the ordinary shares from our ADS program, an investor who holds ADSs may turn in such ADSs at the office of the depositary (and the applicable ADR(s) if the ADSs are held in certificated form), and send an instruction to cancel such ADSs to the depositary. Those instructions must have a Medallion signature guarantee.</w:t>
      </w:r>
    </w:p>
    <w:p>
      <w:pPr>
        <w:spacing w:after="0" w:line="220"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payment or net of its fees and expenses and of any taxes or charges, such as stamp taxes or stock transfer taxes or fees, if applicable, the depositary will instruct the custodian to deliver the ordinary shares underlying the canceled ADSs to the CCASS account designated by an investor.</w:t>
      </w:r>
    </w:p>
    <w:p>
      <w:pPr>
        <w:spacing w:after="0" w:line="207" w:lineRule="exact"/>
        <w:rPr>
          <w:rFonts w:ascii="Arial" w:cs="Arial" w:eastAsia="Arial" w:hAnsi="Arial"/>
          <w:sz w:val="18"/>
          <w:szCs w:val="18"/>
          <w:color w:val="auto"/>
        </w:rPr>
      </w:pPr>
    </w:p>
    <w:p>
      <w:pPr>
        <w:ind w:left="5460" w:right="340" w:hanging="4912"/>
        <w:spacing w:after="0" w:line="518" w:lineRule="auto"/>
        <w:tabs>
          <w:tab w:leader="none" w:pos="109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 investor prefers to receive the ordinary shares outside CCASS, he or she must so indicate in the instruction delivered to the depositary. 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For the ordinary shares to be received in CCASS, under normal circumstances, the above steps generally require two business days, provided that the investor has provided timely and complete instructions. For the ordinary shares to be received outside CCASS in physical form, the above steps may take 14 business days, or more, to complete. The investor will be unable to trade the ordinary shares on the Hong Kong Stock Exchange until the procedures are completed.</w:t>
      </w:r>
    </w:p>
    <w:p>
      <w:pPr>
        <w:spacing w:after="0" w:line="19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Temporary delays may arise. For example, the transfer books of the depositary may from time to time be closed to ADS cancellations. In addition, completion of the above steps and procedures for delivery of ordinary shares in a CCASS account is subject to there being a sufficient number of ordinary shares on the Hong Kong share register to facilitate a withdrawal from the ADS program directly into the CCASS system. We are not under any obligation to maintain or increase the number of ordinary shares on the Hong Kong share register to facilitate such withdrawals.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Depositary Requirements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Before the depositary delivers ADSs or permits withdrawal of ordinary shares, the depositary may require:</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of 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procedures it may establish, from time to time, consistent with the deposit agreement, including completion and presentation of transfer documents.</w:t>
      </w:r>
    </w:p>
    <w:p>
      <w:pPr>
        <w:spacing w:after="0" w:line="186" w:lineRule="exact"/>
        <w:rPr>
          <w:sz w:val="20"/>
          <w:szCs w:val="20"/>
          <w:color w:val="auto"/>
        </w:rPr>
      </w:pPr>
    </w:p>
    <w:p>
      <w:pPr>
        <w:ind w:right="760" w:firstLine="348"/>
        <w:spacing w:after="0" w:line="331" w:lineRule="auto"/>
        <w:rPr>
          <w:sz w:val="20"/>
          <w:szCs w:val="20"/>
          <w:color w:val="auto"/>
        </w:rPr>
      </w:pPr>
      <w:r>
        <w:rPr>
          <w:rFonts w:ascii="Arial" w:cs="Arial" w:eastAsia="Arial" w:hAnsi="Arial"/>
          <w:sz w:val="16"/>
          <w:szCs w:val="16"/>
          <w:color w:val="auto"/>
        </w:rPr>
        <w:t>The depositary may refuse to deliver, transfer, or register issuances, transfers and cancelations of ADSs generally when the transfer books of the depositary or our Hong Kong share registrar are closed or at any time if the depositary or we determine it advisable to do so.</w:t>
      </w:r>
    </w:p>
    <w:p>
      <w:pPr>
        <w:spacing w:after="0" w:line="14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All costs attributable to the transfer of ordinary shares to effect a withdrawal from or deposit of ordinary shares into our ADS program will be borne by the investor requesting the transfer or deposit. In particular, holders of ordinary shares and ADSs should note that the Hong Kong share registrar will charge between HK$2.50 to HK$20.00, depending on the speed of service (or such higher fee as may from time to time be permitted under the Hong Kong Stock Exchange Listing Rules), for each transfer of ordinary shares from one registered owner to another, each share certificate canceled or issued by it and any applicable fee as stated in the share transfer forms used in Hong Kong. In addition, holders of the ordinary shares and ADSs must pay US$5.00 (or portion thereof) per 100 ADSs for each issuance of ADSs and for each cancelation of ADSs, as the case may be, in connection with the deposit of ordinary shares into, or withdrawal of the ordinary shares from, the ADS facility.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Offering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of our 171,480,000 ordinary shares is referred to herein as the "Global Offering." The Global Offering comprises:</w:t>
      </w:r>
    </w:p>
    <w:p>
      <w:pPr>
        <w:spacing w:after="0" w:line="239" w:lineRule="exact"/>
        <w:rPr>
          <w:sz w:val="20"/>
          <w:szCs w:val="20"/>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offering of initially 5,150,000 ordinary shares (subject to reallocation) in Hong Kong (the "Hong Kong offer shares") as described in "—The Hong Kong Public Offering" below, which we refer to as the "Hong Kong Public Offering"; and</w:t>
      </w:r>
    </w:p>
    <w:p>
      <w:pPr>
        <w:spacing w:after="0" w:line="21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offering of initially 166,330,000 ordinary shares (subject to reallocation and the option of the international underwriters to purchase additional ordinary shares mentioned below) (the "international offer shares" and together with the Hong Kong offer shares, the "Offer Shares") as described in the "—The International Offering" below, which we refer to as the "International Offering."</w:t>
      </w:r>
    </w:p>
    <w:p>
      <w:pPr>
        <w:spacing w:after="0" w:line="160"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The International Offering contemplated herein consists of a U.S. offering and a non-U.S. offering made outside the U.S. in compliance with applicable law. We are paying a registration fee for ordinary shares sold in the United States, as well as for ordinary shares initially offered and sold outside the United States in the Global Offering that may be resold from time to time into the United States in compliance with applicable law.</w:t>
      </w:r>
    </w:p>
    <w:p>
      <w:pPr>
        <w:spacing w:after="0" w:line="16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China International Capital Corporation Hong Kong Securities Limited, Credit Suisse (Hong Kong) Limited and J.P. Morgan Securities (Asia Pacific) Limited are acting as joint global coordinators, or the Joint Global Coordinators, for the Global Offering.</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Under the terms and subject to the conditions in the Hong Kong Underwriting Agreement (as defined below), the Hong Kong underwriters below have severally agreed to apply or procure applications for the number of ordinary shares indicated below.</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1700"/>
        <w:spacing w:after="0"/>
        <w:rPr>
          <w:sz w:val="20"/>
          <w:szCs w:val="20"/>
          <w:color w:val="auto"/>
        </w:rPr>
      </w:pPr>
      <w:r>
        <w:rPr>
          <w:rFonts w:ascii="Arial" w:cs="Arial" w:eastAsia="Arial" w:hAnsi="Arial"/>
          <w:sz w:val="12"/>
          <w:szCs w:val="12"/>
          <w:b w:val="1"/>
          <w:bCs w:val="1"/>
          <w:u w:val="single" w:color="auto"/>
          <w:color w:val="auto"/>
        </w:rPr>
        <w:t>Hong Kong Underwriters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94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940"/>
        <w:spacing w:after="0"/>
        <w:rPr>
          <w:sz w:val="20"/>
          <w:szCs w:val="20"/>
          <w:color w:val="auto"/>
        </w:rPr>
      </w:pPr>
      <w:r>
        <w:rPr>
          <w:rFonts w:ascii="Arial" w:cs="Arial" w:eastAsia="Arial" w:hAnsi="Arial"/>
          <w:sz w:val="13"/>
          <w:szCs w:val="13"/>
          <w:b w:val="1"/>
          <w:bCs w:val="1"/>
          <w:color w:val="auto"/>
        </w:rPr>
        <w:t>Ordinary</w:t>
      </w:r>
    </w:p>
    <w:p>
      <w:pPr>
        <w:jc w:val="center"/>
        <w:ind w:right="1940"/>
        <w:spacing w:after="0"/>
        <w:rPr>
          <w:sz w:val="20"/>
          <w:szCs w:val="20"/>
          <w:color w:val="auto"/>
        </w:rPr>
      </w:pPr>
      <w:r>
        <w:rPr>
          <w:rFonts w:ascii="Arial" w:cs="Arial" w:eastAsia="Arial" w:hAnsi="Arial"/>
          <w:sz w:val="13"/>
          <w:szCs w:val="1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-635</wp:posOffset>
            </wp:positionV>
            <wp:extent cx="5314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7940" w:space="720"/>
            <w:col w:w="2560"/>
          </w:cols>
          <w:pgMar w:left="320" w:top="131" w:right="359" w:bottom="1440" w:gutter="0" w:footer="0" w:header="0"/>
          <w:type w:val="continuous"/>
        </w:sectPr>
      </w:pPr>
    </w:p>
    <w:p>
      <w:pPr>
        <w:ind w:left="1700"/>
        <w:spacing w:after="0"/>
        <w:rPr>
          <w:sz w:val="20"/>
          <w:szCs w:val="20"/>
          <w:color w:val="auto"/>
        </w:rPr>
      </w:pPr>
      <w:r>
        <w:rPr>
          <w:rFonts w:ascii="Arial" w:cs="Arial" w:eastAsia="Arial" w:hAnsi="Arial"/>
          <w:sz w:val="18"/>
          <w:szCs w:val="18"/>
          <w:color w:val="auto"/>
        </w:rPr>
        <w:t>China International Capital Corporation Hong Kong Securities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-130175</wp:posOffset>
            </wp:positionV>
            <wp:extent cx="49891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Credit Suisse (Hong Kong) Limited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J.P. Morgan Securities (Asia Pacific)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ABCI Securities Company Limited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BOCI Asia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CCB International Capital Limited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Citigroup Global Markets Asia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CMB International Capital Limited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Hongkong and Shanghai Banking Corporation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Huatai Financial Holdings (Hong Kong) Limited</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ICBC International Securities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-129540</wp:posOffset>
            </wp:positionV>
            <wp:extent cx="498919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UBS AG Hong Kong Branch</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11"/>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5,150,000</w:t>
            </w:r>
          </w:p>
        </w:tc>
        <w:tc>
          <w:tcPr>
            <w:tcW w:w="16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331" w:lineRule="auto"/>
        <w:rPr>
          <w:sz w:val="20"/>
          <w:szCs w:val="20"/>
          <w:color w:val="auto"/>
        </w:rPr>
      </w:pPr>
      <w:r>
        <w:rPr>
          <w:rFonts w:ascii="Arial" w:cs="Arial" w:eastAsia="Arial" w:hAnsi="Arial"/>
          <w:sz w:val="16"/>
          <w:szCs w:val="16"/>
          <w:color w:val="auto"/>
        </w:rPr>
        <w:t>Under the terms and subject to the conditions in the International Underwriting Agreement (as defined below), the international underwriters, for whom the Joint Global Coordinators are acting as representatives, have severally agreed to purchase or procure purchasers to purchase from us, and we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have agreed to sell to them or such purchasers, severally, the number of ordinary shares indicated below:</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Ordinary</w:t>
            </w:r>
          </w:p>
        </w:tc>
        <w:tc>
          <w:tcPr>
            <w:tcW w:w="0" w:type="dxa"/>
            <w:vAlign w:val="bottom"/>
          </w:tcPr>
          <w:p>
            <w:pPr>
              <w:spacing w:after="0"/>
              <w:rPr>
                <w:sz w:val="1"/>
                <w:szCs w:val="1"/>
                <w:color w:val="auto"/>
              </w:rPr>
            </w:pPr>
          </w:p>
        </w:tc>
      </w:tr>
      <w:tr>
        <w:trPr>
          <w:trHeight w:val="161"/>
        </w:trPr>
        <w:tc>
          <w:tcPr>
            <w:tcW w:w="6680" w:type="dxa"/>
            <w:vAlign w:val="bottom"/>
            <w:gridSpan w:val="3"/>
          </w:tcPr>
          <w:p>
            <w:pPr>
              <w:spacing w:after="0"/>
              <w:rPr>
                <w:sz w:val="20"/>
                <w:szCs w:val="20"/>
                <w:color w:val="auto"/>
              </w:rPr>
            </w:pPr>
            <w:r>
              <w:rPr>
                <w:rFonts w:ascii="Arial" w:cs="Arial" w:eastAsia="Arial" w:hAnsi="Arial"/>
                <w:sz w:val="13"/>
                <w:szCs w:val="13"/>
                <w:b w:val="1"/>
                <w:bCs w:val="1"/>
                <w:color w:val="auto"/>
              </w:rPr>
              <w:t>International Underwriters</w:t>
            </w:r>
          </w:p>
        </w:tc>
        <w:tc>
          <w:tcPr>
            <w:tcW w:w="11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Credit Suisse (Hong Kong) Limited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plc</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ABCI Securities Company Limited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BOCI Asia Limited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CCB International Capital Limited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Citigroup Global Markets Limited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CMB International Capital Limited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The Hongkong and Shanghai Banking Corporation Limited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Huatai Financial Holdings (Hong Kong) Limited</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ICBC International Securities Limited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Tiger Securities, Inc.</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UBS AG Hong Kong Branch</w:t>
            </w:r>
          </w:p>
        </w:tc>
        <w:tc>
          <w:tcPr>
            <w:tcW w:w="10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166,330,000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Hong Kong underwriters and the international underwriters are collectively referred to herein as the underwriters.</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171,480,000 ordinary shares being offered in the Global Offering will represent approximately 5.00% of our ordinary shares issued immediately after the completion of the Global Offering, assuming no exercise by the Joint Global Coordinators of the international underwriters' option to purchase additional ordinary shares and no ordinary shares are issued pursuant to our RSU plans. If such option is exercised in full, the ordinary shares offered hereby will represent 5.71% of our ordinary shares issued immediately following the completion of the Global Offering.</w:t>
      </w:r>
    </w:p>
    <w:p>
      <w:pPr>
        <w:spacing w:after="0" w:line="166"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underwriters propose to offer our ordinary shares at the public offering price listed on the cover page of this prospectus supplement. The underwriters are obligated to take and pay for all of the ordinary shares offered hereby if any such shares are taken. The offering of our ordinary shares by the underwriters is subject to receipt and acceptance and subject to the underwriters' right to reject any order in whole or in part.</w:t>
      </w:r>
    </w:p>
    <w:p>
      <w:pPr>
        <w:spacing w:after="0" w:line="16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applied to list our ordinary shares on the Hong Kong Stock Exchange under the stock code "9999." The shares will be traded in board lots of 100 shares each. Our ADSs are listed on the Nasdaq under the symbol "NTES." Each ADS represents 25 ordinary shares.</w:t>
      </w:r>
    </w:p>
    <w:p>
      <w:pPr>
        <w:spacing w:after="0" w:line="186"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 prospectus supplement in electronic format may be made available on websites maintained by one or more underwriters, or selling group members, if any, participating in the Global Offering. The Joint Global Coordinators may agree to allocate a number of our ordinary shares to the underwriters for sale to their online brokerage account holders. Internet distributions will be allocated by the Joint Global Coordinators to underwriters that may make internet distributions on the same basis as other allocations.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Hong Kong Public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ordinary shares initially offered</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initially offering 5,150,000 ordinary shares for subscription by the public in Hong Kong at the public offering price, representing 3.00% of the total number of ordinary shares initially available under the Global Offering. The number of ordinary shares initially offered under the Hong Kong Public Offering, subject to any reallocation of ordinary shares between the International Offering and the Hong Kong Public Offering, will represent approximately 0.15% of the total ordinary shares in issue immediately following the completion of the Global Offering (assuming the option of the international underwriters to purchase additional ordinary shares is not exercised and no ordinary shares are issued pursuant to our RSU plans).</w:t>
      </w:r>
    </w:p>
    <w:p>
      <w:pPr>
        <w:spacing w:after="0" w:line="169"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Hong Kong Public Offering is open to members of the public in Hong Kong as well as to institutional and professional investors. Professional investors generally include brokers, dealers, companies (including fund managers) whose ordinary business involves dealing in shares and other securities and corporate entities that regularly invest in shares and other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Completion of the Hong Kong Public Offering is subject to the conditions set out in "—Conditions of the Global Offering"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w:t>
      </w:r>
    </w:p>
    <w:p>
      <w:pPr>
        <w:spacing w:after="0" w:line="225" w:lineRule="exact"/>
        <w:rPr>
          <w:sz w:val="20"/>
          <w:szCs w:val="20"/>
          <w:color w:val="auto"/>
        </w:rPr>
      </w:pPr>
    </w:p>
    <w:p>
      <w:pPr>
        <w:ind w:right="120" w:firstLine="341"/>
        <w:spacing w:after="0" w:line="323" w:lineRule="auto"/>
        <w:rPr>
          <w:sz w:val="20"/>
          <w:szCs w:val="20"/>
          <w:color w:val="auto"/>
        </w:rPr>
      </w:pPr>
      <w:r>
        <w:rPr>
          <w:rFonts w:ascii="Arial" w:cs="Arial" w:eastAsia="Arial" w:hAnsi="Arial"/>
          <w:sz w:val="15"/>
          <w:szCs w:val="15"/>
          <w:color w:val="auto"/>
        </w:rPr>
        <w:t>Allocation of ordinary shares to investors under the Hong Kong Public Offering will be based solely on the level of valid applications received under the Hong Kong Public Offering. The basis of allocation may vary, depending on the number of Hong Kong offer shares validly applied for by applicants. Such allocation could, where appropriate, consist of balloting, which could mean that some applicants may receive a higher allocation than others who have applied for the same number of Hong Kong offer shares, and those applicants who are not successful in the ballot may not receive any Hong Kong offer shares.</w:t>
      </w:r>
    </w:p>
    <w:p>
      <w:pPr>
        <w:spacing w:after="0" w:line="15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For allocation purposes only, the total number of Hong Kong offer shares available under the Hong Kong Public Offering (after taking into account any reallocation referred to below) will be divided equally (to the nearest board lot) into two pools: pool A and pool B. The Hong Kong offer shares in pool A will be allocated on an equitable basis to applicants who have applied for Hong Kong offer shares with an aggregate price of HK$5 million (excluding the brokerage, the SFC transaction levy and the Hong Kong Stock Exchange trading fee payable) or less. The Hong Kong offer shares in pool B will be allocated on an equitable basis to applicants who have applied for Hong Kong offer shares with an aggregate price of more than HK$5 million (excluding the brokerage, the SFC transaction levy and the Hong Kong Stock Exchange trading fee payable) and up to the total value in pool B.</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Investors should be aware that applications in pool A and applications in pool B may receive different allocation ratios. If any Hong Kong offer shares in one (but not both) of the pools are unsubscribed, such unsubscribed Hong Kong offer shares will be transferred to the other pool to satisfy demand in that other pool and be allocated accordingly. For the purpose of the immediately preceding paragraph only, the "price" for Hong Kong offer shares means the price payable on application therefor (without regard to the public offering price as finally determined). Applicants can only receive an allocation of Hong Kong offer shares from either pool A or pool B and not from both pools. Multiple or suspected multiple applications under the Hong Kong Public Offering and any application for more than 2,575,000 Hong Kong offer shares are liable to be rejected.</w:t>
      </w:r>
    </w:p>
    <w:p>
      <w:pPr>
        <w:spacing w:after="0" w:line="174" w:lineRule="exact"/>
        <w:rPr>
          <w:sz w:val="20"/>
          <w:szCs w:val="20"/>
          <w:color w:val="auto"/>
        </w:rPr>
      </w:pPr>
    </w:p>
    <w:p>
      <w:pPr>
        <w:ind w:right="220" w:firstLine="351"/>
        <w:spacing w:after="0" w:line="331" w:lineRule="auto"/>
        <w:rPr>
          <w:sz w:val="20"/>
          <w:szCs w:val="20"/>
          <w:color w:val="auto"/>
        </w:rPr>
      </w:pPr>
      <w:r>
        <w:rPr>
          <w:rFonts w:ascii="Arial" w:cs="Arial" w:eastAsia="Arial" w:hAnsi="Arial"/>
          <w:sz w:val="16"/>
          <w:szCs w:val="16"/>
          <w:color w:val="auto"/>
        </w:rPr>
        <w:t>Before submitting applications for the Hong Kong offer shares, applicants should have regard to the possibility that any announcement of a reduction in the number of Offer Shares may not be made until the last day for lodging applications under the Hong Kong Public Offering. Such notice will also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include confirmation or revision, as appropriate, of the working capital statement and the Global Offering statistics as currently included or incorporated by reference in this prospectus supplement and the accompanying prospectus, and any other financial information which may change as a result of any such reduction. In the absence of any such notice so published, the number of Offer Shares will not be reduced.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Reallocation</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allocation of the ordinary shares between the Hong Kong Public Offering and the International Offering is subject to reallocation. Paragraph 4.2 of Practice Note 18 of the Hong Kong Stock Exchange Listing Rules requires a clawback mechanism to be put in place which would have the effect of increasing the number of ordinary shares under the Hong Kong Public Offering to a certain percentage of the total number of ordinary shares offered under the Global Offering if certain prescribed total demand levels are reached. We have applied to the Hong Kong Stock Exchange for, and the Hong Kong Stock Exchange has granted us, a waiver from strict compliance with Paragraph 4.2 of Practice Note 18 of the Hong Kong Listing Rules such that, in the event of over-subscription, the alternative clawback mechanism shall be applied.</w:t>
      </w:r>
    </w:p>
    <w:p>
      <w:pPr>
        <w:spacing w:after="0" w:line="174" w:lineRule="exact"/>
        <w:rPr>
          <w:sz w:val="20"/>
          <w:szCs w:val="20"/>
          <w:color w:val="auto"/>
        </w:rPr>
      </w:pPr>
    </w:p>
    <w:p>
      <w:pPr>
        <w:jc w:val="both"/>
        <w:ind w:right="200" w:firstLine="351"/>
        <w:spacing w:after="0" w:line="331" w:lineRule="auto"/>
        <w:rPr>
          <w:sz w:val="20"/>
          <w:szCs w:val="20"/>
          <w:color w:val="auto"/>
        </w:rPr>
      </w:pPr>
      <w:r>
        <w:rPr>
          <w:rFonts w:ascii="Arial" w:cs="Arial" w:eastAsia="Arial" w:hAnsi="Arial"/>
          <w:sz w:val="16"/>
          <w:szCs w:val="16"/>
          <w:color w:val="auto"/>
        </w:rPr>
        <w:t>5,150,000 Offer Shares are initially available in the Hong Kong Public Offering, representing approximately 3.0% of the Offer Shares initially available under the Global Offering. The allocation of ordinary shares between the Hong Kong Public Offering and the International Offering is subject to adjustment.</w:t>
      </w:r>
    </w:p>
    <w:p>
      <w:pPr>
        <w:spacing w:after="0" w:line="14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If the number of ordinary shares validly applied for under the Hong Kong Public Offering represents (a) 10 times or more but less than 15 times, (b) 15 times or more but less than 20 times and (c) 20 times or more of the total number of ordinary shares initially available under the Hong Kong Public Offering, then ordinary shares will be reallocated to the Hong Kong Public Offering from the International Offering. As a result of such reallocation, the total number of ordinary shares available under the Hong Kong Public Offering will be increased to 10,290,000 ordinary shares (in the case of (a)), 15,440,000 ordinary shares (in the case of (b)) and 20,580,000 ordinary shares (in the case of (c)), representing 6.0%, 9.0% and 12.0% of the total number of ordinary shares initially available under the Global Offering, respectively (before any exercise of the international underwriters' option to purchase additional ordinary shares). In each case, the additional ordinary shares reallocated to the Hong Kong Public Offering will be allocated between pool A and pool B and the number of ordinary shares allocated to the International Offering will be correspondingly reduced in such manner as the Joint Global Coordinators deem appropriate.</w:t>
      </w:r>
    </w:p>
    <w:p>
      <w:pPr>
        <w:spacing w:after="0" w:line="17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the Joint Global Coordinators may reallocate ordinary shares from the International Offering to the Hong Kong Public Offering to satisfy valid applications under the Hong Kong Public Offering. If the Hong Kong Public Offering is not fully subscribed, the Joint Global Coordinators may reallocate all or any unsubscribed Hong Kong offer shares to the International Offering, in such proportions as the Joint Global Coordinators deem appropriate.</w:t>
      </w:r>
    </w:p>
    <w:p>
      <w:pPr>
        <w:spacing w:after="0" w:line="160"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ordinary shares to be offered in the Hong Kong Public Offering and those to be offered in the International Offering may, in certain circumstances, be reallocated between these offerings at the discretion of the Joint Global Coordinators. In accordance with the Guidance Letter HKEX-GL91-18 issued by the Hong Kong Stock Exchange, if such reallocation is done other than pursuant to the clawback mechanism above, the maximum total number of the ordinary shares that may be reallocated to the Hong Kong Public Offering following such reallocation shall be not more than double the initial allocation to the Hong Kong Public Offering (i.e., 10,300,000 Shares, representing approximately 6.0% of the total number of ordinary shares initially available under the Global Offering).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applicant under the Hong Kong Public Offering will be required to give an undertaking and confirmation in the application submitted by him/her that he/she and any person(s) for whose benefit he/she is making the application has not applied for or taken up, or indicated an interest for, and will not apply for or take up, or indicate an interest for, any ordinary shares under the International Offering. Such applicant's application is liable to be rejected if such undertaking and/or confirmation is/are breached and/or untrue (as the case may be) or if he/she has been or will be placed or allocated international offer shares under the International Offering.</w:t>
      </w:r>
    </w:p>
    <w:p>
      <w:pPr>
        <w:spacing w:after="0" w:line="20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Applicants under the Hong Kong Public Offering are required to pay, on application, the maximum public offering price of HK$126.00 per ordinary share in addition to the brokerage, the SFC transaction levy and the Hong Kong Stock Exchange trading fee payable on each ordinary share, amounting to a total of HK$12,726.97 for one board lot of 100 ordinary shares. If the Hong Kong Public Offer Price (as defined below) as finally determined in the manner described in "—Pricing" below is less than the maximum public offering price for the Hong Kong Public Offering of HK$126.00 per ordinary share, appropriate refund payments (including the brokerage, the SFC transaction levy and the Hong Kong Stock Exchange trading fee attributable to the surplus application monies) will be made to successful applicants, without interest.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 Underwriting Agreement</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and the Hong Kong underwriters have entered into an underwriting agreement dated May 31, 2020, or the Hong Kong Underwriting Agreement, relating to the Hong Kong Public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International Offering</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International Offering will consist of an initial offering of 166,330,000 ordinary shares offered by us (subject to adjustment and the option of the international underwriters to purchase additional ordinary shares), representing 97.00% of the total number of ordinary shares initially available under the Global Offering. The number of ordinary shares initially offered under the International Offering, subject to any reallocation of ordinary shares between the International Offering and the Hong Kong Public Offering, will represent approximately 4.85% of the total ordinary shares in issue immediately following the completion of the Global Offering (assuming the option of the international underwriters to purchase additional ordinary shares is not exercised and no ordinary shares are issued pursuant to our RSU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International Offering includes the U.S. offering of ordinary shares in the United States as well as the non-U.S. offering to institutional and professional investors and other investors in other jurisdictions outside the United States. Professional investors generally include brokers, dealers, companies (including fund managers) whose ordinary business involves dealing in shares and other securities and corporate entities that regularly invest in shares and other securities. Allocation of ordinary shares pursuant to the International Offering will be effected in accordance with a "book-building" process and based on a number of factors, including the level and timing of demand, the total size of the relevant investor's invested assets or equity assets in the relevant sector and whether or not it is expected that the relevant investor is likely to buy further ordinary shares and/or hold or sell its ordinary shares after the listing on the Hong Kong Stock Exchange. Prospective professional and institutional investors will be required to specify the number of international offer shares under the International Offering they would be prepared to acquire either at different prices or at a particular price. Such allocation is intended to result in a distribution of the ordinary shares on 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basis which would lead to the establishment of a solid professional and institutional shareholder base to our benefit and the benefit of the shareholders as a whole.</w:t>
      </w:r>
    </w:p>
    <w:p>
      <w:pPr>
        <w:spacing w:after="0" w:line="186" w:lineRule="exact"/>
        <w:rPr>
          <w:sz w:val="20"/>
          <w:szCs w:val="20"/>
          <w:color w:val="auto"/>
        </w:rPr>
      </w:pPr>
    </w:p>
    <w:p>
      <w:pPr>
        <w:jc w:val="both"/>
        <w:ind w:right="200" w:firstLine="348"/>
        <w:spacing w:after="0" w:line="256" w:lineRule="auto"/>
        <w:rPr>
          <w:sz w:val="20"/>
          <w:szCs w:val="20"/>
          <w:color w:val="auto"/>
        </w:rPr>
      </w:pPr>
      <w:r>
        <w:rPr>
          <w:rFonts w:ascii="Arial" w:cs="Arial" w:eastAsia="Arial" w:hAnsi="Arial"/>
          <w:sz w:val="18"/>
          <w:szCs w:val="18"/>
          <w:color w:val="auto"/>
        </w:rPr>
        <w:t>The Joint Global Coordinators (for themselves and on behalf of the international underwriters) may require any investor who has been offered ordinary shares under the International Offering and who has made an application under the Hong Kong Public Offering to provide sufficient information to the Joint Global Coordinators so as to allow them to identify the relevant applications under the Hong Kong Public Offering and to ensure that they are excluded from any allocation of ordinary shares under the Hong Kong Public Offering.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Reallocation</w:t>
      </w:r>
    </w:p>
    <w:p>
      <w:pPr>
        <w:spacing w:after="0" w:line="225"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The total number of ordinary shares to be issued or sold pursuant to the International Offering may change as a result of the clawback arrangement described in "—The Hong Kong Public Offering—Reallocation" above, the exercise of the option of the international underwriters to purchase additional ordinary shares in whole or in part and/or any reallocation of unsubscribed ordinary shares originally included in the Hong Kong Public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Underwriting Agreement</w:t>
      </w:r>
    </w:p>
    <w:p>
      <w:pPr>
        <w:spacing w:after="0" w:line="225" w:lineRule="exact"/>
        <w:rPr>
          <w:sz w:val="20"/>
          <w:szCs w:val="20"/>
          <w:color w:val="auto"/>
        </w:rPr>
      </w:pPr>
    </w:p>
    <w:p>
      <w:pPr>
        <w:ind w:right="380" w:firstLine="348"/>
        <w:spacing w:after="0" w:line="331" w:lineRule="auto"/>
        <w:rPr>
          <w:sz w:val="20"/>
          <w:szCs w:val="20"/>
          <w:color w:val="auto"/>
        </w:rPr>
      </w:pPr>
      <w:r>
        <w:rPr>
          <w:rFonts w:ascii="Arial" w:cs="Arial" w:eastAsia="Arial" w:hAnsi="Arial"/>
          <w:sz w:val="16"/>
          <w:szCs w:val="16"/>
          <w:color w:val="auto"/>
        </w:rPr>
        <w:t>We expect to enter into an international underwriting agreement, or the International Underwriting Agreement, with the Joint Global Coordinators, as representatives of the international underwriters, relating to the International Offering dated the price determination date.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Determining the Offer Price</w:t>
      </w:r>
    </w:p>
    <w:p>
      <w:pPr>
        <w:spacing w:after="0" w:line="225" w:lineRule="exact"/>
        <w:rPr>
          <w:sz w:val="20"/>
          <w:szCs w:val="20"/>
          <w:color w:val="auto"/>
        </w:rPr>
      </w:pPr>
    </w:p>
    <w:p>
      <w:pPr>
        <w:ind w:right="60" w:firstLine="348"/>
        <w:spacing w:after="0" w:line="335" w:lineRule="auto"/>
        <w:rPr>
          <w:sz w:val="20"/>
          <w:szCs w:val="20"/>
          <w:color w:val="auto"/>
        </w:rPr>
      </w:pPr>
      <w:r>
        <w:rPr>
          <w:rFonts w:ascii="Arial" w:cs="Arial" w:eastAsia="Arial" w:hAnsi="Arial"/>
          <w:sz w:val="15"/>
          <w:szCs w:val="15"/>
          <w:color w:val="auto"/>
        </w:rPr>
        <w:t>We will determine the pricing for the Offer Shares for the purpose of the various offerings under the Global Offering on the price determination date, which is expected to be on or about June 5, 2020 and, in any event, no later than June 10, 2020, by agreement with the Joint Global Coordinators (for themselves and on behalf of the underwriters), and the number of Offer Shares to be allocated under the various offerings will be determined shortly thereafter.</w:t>
      </w:r>
    </w:p>
    <w:p>
      <w:pPr>
        <w:spacing w:after="0" w:line="142"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determine the Hong Kong Public Offer Price (as defined below) by reference to, among other factors, the closing price of the ADSs on the Nasdaq on the last trading day on or before the price determination date, and the Hong Kong Public Offer Price will not be more than HK$126.00 per Hong Kong offer share. The historical prices of our ADSs and trading volume on the Nasdaq are set out below.</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b w:val="1"/>
                <w:bCs w:val="1"/>
                <w:color w:val="auto"/>
              </w:rPr>
              <w:t>High</w:t>
            </w:r>
          </w:p>
        </w:tc>
        <w:tc>
          <w:tcPr>
            <w:tcW w:w="18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b w:val="1"/>
                <w:bCs w:val="1"/>
                <w:color w:val="auto"/>
              </w:rPr>
              <w:t>Low</w:t>
            </w:r>
          </w:p>
        </w:tc>
        <w:tc>
          <w:tcPr>
            <w:tcW w:w="16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ADTV</w:t>
            </w:r>
          </w:p>
        </w:tc>
        <w:tc>
          <w:tcPr>
            <w:tcW w:w="0" w:type="dxa"/>
            <w:vAlign w:val="bottom"/>
          </w:tcPr>
          <w:p>
            <w:pPr>
              <w:spacing w:after="0"/>
              <w:rPr>
                <w:sz w:val="1"/>
                <w:szCs w:val="1"/>
                <w:color w:val="auto"/>
              </w:rPr>
            </w:pPr>
          </w:p>
        </w:tc>
      </w:tr>
      <w:tr>
        <w:trPr>
          <w:trHeight w:val="176"/>
        </w:trPr>
        <w:tc>
          <w:tcPr>
            <w:tcW w:w="5360" w:type="dxa"/>
            <w:vAlign w:val="bottom"/>
            <w:gridSpan w:val="4"/>
          </w:tcPr>
          <w:p>
            <w:pPr>
              <w:spacing w:after="0"/>
              <w:rPr>
                <w:sz w:val="20"/>
                <w:szCs w:val="20"/>
                <w:color w:val="auto"/>
              </w:rPr>
            </w:pPr>
            <w:r>
              <w:rPr>
                <w:rFonts w:ascii="Arial" w:cs="Arial" w:eastAsia="Arial" w:hAnsi="Arial"/>
                <w:sz w:val="13"/>
                <w:szCs w:val="13"/>
                <w:b w:val="1"/>
                <w:bCs w:val="1"/>
                <w:color w:val="auto"/>
              </w:rPr>
              <w:t>Period</w:t>
            </w:r>
          </w:p>
        </w:tc>
        <w:tc>
          <w:tcPr>
            <w:tcW w:w="620" w:type="dxa"/>
            <w:vAlign w:val="bottom"/>
          </w:tcPr>
          <w:p>
            <w:pPr>
              <w:ind w:left="160"/>
              <w:spacing w:after="0"/>
              <w:rPr>
                <w:sz w:val="20"/>
                <w:szCs w:val="20"/>
                <w:color w:val="auto"/>
              </w:rPr>
            </w:pPr>
            <w:r>
              <w:rPr>
                <w:rFonts w:ascii="Arial" w:cs="Arial" w:eastAsia="Arial" w:hAnsi="Arial"/>
                <w:sz w:val="13"/>
                <w:szCs w:val="13"/>
                <w:b w:val="1"/>
                <w:bCs w:val="1"/>
                <w:color w:val="auto"/>
              </w:rPr>
              <w:t>(US$)</w:t>
            </w:r>
          </w:p>
        </w:tc>
        <w:tc>
          <w:tcPr>
            <w:tcW w:w="1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5"/>
                <w:szCs w:val="15"/>
                <w:color w:val="auto"/>
              </w:rPr>
            </w:pPr>
          </w:p>
        </w:tc>
        <w:tc>
          <w:tcPr>
            <w:tcW w:w="920" w:type="dxa"/>
            <w:vAlign w:val="bottom"/>
            <w:gridSpan w:val="2"/>
          </w:tcPr>
          <w:p>
            <w:pPr>
              <w:ind w:left="100"/>
              <w:spacing w:after="0" w:line="176" w:lineRule="exact"/>
              <w:rPr>
                <w:sz w:val="20"/>
                <w:szCs w:val="20"/>
                <w:color w:val="auto"/>
              </w:rPr>
            </w:pPr>
            <w:r>
              <w:rPr>
                <w:rFonts w:ascii="Arial" w:cs="Arial" w:eastAsia="Arial" w:hAnsi="Arial"/>
                <w:sz w:val="12"/>
                <w:szCs w:val="12"/>
                <w:b w:val="1"/>
                <w:bCs w:val="1"/>
                <w:color w:val="auto"/>
              </w:rPr>
              <w:t>(ADSs)</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Fiscal year ended December 31, 2019</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319.24</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3"/>
              </w:rPr>
              <w:t>211.88</w:t>
            </w: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6"/>
              </w:rPr>
              <w:t>715,215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Fiscal year of 2020 (up to May 25, 2020)</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401.76</w:t>
            </w:r>
          </w:p>
        </w:tc>
        <w:tc>
          <w:tcPr>
            <w:tcW w:w="800" w:type="dxa"/>
            <w:vAlign w:val="bottom"/>
            <w:gridSpan w:val="2"/>
          </w:tcPr>
          <w:p>
            <w:pPr>
              <w:ind w:left="300"/>
              <w:spacing w:after="0"/>
              <w:rPr>
                <w:sz w:val="20"/>
                <w:szCs w:val="20"/>
                <w:color w:val="auto"/>
              </w:rPr>
            </w:pPr>
            <w:r>
              <w:rPr>
                <w:rFonts w:ascii="Arial" w:cs="Arial" w:eastAsia="Arial" w:hAnsi="Arial"/>
                <w:sz w:val="18"/>
                <w:szCs w:val="18"/>
                <w:color w:val="auto"/>
                <w:w w:val="87"/>
              </w:rPr>
              <w:t>270.43</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w w:val="86"/>
              </w:rPr>
              <w:t>806,358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Note:</w:t>
      </w:r>
    </w:p>
    <w:p>
      <w:pPr>
        <w:spacing w:after="0" w:line="239" w:lineRule="exact"/>
        <w:rPr>
          <w:sz w:val="20"/>
          <w:szCs w:val="20"/>
          <w:color w:val="auto"/>
        </w:rPr>
      </w:pPr>
    </w:p>
    <w:p>
      <w:pPr>
        <w:ind w:left="2240" w:hanging="547"/>
        <w:spacing w:after="0"/>
        <w:tabs>
          <w:tab w:leader="none" w:pos="2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Average daily trading volume ("ADTV") represents daily average number of our ADSs traded over the relevant period.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Applicants under the Hong Kong Public Offering must pay, on application, the maximum Hong Kong Public Offer Price (as defined below),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HK$126.00 per Hong Kong offer share plus brokerage of 1.0%, SFC transaction levy of 0.0027% and Hong Kong Stock Exchange trading fee of 0.005%,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amounting to a total of HK$12,726.97 for one board lot of 100 ordinary shares.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may set the International Offer Price (being the final offer price per international offer share in Hong Kong dollars (exclusive of brokerage of 1%, SFC transaction levy of 0.0027% and Hong Kong Stock Exchange trading fee of 0.005%)) at a level higher than the maximum Hong Kong Public Offer Price (being the final offer price per Hong Kong offer share in Hong Kong dollars (exclusive of brokerage of 1%, SFC transaction levy of 0.0027% and Hong Kong Stock Exchange trading fee of 0.005%)) if (a) the Hong Kong dollar equivalent of the closing trading price of the ADSs on the Nasdaq on the last trading day on or before the price determination date (on a per-share converted basis) were to exceed the maximum Hong Kong Public Offer Price as stated in this prospectus supplement and/or (b) we believe that it is in our best interest, as a listed company, to set the International Offer Price at a level higher than the maximum Hong Kong Public Offer Price based on the level of interest expressed by professional and institutional investors during the book-building process.</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If the International Offer Price is set at or lower than the maximum Hong Kong Public Offer Price, the Hong Kong Public Offer Price must be set at such price which is equal to the International Offer Price. In no circumstances will we set the Hong Kong Public Offer Price above the maximum Hong Kong Public Offer Price as stated in this prospectus supplement or the International Offer Price.</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reserve the right not to proceed with the Hong Kong Public Offering or the International Offering on or at any time until the price determination date if, for any reason, including as a result of volatility in the price of our ADSs or other changes in market conditions, we do not agree with the Joint Global Coordinators (for themselves and on behalf of the underwriters) on the pricing of the Offer Shares by June 10,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in the United States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Some of the international underwriters are expected to make offers and sales both inside and outside the United States through their respective selling agents. Any offers or sales in the United States will be conducted by broker-dealers registered with the SEC. China International Capital Corporation Hong Kong Securities Limited is not a broker-dealer registered with the SEC, and, to the extent that its conduct may be deemed to involve participation in offers or sales of ordinary shares in the United States, those offers or sales will be made through one or more SEC-registered broker-dealers in compliance with applicable laws and regulations. Credit Suisse (Hong Kong) Limited will offer our ordinary shares in the United States through its SEC-registered broker-dealer affiliate in the United States, Credit Suisse Securities (USA) LLC. J.P. Morgan Securities plc will offer our ordinary shares in the United States through its SEC-registered broker-dealer affiliate in the United States, J.P. Morgan Securities LLC. Certain of the other international underwriters are not broker-dealers registered with the SEC, and do not intend to and will not offer or sell any of our ordinary shares in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Expenses</w:t>
      </w:r>
    </w:p>
    <w:p>
      <w:pPr>
        <w:spacing w:after="0" w:line="231" w:lineRule="exact"/>
        <w:rPr>
          <w:sz w:val="20"/>
          <w:szCs w:val="20"/>
          <w:color w:val="auto"/>
        </w:rPr>
      </w:pPr>
    </w:p>
    <w:p>
      <w:pPr>
        <w:ind w:right="200" w:firstLine="348"/>
        <w:spacing w:after="0" w:line="303" w:lineRule="auto"/>
        <w:rPr>
          <w:sz w:val="20"/>
          <w:szCs w:val="20"/>
          <w:color w:val="auto"/>
        </w:rPr>
      </w:pPr>
      <w:r>
        <w:rPr>
          <w:rFonts w:ascii="Arial" w:cs="Arial" w:eastAsia="Arial" w:hAnsi="Arial"/>
          <w:sz w:val="15"/>
          <w:szCs w:val="15"/>
          <w:color w:val="auto"/>
        </w:rPr>
        <w:t>The following table shows the per ordinary share and total underwriting discounts and commissions to be paid to the underwriters by us. These amounts include gross proceeds of the Global Offering that may be paid to the underwriters and are shown assuming both no exercise and full exercise of the international underwriters' option to purchase up to an additional 25,722,000 ordinary shares. Total underwriting discounts and commissions to be paid to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6"/>
              </w:rPr>
              <w:t>underwriters represent</w:t>
            </w:r>
          </w:p>
        </w:tc>
        <w:tc>
          <w:tcPr>
            <w:tcW w:w="9480" w:type="dxa"/>
            <w:vAlign w:val="bottom"/>
          </w:tcPr>
          <w:p>
            <w:pPr>
              <w:ind w:left="180"/>
              <w:spacing w:after="0"/>
              <w:rPr>
                <w:sz w:val="20"/>
                <w:szCs w:val="20"/>
                <w:color w:val="auto"/>
              </w:rPr>
            </w:pPr>
            <w:r>
              <w:rPr>
                <w:rFonts w:ascii="Arial" w:cs="Arial" w:eastAsia="Arial" w:hAnsi="Arial"/>
                <w:sz w:val="18"/>
                <w:szCs w:val="18"/>
                <w:color w:val="auto"/>
              </w:rPr>
              <w:t>% of the total gross proceeds of the Global Offering (assuming the option to purchase additional ordinary shares is</w:t>
            </w:r>
          </w:p>
        </w:tc>
      </w:tr>
      <w:tr>
        <w:trPr>
          <w:trHeight w:val="426"/>
        </w:trPr>
        <w:tc>
          <w:tcPr>
            <w:tcW w:w="1760" w:type="dxa"/>
            <w:vAlign w:val="bottom"/>
          </w:tcPr>
          <w:p>
            <w:pPr>
              <w:spacing w:after="0"/>
              <w:rPr>
                <w:sz w:val="24"/>
                <w:szCs w:val="24"/>
                <w:color w:val="auto"/>
              </w:rPr>
            </w:pPr>
          </w:p>
        </w:tc>
        <w:tc>
          <w:tcPr>
            <w:tcW w:w="9480" w:type="dxa"/>
            <w:vAlign w:val="bottom"/>
          </w:tcPr>
          <w:p>
            <w:pPr>
              <w:ind w:left="3700"/>
              <w:spacing w:after="0"/>
              <w:rPr>
                <w:sz w:val="20"/>
                <w:szCs w:val="20"/>
                <w:color w:val="auto"/>
              </w:rPr>
            </w:pPr>
            <w:r>
              <w:rPr>
                <w:rFonts w:ascii="Arial" w:cs="Arial" w:eastAsia="Arial" w:hAnsi="Arial"/>
                <w:sz w:val="18"/>
                <w:szCs w:val="18"/>
                <w:color w:val="auto"/>
              </w:rPr>
              <w:t>S-51</w:t>
            </w:r>
          </w:p>
        </w:tc>
      </w:tr>
      <w:tr>
        <w:trPr>
          <w:trHeight w:val="228"/>
        </w:trPr>
        <w:tc>
          <w:tcPr>
            <w:tcW w:w="1760" w:type="dxa"/>
            <w:vAlign w:val="bottom"/>
            <w:tcBorders>
              <w:bottom w:val="single" w:sz="8" w:color="808080"/>
            </w:tcBorders>
          </w:tcPr>
          <w:p>
            <w:pPr>
              <w:spacing w:after="0"/>
              <w:rPr>
                <w:sz w:val="19"/>
                <w:szCs w:val="19"/>
                <w:color w:val="auto"/>
              </w:rPr>
            </w:pPr>
          </w:p>
        </w:tc>
        <w:tc>
          <w:tcPr>
            <w:tcW w:w="9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2"/>
        </w:trPr>
        <w:tc>
          <w:tcPr>
            <w:tcW w:w="43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420" w:type="dxa"/>
            <w:vAlign w:val="bottom"/>
            <w:gridSpan w:val="9"/>
          </w:tcPr>
          <w:p>
            <w:pPr>
              <w:spacing w:after="0"/>
              <w:rPr>
                <w:sz w:val="20"/>
                <w:szCs w:val="20"/>
                <w:color w:val="auto"/>
              </w:rPr>
            </w:pPr>
            <w:r>
              <w:rPr>
                <w:rFonts w:ascii="Arial" w:cs="Arial" w:eastAsia="Arial" w:hAnsi="Arial"/>
                <w:sz w:val="18"/>
                <w:szCs w:val="18"/>
                <w:color w:val="auto"/>
                <w:w w:val="91"/>
              </w:rPr>
              <w:t>not exercised). This presentation assumes the public offering price in both the International Offering and the Hong Kong Public Offering is HK$</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7"/>
        </w:trPr>
        <w:tc>
          <w:tcPr>
            <w:tcW w:w="4300" w:type="dxa"/>
            <w:vAlign w:val="bottom"/>
            <w:gridSpan w:val="3"/>
          </w:tcPr>
          <w:p>
            <w:pPr>
              <w:ind w:left="1700"/>
              <w:spacing w:after="0"/>
              <w:rPr>
                <w:sz w:val="20"/>
                <w:szCs w:val="20"/>
                <w:color w:val="auto"/>
              </w:rPr>
            </w:pPr>
            <w:r>
              <w:rPr>
                <w:rFonts w:ascii="Arial" w:cs="Arial" w:eastAsia="Arial" w:hAnsi="Arial"/>
                <w:sz w:val="13"/>
                <w:szCs w:val="13"/>
                <w:b w:val="1"/>
                <w:bCs w:val="1"/>
                <w:color w:val="auto"/>
              </w:rPr>
              <w:t>Paid by Us</w:t>
            </w:r>
          </w:p>
        </w:tc>
        <w:tc>
          <w:tcPr>
            <w:tcW w:w="1320" w:type="dxa"/>
            <w:vAlign w:val="bottom"/>
          </w:tcPr>
          <w:p>
            <w:pPr>
              <w:spacing w:after="0"/>
              <w:rPr>
                <w:sz w:val="24"/>
                <w:szCs w:val="24"/>
                <w:color w:val="auto"/>
              </w:rPr>
            </w:pPr>
          </w:p>
        </w:tc>
        <w:tc>
          <w:tcPr>
            <w:tcW w:w="1760" w:type="dxa"/>
            <w:vAlign w:val="bottom"/>
          </w:tcPr>
          <w:p>
            <w:pPr>
              <w:ind w:left="540"/>
              <w:spacing w:after="0"/>
              <w:rPr>
                <w:sz w:val="20"/>
                <w:szCs w:val="20"/>
                <w:color w:val="auto"/>
              </w:rPr>
            </w:pPr>
            <w:r>
              <w:rPr>
                <w:rFonts w:ascii="Arial" w:cs="Arial" w:eastAsia="Arial" w:hAnsi="Arial"/>
                <w:sz w:val="13"/>
                <w:szCs w:val="13"/>
                <w:b w:val="1"/>
                <w:bCs w:val="1"/>
                <w:color w:val="auto"/>
              </w:rPr>
              <w:t>No Exercise</w:t>
            </w:r>
          </w:p>
        </w:tc>
        <w:tc>
          <w:tcPr>
            <w:tcW w:w="160" w:type="dxa"/>
            <w:vAlign w:val="bottom"/>
          </w:tcPr>
          <w:p>
            <w:pPr>
              <w:spacing w:after="0"/>
              <w:rPr>
                <w:sz w:val="24"/>
                <w:szCs w:val="24"/>
                <w:color w:val="auto"/>
              </w:rPr>
            </w:pPr>
          </w:p>
        </w:tc>
        <w:tc>
          <w:tcPr>
            <w:tcW w:w="2880" w:type="dxa"/>
            <w:vAlign w:val="bottom"/>
            <w:gridSpan w:val="3"/>
          </w:tcPr>
          <w:p>
            <w:pPr>
              <w:ind w:left="560"/>
              <w:spacing w:after="0"/>
              <w:rPr>
                <w:sz w:val="20"/>
                <w:szCs w:val="20"/>
                <w:color w:val="auto"/>
              </w:rPr>
            </w:pPr>
            <w:r>
              <w:rPr>
                <w:rFonts w:ascii="Arial" w:cs="Arial" w:eastAsia="Arial" w:hAnsi="Arial"/>
                <w:sz w:val="13"/>
                <w:szCs w:val="13"/>
                <w:b w:val="1"/>
                <w:bCs w:val="1"/>
                <w:color w:val="auto"/>
              </w:rPr>
              <w:t>Full Exercise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30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HK$</w:t>
            </w:r>
          </w:p>
        </w:tc>
        <w:tc>
          <w:tcPr>
            <w:tcW w:w="2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HK$</w:t>
            </w:r>
          </w:p>
        </w:tc>
        <w:tc>
          <w:tcPr>
            <w:tcW w:w="8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2"/>
          </w:tcPr>
          <w:p>
            <w:pPr>
              <w:ind w:left="1320"/>
              <w:spacing w:after="0"/>
              <w:rPr>
                <w:sz w:val="20"/>
                <w:szCs w:val="20"/>
                <w:color w:val="auto"/>
              </w:rPr>
            </w:pPr>
            <w:r>
              <w:rPr>
                <w:rFonts w:ascii="Arial" w:cs="Arial" w:eastAsia="Arial" w:hAnsi="Arial"/>
                <w:sz w:val="18"/>
                <w:szCs w:val="18"/>
                <w:color w:val="auto"/>
              </w:rPr>
              <w:t>HK$</w:t>
            </w:r>
          </w:p>
        </w:tc>
        <w:tc>
          <w:tcPr>
            <w:tcW w:w="2180" w:type="dxa"/>
            <w:vAlign w:val="bottom"/>
            <w:gridSpan w:val="3"/>
          </w:tcPr>
          <w:p>
            <w:pPr>
              <w:ind w:left="160"/>
              <w:spacing w:after="0"/>
              <w:rPr>
                <w:sz w:val="20"/>
                <w:szCs w:val="20"/>
                <w:color w:val="auto"/>
              </w:rPr>
            </w:pPr>
            <w:r>
              <w:rPr>
                <w:rFonts w:ascii="Arial" w:cs="Arial" w:eastAsia="Arial" w:hAnsi="Arial"/>
                <w:sz w:val="18"/>
                <w:szCs w:val="18"/>
                <w:color w:val="auto"/>
              </w:rPr>
              <w:t>HK$</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60" w:firstLine="348"/>
        <w:spacing w:after="0" w:line="331" w:lineRule="auto"/>
        <w:rPr>
          <w:sz w:val="20"/>
          <w:szCs w:val="20"/>
          <w:color w:val="auto"/>
        </w:rPr>
      </w:pPr>
      <w:r>
        <w:rPr>
          <w:rFonts w:ascii="Arial" w:cs="Arial" w:eastAsia="Arial" w:hAnsi="Arial"/>
          <w:sz w:val="16"/>
          <w:szCs w:val="16"/>
          <w:color w:val="auto"/>
        </w:rPr>
        <w:t>The estimated offering expenses payable by us, including registration, filing and listing fees, printing fees and legal and accounting expenses, but exclusive of the underwriting discounts and commissions, are approximately HK$110.4 million (US$14.2 million).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Underwriters' Option to Purchase Additional Ordinary Shares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connection with the Global Offering, we have granted the international underwriters the right, exercisable by the Joint Global Coordinators on behalf of the international underwriters at any time until 30 days after the last day for lodging applications under the Hong Kong Public Offering, to purchase up to an aggregate of 25,722,000 additional ordinary shares, representing not more than 15% of the total number of ordinary shares initially available under the Global Offering, at the International Offer Price to, among other things, cover over-allocations in the International Offering, if any.</w:t>
      </w:r>
    </w:p>
    <w:p>
      <w:pPr>
        <w:spacing w:after="0" w:line="16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J.P. Morgan Securities plc expects to enter into a borrowing arrangement with Shining Globe International Limited that is intended to facilitate the settlement of over-allocations. J.P. Morgan Securities plc is obligated to return ordinary shares to Shining Globe International Limited by exercising the option to purchase additional ordinary shares from us or by making purchases in the open market. No fees or other remuneration will be paid by the underwriters to us or Shining Globe International Limited for the loan of these ordinary shares.</w:t>
      </w:r>
    </w:p>
    <w:p>
      <w:pPr>
        <w:spacing w:after="0" w:line="197"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If the international underwriters' option to purchase additional ordinary shares is exercised in full, the additional ordinary shares to be issued pursuant thereto will represent approximately 5.71% of our total ordinary shares issued immediately following the completion of the Global Offering (assuming no ordinary shares are issued pursuant to our RSU plans). If the international underwriters exercise their option to purchase additional ordinary shares, an announcement will be made.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undertaken to the underwriters that, without the prior written consent of the Joint Sponsors, we will not, during the period commencing on the price determination date and ending on, and including, the date that is 90 days after the price determination date, or such earlier date that the Joint Sponsors consent to in writing, and unless in compliance with the requirements of the Hong Kong Listing Rules, directly or indirectly take any of the following actions with respect to any ADSs or our ordinary shares or any securities convertible into or exchangeable for or exercisable for any ADSs or our ordinary shares, (such securities are collectively referred to in this prospectus supplement as lock-up securities): (i) offer, sell, issue, pledge, contract to sell or otherwise dispose of lock-up securities, (ii) offer, sell, issue, contract to sell, contract to purchase or grant any option, right or warrant to purchase lock-up securities, (iii) establish or increase a put equivalent position or liquidate or decrease a call equivalent position in lock-up securities within the meaning of Section 16 of the Exchange Act or (iv) file with the SEC a registration statement under the Securities Act relating to lock-up securities, other than registration statements on Form S-8 relating to the issuance, vesting, exercise or settlement of equity awards granted or to be granted pursuant to any employee benefit plan described in the offering documents relating to this offering, subject to limited exceptions. Notwithstanding the restrictions described above, we may:</w:t>
      </w:r>
    </w:p>
    <w:p>
      <w:pPr>
        <w:spacing w:after="0" w:line="189" w:lineRule="exact"/>
        <w:rPr>
          <w:sz w:val="20"/>
          <w:szCs w:val="20"/>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 or cause to be sold, the ordinary shares to be sold and/or issued in this offering, including, for avoidance of doubt, any ordinary shares to be loaned and sold pursuant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borrowing arrangement by and among the Joint Sponsors (for themselves and on behalf of the underwriters) and Shining Globe International Limited, which arrangement is intended to facilitate stabilizing activities in connection with this offering;</w:t>
      </w:r>
    </w:p>
    <w:p>
      <w:pPr>
        <w:spacing w:after="0" w:line="199" w:lineRule="exact"/>
        <w:rPr>
          <w:sz w:val="20"/>
          <w:szCs w:val="20"/>
          <w:color w:val="auto"/>
        </w:rPr>
      </w:pPr>
    </w:p>
    <w:p>
      <w:pPr>
        <w:ind w:left="1080" w:hanging="532"/>
        <w:spacing w:after="0" w:line="25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ordinary shares or ADSs or the grant of options to purchase ordinary shares, restricted shares, restricted share units or any other equity-linked rights issuable under our existing share incentive plans, including the effect of one or more bulk issuances of ordinary shares, or ADSs upon deposit of ordinary shares with the depositary, and delivered to our existing brokerage accounts, in contemplation of future issuance under our existing share incentive plans;</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 any capitalization issue, capital reduction or consolidation or sub-division of the ordinary shares;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securities upon the exercise of an option or a warrant, the vesting of a restricted share unit or the conversion of a security outstanding on the dates of the Hong Kong Underwriting Agreement and the International Underwriting Agreement;</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any securities in connection with our acquisition of one or more businesses, assets, products or technologies, joint ventures, commercial relationships or other strategic corporate transactions, provided that the recipients of such securities execute a lock-up agreement in favor of the underwriters containing substantially the same obligations as those set forth in the lock-up agreements entered into by our directors and senior officers in connection with this offering; and</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repurchase securities pursuant to our share repurchase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Agreements with Directors and Executive Officers</w:t>
      </w:r>
    </w:p>
    <w:p>
      <w:pPr>
        <w:spacing w:after="0" w:line="225"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All of our directors and all of our executive officers have each agreed with the international underwriters that, during the period commencing on the price determination date and ending at the close of business of the 90th day after the price determination date, without the prior written consent of the Joint Global Coordinators, they will not, among other things, directly or indirectly:</w:t>
      </w:r>
    </w:p>
    <w:p>
      <w:pPr>
        <w:spacing w:after="0" w:line="207" w:lineRule="exact"/>
        <w:rPr>
          <w:sz w:val="20"/>
          <w:szCs w:val="20"/>
          <w:color w:val="auto"/>
        </w:rPr>
      </w:pPr>
    </w:p>
    <w:p>
      <w:pPr>
        <w:ind w:left="1080" w:right="40" w:hanging="532"/>
        <w:spacing w:after="0" w:line="29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offer, sell, contract sell, pledge, grant any option to purchase, purchase any option or contract to sell, make any short sale or otherwise dispose of any ADSs or ordinary shares or any of our securities that are substantially similar to the ADSs or ordinary shares, or any options or warrants to purchase any ADSs or ordinary shares, or any securities convertible into, exchangeable for or that represent the right to receive ADSs or ordinary shares, whether now owned or hereinafter acquired, owned directly by the lock-up person (including holding as a custodian) or with respect to which the lock-up person has beneficial ownership within the rules and regulations of the SEC and/or the SFO (such securities are collectively referred to in this prospectus supplement as D&amp;O lock-up securities);</w:t>
      </w:r>
    </w:p>
    <w:p>
      <w:pPr>
        <w:spacing w:after="0" w:line="187" w:lineRule="exact"/>
        <w:rPr>
          <w:rFonts w:ascii="Arial" w:cs="Arial" w:eastAsia="Arial" w:hAnsi="Arial"/>
          <w:sz w:val="16"/>
          <w:szCs w:val="16"/>
          <w:color w:val="auto"/>
        </w:rPr>
      </w:pPr>
    </w:p>
    <w:p>
      <w:pPr>
        <w:ind w:left="1080" w:right="100" w:hanging="532"/>
        <w:spacing w:after="0" w:line="33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engage in any hedging or other or arrangements which is designed to or which reasonably could be expected to lead to or result in a sale or disposition or transfer of any economic consequences of ownership, in whole or in part, directly or indirectly, of any D&amp;O lock-up securities);</w:t>
      </w:r>
    </w:p>
    <w:p>
      <w:pPr>
        <w:spacing w:after="0" w:line="167"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any hedging, swap or other agreement or transaction that transfers, in whole or in part, any of the economic consequences of ownership of the D&amp;O lock-up securities;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D&amp;O lock-up securities;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subject to limited exceptions as described further below.</w:t>
      </w:r>
    </w:p>
    <w:p>
      <w:pPr>
        <w:spacing w:after="0" w:line="225"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For the purposes of the foregoing lock-up restrictions, D&amp;O lock-up securities shall not include, and nothing in the foregoing lock-up restrictions shall prohibit, any transaction relating only to, (i) ADSs or ordinary shares purchased in open market transactions after the price determination date (excluding, for the avoidance of doubt, any ordinary shares purchased in this offering), or (ii) ADSs or ordinary shares acquired in private transactions after the price determination date from third parties to the extent such acquired ADSs or ordinary shares are not subject to any lock-up or similar transfer restrictions.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certain other exceptions, the restrictions described above do not apply to transfers of any D&amp;O lock-up securities: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any trust for the direct or indirect benefit of the locked-up person or the immediate family of the locked-up person, or if the locked-up person is a trust, to a trustor or beneficiary of the trust or to the estate of a beneficiary of such trust, provided that any such transfer shall not involve a disposition for value;</w:t>
      </w:r>
    </w:p>
    <w:p>
      <w:pPr>
        <w:spacing w:after="0" w:line="22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will or intestate succession upon the death of the locked-up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by operation of law, such as pursuant to a qualified domestic order, divorce settlement, divorce decree or separation agreement;</w:t>
      </w:r>
    </w:p>
    <w:p>
      <w:pPr>
        <w:spacing w:after="0" w:line="261" w:lineRule="exact"/>
        <w:rPr>
          <w:rFonts w:ascii="Arial" w:cs="Arial" w:eastAsia="Arial" w:hAnsi="Arial"/>
          <w:sz w:val="16"/>
          <w:szCs w:val="16"/>
          <w:color w:val="auto"/>
        </w:rPr>
      </w:pPr>
    </w:p>
    <w:p>
      <w:pPr>
        <w:ind w:left="1080" w:right="180" w:hanging="532"/>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by surrender or forfeiture of any D&amp;O lock-up securities to us or sale or transfer of any D&amp;O lock-up securities to satisfy (x) tax withholding obligations upon exercise or vesting or (y) the exercise price upon a cashless net exercise, in each case, of share options, equity awards, warrants or other right to acquire our ordinary shares or ADSs pursuant to our equity incentive plans described in the offering documents relating to this offering;</w:t>
      </w:r>
    </w:p>
    <w:p>
      <w:pPr>
        <w:spacing w:after="0" w:line="223" w:lineRule="exact"/>
        <w:rPr>
          <w:rFonts w:ascii="Arial" w:cs="Arial" w:eastAsia="Arial" w:hAnsi="Arial"/>
          <w:sz w:val="18"/>
          <w:szCs w:val="18"/>
          <w:color w:val="auto"/>
        </w:rPr>
      </w:pPr>
    </w:p>
    <w:p>
      <w:pPr>
        <w:ind w:left="1080" w:right="220" w:hanging="532"/>
        <w:spacing w:after="0" w:line="33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us or our affiliate arising as a result of the termination of employment or directorship of the locked-up person where we or our affiliate has the option to repurchase such D&amp;O lock-up securities or a right of first refusal with respect to transfers of such D&amp;O lock-up securities;</w:t>
      </w:r>
    </w:p>
    <w:p>
      <w:pPr>
        <w:spacing w:after="0" w:line="154"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the prior written consent of the Joint Global Coordinators (for themselves and on behalf of the underwriters); or</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locked-up person and the immediate family of the locked-up person are the legal and beneficial owner of all of the outstanding equity securities or similar interests.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the Global Offering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Acceptance of all applications for our ordinary shares is conditional on, among other things:</w:t>
      </w:r>
    </w:p>
    <w:p>
      <w:pPr>
        <w:spacing w:after="0" w:line="252" w:lineRule="exact"/>
        <w:rPr>
          <w:sz w:val="20"/>
          <w:szCs w:val="20"/>
          <w:color w:val="auto"/>
        </w:rPr>
      </w:pPr>
    </w:p>
    <w:p>
      <w:pPr>
        <w:ind w:left="10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listing committee of the Hong Kong Stock Exchange granting approval for the listing of, and permission to deal in, the ordinary shares in issue and to be issued pursuant to the Global Offering (including any ordinary shares which may be issued pursuant to the exercise of the option of the Joint Global Coordinators to purchase additional ordinary shares) and the ordinary shares to be issued pursuant to our RSU plans, on the Main Board of the Hong Kong Stock</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Exchange and such approval not subsequently having been withdrawn or revoked prior to the date on which our ordinary shares are listed on the Hong Kong Stock Exchange;</w:t>
      </w:r>
    </w:p>
    <w:p>
      <w:pPr>
        <w:spacing w:after="0" w:line="199" w:lineRule="exact"/>
        <w:rPr>
          <w:sz w:val="20"/>
          <w:szCs w:val="20"/>
          <w:color w:val="auto"/>
        </w:rPr>
      </w:pPr>
    </w:p>
    <w:p>
      <w:pPr>
        <w:ind w:left="1080" w:right="1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pricing of the ordinary shares having been agreed between the Joint Global Coordinators (for themselves and on behalf of the underwriters) and 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execution and delivery of the International Underwriting Agreement on or around the date of this prospectus supplement; and</w:t>
      </w:r>
    </w:p>
    <w:p>
      <w:pPr>
        <w:spacing w:after="0" w:line="261" w:lineRule="exact"/>
        <w:rPr>
          <w:rFonts w:ascii="Arial" w:cs="Arial" w:eastAsia="Arial" w:hAnsi="Arial"/>
          <w:sz w:val="16"/>
          <w:szCs w:val="16"/>
          <w:color w:val="auto"/>
        </w:rPr>
      </w:pPr>
    </w:p>
    <w:p>
      <w:pPr>
        <w:ind w:left="1080" w:right="58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obligations of the Hong Kong Underwriters under the Hong Kong Underwriting Agreement and the obligations of the international underwriters under the International Underwriting Agreement becoming and remaining unconditional and not having been terminated in accordance with the terms of the respective agreements,</w:t>
      </w:r>
    </w:p>
    <w:p>
      <w:pPr>
        <w:spacing w:after="0" w:line="194" w:lineRule="exact"/>
        <w:rPr>
          <w:sz w:val="20"/>
          <w:szCs w:val="20"/>
          <w:color w:val="auto"/>
        </w:rPr>
      </w:pPr>
    </w:p>
    <w:p>
      <w:pPr>
        <w:ind w:right="120"/>
        <w:spacing w:after="0" w:line="331" w:lineRule="auto"/>
        <w:rPr>
          <w:sz w:val="20"/>
          <w:szCs w:val="20"/>
          <w:color w:val="auto"/>
        </w:rPr>
      </w:pPr>
      <w:r>
        <w:rPr>
          <w:rFonts w:ascii="Arial" w:cs="Arial" w:eastAsia="Arial" w:hAnsi="Arial"/>
          <w:sz w:val="16"/>
          <w:szCs w:val="16"/>
          <w:color w:val="auto"/>
        </w:rPr>
        <w:t>in each case on or before the dates and times specified in the respective Underwriting Agreements (unless and to the extent such conditions are validly waived on or before such dates and times) and, in any event, not later than the date which is 30 days from the date of this prospectus supplement.</w:t>
      </w:r>
    </w:p>
    <w:p>
      <w:pPr>
        <w:spacing w:after="0" w:line="141"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If, for any reason, we do not agree on the pricing of the ordinary shares with the Joint Global Coordinators (for themselves and on behalf of the underwriters) on or before June 10, 2020, the Global Offering will not proceed and will lapse.</w:t>
      </w:r>
    </w:p>
    <w:p>
      <w:pPr>
        <w:spacing w:after="0" w:line="18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consummation of each of the Hong Kong Public Offering and the International Offering is conditional upon, among other things, the other offering becoming unconditional and not having been terminated in accordance with its terms.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Share certificates for the Offer Shares will only become valid at 8:00 a.m. on June 18, 2020, provided that the Global Offering has become unconditional in all respects at or before that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Dealings Arrangements</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Assuming that the Hong Kong Public Offering becomes unconditional at or before 8:00 a.m. in Hong Kong on June 11, 2020, it is expected that dealings in the ordinary shares on the Hong Kong Stock Exchange will commence at 9:00 a.m. on June 11, 2020. The ordinary shares will be traded in board lots of 100 ordinary shares each and the stock code of the ordinary shares will be "9999."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agreed to indemnify the several underwriters and certain of their affiliates against certain liabilities, including liabilities under the Securities Act, and to contribute to payments that the underwriters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31"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Underwriters use stabilization in some markets to facilitate the distribution of securities. To stabilize, the underwriters may bid for, or purchase, the securities in the secondary market during a specified period of time, to retard and, if possible, prevent a decline in the initial public market price of the securities below the offer price. Such transactions may be effected in all jurisdictions where it is permissible to do so, in each case in compliance with all applicable laws and regulatory requirements, including those of Hong Kong. In Hong Kong, the price at which the stabilization is effected is not permitted to exceed the public offering price.</w:t>
      </w:r>
    </w:p>
    <w:p>
      <w:pPr>
        <w:spacing w:after="0" w:line="20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 connection with the Global Offering, the stabilizing manager (or any person acting for it), on behalf of the underwriters, may over-allocate or effect transactions with a view to stabilizing or supporting the market price of our ordinary shares at a level higher than that which might otherwise prevail for a limited period after the listing date in the Hong Kong market. However, there is no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obligation on the stabilizing manager (or any person acting for it) to conduct any such stabilizing action. Such stabilizing action, if taken: (a) will be conducted at the absolute discretion of the stabilizing manager (or any person acting for it) and in what the stabilizing manager reasonably regards as our best interest;</w:t>
      </w:r>
    </w:p>
    <w:p>
      <w:pPr>
        <w:spacing w:after="0" w:line="1" w:lineRule="exact"/>
        <w:rPr>
          <w:sz w:val="20"/>
          <w:szCs w:val="20"/>
          <w:color w:val="auto"/>
        </w:rPr>
      </w:pPr>
    </w:p>
    <w:p>
      <w:pPr>
        <w:ind w:right="60" w:firstLine="8"/>
        <w:spacing w:after="0" w:line="260"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may be discontinued at any time; and (c) is required to be brought to an end within 30 days after the last day for lodging applications under the Hong Kong Public Offering.</w:t>
      </w:r>
    </w:p>
    <w:p>
      <w:pPr>
        <w:spacing w:after="0" w:line="193"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Stabilization action permitted in Hong Kong pursuant to the Securities and Futures (Price Stabilizing) Rules of the SFO includes: (a) over-allocating for the purpose of preventing or minimizing any reduction in the market price of our ordinary shares; (b) selling or agreeing to sell our ordinary shares so as to establish a short position in them for the purpose of preventing or minimizing any reduction in the market price of our ordinary shares; (c) purchasing, or agreeing to purchase, our ordinary shares pursuant to the underwriters' over-allotment option in order to close out any position established under paragraphs (a) or (b) above; (d) purchasing, or agreeing to purchase, any of our ordinary shares for the sole purpose of preventing or minimizing any reduction in the market price of our ordinary shares; (e) selling or agreeing to sell any ordinary shares in order to liquidate any position established as a result of those purchases; and</w:t>
      </w:r>
    </w:p>
    <w:p>
      <w:pPr>
        <w:ind w:left="360" w:right="4360" w:hanging="352"/>
        <w:spacing w:after="0" w:line="596" w:lineRule="auto"/>
        <w:tabs>
          <w:tab w:leader="none" w:pos="228" w:val="left"/>
        </w:tabs>
        <w:numPr>
          <w:ilvl w:val="0"/>
          <w:numId w:val="48"/>
        </w:numPr>
        <w:rPr>
          <w:rFonts w:ascii="Arial" w:cs="Arial" w:eastAsia="Arial" w:hAnsi="Arial"/>
          <w:sz w:val="15"/>
          <w:szCs w:val="15"/>
          <w:color w:val="auto"/>
        </w:rPr>
      </w:pPr>
      <w:r>
        <w:rPr>
          <w:rFonts w:ascii="Arial" w:cs="Arial" w:eastAsia="Arial" w:hAnsi="Arial"/>
          <w:sz w:val="15"/>
          <w:szCs w:val="15"/>
          <w:color w:val="auto"/>
        </w:rPr>
        <w:t>offering or attempting to do anything as described in paragraphs (b), (c), (d) or (e) above. Specifically, prospective applicants for and investors in our ordinary shares should note that:</w:t>
      </w:r>
    </w:p>
    <w:p>
      <w:pPr>
        <w:spacing w:after="0" w:line="14" w:lineRule="exact"/>
        <w:rPr>
          <w:rFonts w:ascii="Arial" w:cs="Arial" w:eastAsia="Arial" w:hAnsi="Arial"/>
          <w:sz w:val="15"/>
          <w:szCs w:val="15"/>
          <w:color w:val="auto"/>
        </w:rPr>
      </w:pPr>
    </w:p>
    <w:p>
      <w:pPr>
        <w:ind w:left="1080" w:right="400" w:hanging="532"/>
        <w:spacing w:after="0" w:line="268"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stabilizing manager (or any person acting for it) may, in connection with the stabilizing action, maintain a long position in our ordinary shares;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there is no certainty as to the extent to which and the time or period for which the stabilizing manager (or any person acting for it) will maintain such a long position;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liquidation of any such long position by the stabilizing manager (or any person acting for it) and selling in the open market may have an adverse impact on the market price of our ordinary shares;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 stabilizing action can be taken to support the price of our ordinary shares for longer than the stabilization period, which will begin on the listing date, and is expected to expire on Sunday, July 5, 2020, being the 30th day after the last day for lodging applications under the Hong Kong Public Offering. After this date, when no further stabilizing action may be taken, demand for our ordinary shares, and therefore the price of our ordinary shares, could fall;</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price of our ordinary shares cannot be assured to stay at or above the public offer price by the taking of any stabilizing action; and</w:t>
      </w:r>
    </w:p>
    <w:p>
      <w:pPr>
        <w:spacing w:after="0" w:line="261" w:lineRule="exact"/>
        <w:rPr>
          <w:rFonts w:ascii="Arial" w:cs="Arial" w:eastAsia="Arial" w:hAnsi="Arial"/>
          <w:sz w:val="16"/>
          <w:szCs w:val="16"/>
          <w:color w:val="auto"/>
        </w:rPr>
      </w:pPr>
    </w:p>
    <w:p>
      <w:pPr>
        <w:ind w:left="1080" w:right="260" w:hanging="532"/>
        <w:spacing w:after="0" w:line="331" w:lineRule="auto"/>
        <w:tabs>
          <w:tab w:leader="none" w:pos="10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stabilizing bids or transactions effected in the course of the stabilizing action may be made at any price at or below the public offer price and can, therefore, be done at a price below the price paid by applicants for, or investors in, our ordinary shares.</w:t>
      </w:r>
    </w:p>
    <w:p>
      <w:pPr>
        <w:spacing w:after="0" w:line="14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will ensure or procure that an announcement in compliance with the Securities and Futures (Price Stabilizing) Rules of the SFO will be made within seven days of the expiration of the stabilization period.</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connection with the Global Offering, the underwriters may also purchase and sell ordinary shares or ADSs in the open market in compliance with all applicable laws and regulations. These transactions may include short sales, stabilizing transactions and purchases to cover positions created by short sales. Short sales involve the sale by the underwriters of a greater number of ordinary shares than they are required to purchase in the offering or the sale by the underwriters of the ADSs, and a short position represents the amount of such sales that have not been covered by subsequent purchases. A "covered short position" is a short position that is not greater than the amount of additional ordinary shares (including ordinary shares represented by short sales of ADSs) for which the international underwriters' option to purchase additional ordinary shares may be exercised. The underwriters may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cover any covered short position by either exercising their option to purchase additional ordinary shares or purchasing ordinary shares or ADSs in the open market and converting such ADSs into ordinary shares. In determining the source of ordinary shares to cover the covered short position, the underwriters will consider, among other things, the price of ordinary shares or ADSs available for purchase in the open market as compared to the price at which they may purchase additional ordinary shares pursuant to the option described above. Stabilizing transactions consist of various bids for or purchases of ordinary shares or ADSs made by the underwriters in the open market.</w:t>
      </w:r>
    </w:p>
    <w:p>
      <w:pPr>
        <w:spacing w:after="0" w:line="20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underwriters may also impose a penalty bid, whereby selling concessions allowed to dealers participating in the offering may be reclaimed if the securities sold by them are repurchased in connection with stabilization transactions. Purchases to cover a short position and stabilizing transactions, as well as other purchases by the underwriters for their own accounts, may have the effect of preventing or retarding a decline in the market price of the ordinary shares or ADSs, and together with the imposition of the penalty bid, may stabilize, maintain or otherwise affect the market price of the ordinary shares or ADSs. As a result, the price of the ordinary shares or ADSs may be higher than the price that otherwise might exist in the open market. The underwriters are not required to engage in these activities (which may start at any time in the U.S. market beginning on the price determination date) and may end any of these activities at any time. These transactions may be effected on the Nasdaq, on the Hong Kong Stock Exchange, in the over-the-counter market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Activities by Underwriters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Described below are a variety of activities that each of the underwriters of the Global Offering may individually undertake, and which do not form part of the underwriting or the stabilizing process.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underwriters and their respective affiliates are diversified financial institutions with relationships in countries around the world. These entities engage in a wide range of commercial and investment banking, brokerage, funds management, trading, hedging, investing and other activities for their own account and for the account of others. In the ordinary course of their various business activities, the underwriters and their respective affiliates may purchase, sell or hold a broad array of investments and actively trade securities, derivatives, loans, commodities, currencies, credit default swaps and other financial instruments for their own account and for the accounts of their customers. Such investment and trading activities may involve or relate to our assets, securities and/or instruments and/or persons and entities with relationships with us and may also include swaps and other financial instruments entered into for hedging purposes in connection with our loans and other debt.</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relation to the ordinary shares, the activities of the underwriters and their affiliates could include acting as agent for buyers and sellers of the ordinary shares, proprietary trading in the ordinary shares, and entering into over the counter or listed derivative transactions or listed or unlisted securities transactions (including issuing securities such as derivative warrants listed on a stock exchange) which have as their underlying assets, assets including the ordinary shares. Such transactions may be carried out as bilateral agreements or trades with selected counterparties. Those activities may require hedging activity by those entities involving, directly or indirectly, the buying and selling of the ordinary shares, which may have a negative impact on the trading price of the ordinary shares. All such activities could occur in the United States, Hong Kong and elsewhere in the world and may result in the underwriters and their respective affiliates holding long and/or short positions in the ordinary shares, in baskets of securities or indices including the ordinary shares, in units of funds that may purchase the ordinary shares, or in derivatives related to any of the foregoing.</w:t>
      </w:r>
    </w:p>
    <w:p>
      <w:pPr>
        <w:spacing w:after="0" w:line="178" w:lineRule="exact"/>
        <w:rPr>
          <w:sz w:val="20"/>
          <w:szCs w:val="20"/>
          <w:color w:val="auto"/>
        </w:rPr>
      </w:pPr>
    </w:p>
    <w:p>
      <w:pPr>
        <w:ind w:right="140" w:firstLine="351"/>
        <w:spacing w:after="0" w:line="369" w:lineRule="auto"/>
        <w:rPr>
          <w:sz w:val="20"/>
          <w:szCs w:val="20"/>
          <w:color w:val="auto"/>
        </w:rPr>
      </w:pPr>
      <w:r>
        <w:rPr>
          <w:rFonts w:ascii="Arial" w:cs="Arial" w:eastAsia="Arial" w:hAnsi="Arial"/>
          <w:sz w:val="15"/>
          <w:szCs w:val="15"/>
          <w:color w:val="auto"/>
        </w:rPr>
        <w:t>In relation to issues by underwriters or their respective affiliates of any listed securities having the ordinary shares as their underlying securities, whether on the Hong Kong Stock Exchange or on any other stock exchange, the rules of the stock exchange may require the issuer of those securities (or one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of its affiliates or agents) to act as a market maker or liquidity provider in the security, and this will also result in hedging activity in the ordinary shares in most cases.</w:t>
      </w:r>
    </w:p>
    <w:p>
      <w:pPr>
        <w:spacing w:after="0" w:line="186"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All such activities may occur both during and after the end of the stabilizing period described under "Stabilization" above. Such activities may affect the market price or value of the ordinary shares, the liquidity or trading volume in the ordinary shares and the volatility of the price of the ordinary shares, and the extent to which this occurs from day to day cannot be estimated.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should be noted that when engaging in any of these activities, the underwriters are subject to restrictions, including the following:</w:t>
      </w:r>
    </w:p>
    <w:p>
      <w:pPr>
        <w:spacing w:after="0" w:line="239" w:lineRule="exact"/>
        <w:rPr>
          <w:sz w:val="20"/>
          <w:szCs w:val="20"/>
          <w:color w:val="auto"/>
        </w:rPr>
      </w:pPr>
    </w:p>
    <w:p>
      <w:pPr>
        <w:ind w:left="1080" w:right="100" w:hanging="532"/>
        <w:spacing w:after="0" w:line="256"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underwriters (other than the stabilizing manager or any person acting for it) must not, in connection with the distribution of the ordinary shares, effect any transactions (including issuing or entering into any option or other derivative transactions relating to the ordinary shares), whether in the open market or otherwise, with a view to stabilizing or maintaining the market price of any of the ordinary shares at levels other than those which might otherwise prevail in the open market; and</w:t>
      </w:r>
    </w:p>
    <w:p>
      <w:pPr>
        <w:spacing w:after="0" w:line="223"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underwriters must comply with all applicable laws and regulations, including the market misconduct provisions of the SFO, including the provisions prohibiting insider dealing, false trading, price rigging and stock market manipulation.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Certain of the underwriters or their respective affiliates have provided from time to time, and expect to provide in the future, investment banking and other services to us and certain of our affiliates for which such underwriters or their respective affiliates have received or will receive customary fees and commissions.</w:t>
      </w:r>
    </w:p>
    <w:p>
      <w:pPr>
        <w:spacing w:after="0" w:line="19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address of China International Capital Corporation Hong Kong Securities Limited is 29th Floor, One International Finance Centre, 1 Harbour View Street, Central, Hong Kong. The address of Credit Suisse (Hong Kong) Limited is 88th Floor, International Commerce Centre, 1 Austin Road West, Kowloon, Hong Kong. The address of J.P. Morgan Securities plc is 25 Bank Street, Canary Wharf, London E14 5JP, United Kingdom. The address of J.P. Morgan Securities LLC is 383 Madison Avenue, New York, NY 10179, United States of America. The address of ABCI Securities Company Limited is 11/F, Agricultural Bank of China Tower, 50 Connaught Road Central, Hong Kong. The address of BOCI Asia Limited is 26/F, Bank of China Tower, 1 Garden Road, Central, Hong Kong. The address of CCB International Capital Limited is 12/F, CCB Tower, 3 Connaught Road Central, Central, Hong Kong. The address of Citigroup Global Markets Limited is 33 Canada Square, Canary Wharf, London E14 5LB, United Kingdom. The address of CMB International Capital Limited is 45/F, Champion Tower, 3 Garden Road, Central, Hong Kong. The address of The Hongkong and Shanghai Banking Corporation Limited is 1 Queen's Road Central, Hong Kong. The address of Huatai Financial Holdings (Hong Kong) Limited is 62/F The Center, 99 Queen's Road Central, Hong Kong. The address of ICBC International Securities Limited is 37/F, ICBC Tower, 3 Garden Road, Hong Kong. The address of US Tiger Securities, Inc. is 437 Madison Ave 27th Floor, New York 10022, United States of America. The address of UBS AG Hong Kong Branch is 52/F, Two International Finance Centre, 8 Finance Street, Hong Kong.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420" w:firstLine="348"/>
        <w:spacing w:after="0" w:line="306" w:lineRule="auto"/>
        <w:rPr>
          <w:sz w:val="20"/>
          <w:szCs w:val="20"/>
          <w:color w:val="auto"/>
        </w:rPr>
      </w:pPr>
      <w:r>
        <w:rPr>
          <w:rFonts w:ascii="Arial" w:cs="Arial" w:eastAsia="Arial" w:hAnsi="Arial"/>
          <w:sz w:val="16"/>
          <w:szCs w:val="16"/>
          <w:color w:val="auto"/>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resale of the ordinary shares must be made in accordance with an exemption from, or in a transaction not subject to, the prospectus requirements of applicable securities laws.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related document)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relation to each Member State of the European Economic Area (each a "Member State"), no ordinary shares have been offered or will be offered pursuant to the Global Offering to the public in that Member State prior to the publication of a prospectus in relation to the ordinary shares which has been approved by the competent authority in that Member State or, where appropriate, approved in another Member State and notified to the competent authority in that Member State, all in accordance with the Prospectus Regulation, except that offers of ordinary shares may be made to the public in that Member State at any time under the following exemptions under the Prospectus Regulation:</w:t>
      </w:r>
    </w:p>
    <w:p>
      <w:pPr>
        <w:spacing w:after="0" w:line="183"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Joint Global Coordinators;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no such offer of ordinary shares shall require us or any underwriter to publish a prospectus pursuant to Article 3 of the Prospectus Regulation or</w:t>
      </w:r>
      <w:r>
        <w:rPr>
          <w:rFonts w:ascii="Arial" w:cs="Arial" w:eastAsia="Arial" w:hAnsi="Arial"/>
          <w:sz w:val="15"/>
          <w:szCs w:val="15"/>
          <w:i w:val="1"/>
          <w:iCs w:val="1"/>
          <w:color w:val="auto"/>
        </w:rPr>
        <w:t xml:space="preserve"> </w:t>
      </w:r>
      <w:r>
        <w:rPr>
          <w:rFonts w:ascii="Arial" w:cs="Arial" w:eastAsia="Arial" w:hAnsi="Arial"/>
          <w:sz w:val="15"/>
          <w:szCs w:val="15"/>
          <w:color w:val="auto"/>
        </w:rPr>
        <w:t>supplement a prospectus pursuant to Article 23 of the Prospectus Regulation and each person who initially acquires any ordinary shares or to whom any offer is made will be deemed to have represented, acknowledged and agreed to and with each of the underwriters and our company that it is a "qualified investor" within the meaning of Article 2(e) of the Prospectus Regulation. In the case of any ordinary shares being offered to a financial intermediary as that term is used in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of any ordinary shares to the public other than their offer or resale in a Member State to qualified investors as so defined or in circumstances in which the prior consent of the Joint Global Coordinators have been obtained to each such proposed offer or resale.</w:t>
      </w:r>
    </w:p>
    <w:p>
      <w:pPr>
        <w:spacing w:after="0" w:line="16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For the purposes of this provision, the expression an "offer to the public" in relation to ordinary shares in any Member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jc w:val="both"/>
        <w:ind w:right="40" w:firstLine="351"/>
        <w:spacing w:after="0" w:line="284" w:lineRule="auto"/>
        <w:rPr>
          <w:sz w:val="20"/>
          <w:szCs w:val="20"/>
          <w:color w:val="auto"/>
        </w:rPr>
      </w:pPr>
      <w:r>
        <w:rPr>
          <w:rFonts w:ascii="Arial" w:cs="Arial" w:eastAsia="Arial" w:hAnsi="Arial"/>
          <w:sz w:val="16"/>
          <w:szCs w:val="16"/>
          <w:color w:val="auto"/>
        </w:rPr>
        <w:t>In addition, in the United Kingdom, this prospectus supplement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w:t>
      </w:r>
    </w:p>
    <w:p>
      <w:pPr>
        <w:spacing w:after="0" w:line="1" w:lineRule="exact"/>
        <w:rPr>
          <w:sz w:val="20"/>
          <w:szCs w:val="20"/>
          <w:color w:val="auto"/>
        </w:rPr>
      </w:pPr>
    </w:p>
    <w:p>
      <w:pPr>
        <w:jc w:val="both"/>
        <w:ind w:firstLine="8"/>
        <w:spacing w:after="0" w:line="302" w:lineRule="auto"/>
        <w:tabs>
          <w:tab w:leader="none" w:pos="258"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ordinary shares in the United Kingdom within the meaning of the Financial Services and Markets Act 2000.</w:t>
      </w:r>
    </w:p>
    <w:p>
      <w:pPr>
        <w:spacing w:after="0" w:line="163" w:lineRule="exact"/>
        <w:rPr>
          <w:sz w:val="20"/>
          <w:szCs w:val="20"/>
          <w:color w:val="auto"/>
        </w:rPr>
      </w:pPr>
    </w:p>
    <w:p>
      <w:pPr>
        <w:jc w:val="both"/>
        <w:ind w:right="100" w:firstLine="341"/>
        <w:spacing w:after="0" w:line="259"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ordinary shares may not be publicly offered in Switzerland and will not be listed on the SIX Swiss Exchange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ordinary shares or the offering may be publicly distributed or otherwise made publicly available in Switzerland.</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Neither this prospectus supplement nor any other offering or marketing material relating to the offering, us or the ordinary shares has been or will be filed with or approved by any Swiss regulatory authority. In particular, this prospectus supplement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left="700" w:hanging="253"/>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prospectus supplement:</w:t>
      </w:r>
    </w:p>
    <w:p>
      <w:pPr>
        <w:spacing w:after="0" w:line="238" w:lineRule="exact"/>
        <w:rPr>
          <w:rFonts w:ascii="Arial" w:cs="Arial" w:eastAsia="Arial" w:hAnsi="Arial"/>
          <w:sz w:val="18"/>
          <w:szCs w:val="18"/>
          <w:color w:val="auto"/>
        </w:rPr>
      </w:pPr>
    </w:p>
    <w:p>
      <w:pPr>
        <w:ind w:left="1620" w:right="220" w:hanging="532"/>
        <w:spacing w:after="0" w:line="268" w:lineRule="auto"/>
        <w:tabs>
          <w:tab w:leader="none" w:pos="1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212" w:lineRule="exact"/>
        <w:rPr>
          <w:rFonts w:ascii="Arial" w:cs="Arial" w:eastAsia="Arial" w:hAnsi="Arial"/>
          <w:sz w:val="18"/>
          <w:szCs w:val="18"/>
          <w:color w:val="auto"/>
        </w:rPr>
      </w:pPr>
    </w:p>
    <w:p>
      <w:pPr>
        <w:ind w:left="1620" w:right="180" w:hanging="532"/>
        <w:spacing w:after="0" w:line="259" w:lineRule="auto"/>
        <w:tabs>
          <w:tab w:leader="none" w:pos="1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207"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03"/>
        <w:spacing w:after="0" w:line="254" w:lineRule="auto"/>
        <w:tabs>
          <w:tab w:leader="none" w:pos="69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ordinary shares may not be directly or indirectly offered for subscription or purchased or sold, and no invitations to subscribe for or buy the ordinary shares may be issued, and no draft or definitive offering memorandum, advertisement or other offering material relating to any ordinary shares may be distributed in Australia, except where disclosure to investors is not required under Chapter 6D of the Corporations Act or is otherwise in compliance with all applicable Australian laws and regulations. By submitting an application for the ordinary shares, you represent and warrant to us that you are an Exempt Investor.</w:t>
      </w:r>
    </w:p>
    <w:p>
      <w:pPr>
        <w:spacing w:after="0" w:line="201"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any offer of ordinary shares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ordinary shares you undertake to us that you will not, for a period of 12 months from the date of issuance of the ordinary shares, offer, transfer, assign or otherwise alienate those ordinary shares to investors in Australia except in circumstances where disclosure to investors is not required under Chapter 6D.2 of the Corporations Act or where a compliant disclosure document is prepared and lodged with ASIC.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ordinary shares have not been and will not be registered pursuant to Article 4, Paragraph 1 of the Financial Instruments and Exchange Act. Accordingly, none of the ordinary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ordinary shares under the International Offering may not be offered or sold in Hong Kong by means of any document other than (i) in circumstances which do not constitute an offer to the public within the meaning of the Companies (WUMP) Ordinance, or (ii) to "professional investors" within the meaning of the SFO and any rules made thereunder, or (iii) in other circumstances which do not result in the document being a "prospectus" within the meaning of the Companies (WUMP) Ordinance and no advertisement, invitation or document relating to the ordinary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ordinary shares which are or are intended to be disposed of only to persons outside Hong Kong or only to "professional investors" within the meaning of the SFO and any rules made thereunder.</w:t>
      </w:r>
    </w:p>
    <w:p>
      <w:pPr>
        <w:spacing w:after="0" w:line="17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purchasing the ordinary shares, save as otherwise permitted under the Hong Kong Listing Rules or within the scope of any waivers or consents granted or to be granted by the Hong Kong Stock Exchange, you will be deemed to have represented to and agreed as follows:</w:t>
      </w:r>
    </w:p>
    <w:p>
      <w:pPr>
        <w:spacing w:after="0" w:line="199" w:lineRule="exact"/>
        <w:rPr>
          <w:sz w:val="20"/>
          <w:szCs w:val="20"/>
          <w:color w:val="auto"/>
        </w:rPr>
      </w:pPr>
    </w:p>
    <w:p>
      <w:pPr>
        <w:ind w:left="1080" w:right="2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you and your ultimate beneficial owners are independent of, and not co-connected or acting in concert with, any of the directors, supervisors, chief executives or substantial shareholders of ours or any of our subsidiaries, or any of their respective close associates (as such term is defined in the Hong Kong Listing Rules);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and your ultimate beneficial owners are not our affiliate or otherwise acting for our benefit;</w:t>
      </w:r>
    </w:p>
    <w:p>
      <w:pPr>
        <w:spacing w:after="0" w:line="252" w:lineRule="exact"/>
        <w:rPr>
          <w:rFonts w:ascii="Arial" w:cs="Arial" w:eastAsia="Arial" w:hAnsi="Arial"/>
          <w:sz w:val="18"/>
          <w:szCs w:val="18"/>
          <w:color w:val="auto"/>
        </w:rPr>
      </w:pPr>
    </w:p>
    <w:p>
      <w:pPr>
        <w:ind w:left="1080" w:right="100" w:hanging="532"/>
        <w:spacing w:after="0" w:line="33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and your ultimate beneficial owners are not a director or existing shareholder of our Company, or a close associate (as such term is defined in the Hong Kong Listing Rules) of any director or existing shareholder of our Company or a nominee of any of the foregoing;</w:t>
      </w:r>
    </w:p>
    <w:p>
      <w:pPr>
        <w:spacing w:after="0" w:line="154" w:lineRule="exact"/>
        <w:rPr>
          <w:rFonts w:ascii="Arial" w:cs="Arial" w:eastAsia="Arial" w:hAnsi="Arial"/>
          <w:sz w:val="16"/>
          <w:szCs w:val="16"/>
          <w:color w:val="auto"/>
        </w:rPr>
      </w:pPr>
    </w:p>
    <w:p>
      <w:pPr>
        <w:ind w:left="1080" w:right="580" w:hanging="532"/>
        <w:spacing w:after="0" w:line="33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and your ultimate beneficial owners are not making, have not made and will not make offers or sales of the Offer Shares to any core connected person (as the term is defined in the Hong Kong Listing Rules) of ours at the time of completion of this Global Offering;</w:t>
      </w:r>
    </w:p>
    <w:p>
      <w:pPr>
        <w:spacing w:after="0" w:line="154"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and your ultimate beneficial owners are not directly or indirectly funded or backed by us, any of the directors, substantial shareholders, chief executives of ours or any of our subsidiaries or any of their respective close associates (as defined in the Hong Kong Listing Rules) or any of the underwriters;</w:t>
      </w:r>
    </w:p>
    <w:p>
      <w:pPr>
        <w:spacing w:after="0" w:line="220" w:lineRule="exact"/>
        <w:rPr>
          <w:rFonts w:ascii="Arial" w:cs="Arial" w:eastAsia="Arial" w:hAnsi="Arial"/>
          <w:sz w:val="18"/>
          <w:szCs w:val="18"/>
          <w:color w:val="auto"/>
        </w:rPr>
      </w:pPr>
    </w:p>
    <w:p>
      <w:pPr>
        <w:ind w:left="1080" w:hanging="532"/>
        <w:spacing w:after="0" w:line="33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and your ultimate beneficial owners are not (a) person(s) who is/are accustomed to take instructions from any of our core connected persons (as defined in the Hong Kong Listing Rules) in relation to the acquisition, disposal, voting or any other disposition of our securities;</w:t>
      </w:r>
    </w:p>
    <w:p>
      <w:pPr>
        <w:spacing w:after="0" w:line="154" w:lineRule="exact"/>
        <w:rPr>
          <w:rFonts w:ascii="Arial" w:cs="Arial" w:eastAsia="Arial" w:hAnsi="Arial"/>
          <w:sz w:val="16"/>
          <w:szCs w:val="16"/>
          <w:color w:val="auto"/>
        </w:rPr>
      </w:pPr>
    </w:p>
    <w:p>
      <w:pPr>
        <w:ind w:left="1080" w:right="160" w:hanging="532"/>
        <w:spacing w:after="0" w:line="298"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and your ultimate beneficial owners are not a core connected person or person who will become a core connected person of our Company immediately upon completion of the Global Offering, the subscription for Offer Shares by you or any person on whose behalf you may be acting is not financed directly or indirectly by any of our core connected persons, and you or any person on whose behalf you may be acting is not taking instructions from any of our core connected persons in making this subscription for Offer Shares;</w:t>
      </w:r>
    </w:p>
    <w:p>
      <w:pPr>
        <w:spacing w:after="0" w:line="179"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and your ultimate beneficial owners are not (an) existing beneficial owner(s) of any of our Offer Shares;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you acquire the Offer Shares on your own behalf or as a fiduciary or agent, the Offer Shares are acquired only for the purpose of investment;</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will require any person for whose accounts you are purchasing our Offer Shares and any person to whom you may offer or sell any of our Offer Shares to comply with the provisions of this section;</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you are a Hong Kong purchaser, your business involves the acquisition and disposal, or the holding, of securities (whether as principal or as agent) and you fall within the category of persons described as "professional investors" under the Securities and Futures (Professional Investor) Rules;</w:t>
      </w:r>
    </w:p>
    <w:p>
      <w:pPr>
        <w:spacing w:after="0" w:line="220"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have received a copy of this prospectus supplement and have not relied on any information, representation or warranty provided or made by or on behalf of the international underwriters, us, or any other party involved in the international offering other than information contained in this prospectus supplement, and that none of the international underwriters, their respective affiliates, and their respective officers, agents and employees will be liable for any information or omission in this prospectus supplement, and you are responsible for making your own examination of our Company and your own assessment of the merits and risks of investing in the Offer Shares;</w:t>
      </w:r>
    </w:p>
    <w:p>
      <w:pPr>
        <w:spacing w:after="0" w:line="182" w:lineRule="exact"/>
        <w:rPr>
          <w:rFonts w:ascii="Arial" w:cs="Arial" w:eastAsia="Arial" w:hAnsi="Arial"/>
          <w:sz w:val="16"/>
          <w:szCs w:val="16"/>
          <w:color w:val="auto"/>
        </w:rPr>
      </w:pPr>
    </w:p>
    <w:p>
      <w:pPr>
        <w:ind w:left="1080" w:right="220" w:hanging="532"/>
        <w:spacing w:after="0" w:line="256"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and your ultimate beneficial owners will comply with all laws, regulations and restrictions (including the selling restrictions contained in this prospectus supplement) which may be applicable in your and your ultimate beneficial owners' jurisdiction and you and your ultimate beneficial owners have obtained or will obtain any consent, approval or authorization required for you and your ultimate beneficial owners to subscribe for and accept delivery of our Offer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Shares and you acknowledge and agree that none of us, our affiliates and the international underwriters and their respective affiliates shall have any responsibility in this regard;</w:t>
      </w:r>
    </w:p>
    <w:p>
      <w:pPr>
        <w:spacing w:after="0" w:line="199" w:lineRule="exact"/>
        <w:rPr>
          <w:sz w:val="20"/>
          <w:szCs w:val="20"/>
          <w:color w:val="auto"/>
        </w:rPr>
      </w:pPr>
    </w:p>
    <w:p>
      <w:pPr>
        <w:ind w:left="1080" w:right="100" w:hanging="532"/>
        <w:spacing w:after="0" w:line="291"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you and your ultimate beneficial owners will comply with all guidelines issued by, and all requirements of the SFC and the Hong Kong Stock Exchange in relation to subscription and placings (including but not limited to the Hong Kong Listing Rules) and provide all information as may be required by the regulatory bodies, including, without limitation, the Hong Kong Stock Exchange and the SFC, and in particular, the details set out in Appendix 6 to the Hong Kong Listing Rules. You acknowledge that failure to provide information required by the regulatory bodies may subject you to prosecution and you undertake to fully indemnify the international underwriters and us for any non-compliance with the Hong Kong Listing Rules and all applicable laws;</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are not a co-connected client (as defined in Appendix 6 to the Hong Kong Listing Rules) of any of the underwriters;</w:t>
      </w:r>
    </w:p>
    <w:p>
      <w:pPr>
        <w:spacing w:after="0" w:line="238"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will on demand indemnify and keep indemnified us, our affiliates, officers, agents and employees and the international underwriters and their respective affiliates, officers, agents and employees for losses or liabilities incurred by any of the foregoing arising out of or in connection with any breach of either the selling restrictions, or your agreement to subscribe for or acquire your allocated Offer Shares, or any other breach of your obligations hereunder;</w:t>
      </w:r>
    </w:p>
    <w:p>
      <w:pPr>
        <w:spacing w:after="0" w:line="210" w:lineRule="exact"/>
        <w:rPr>
          <w:rFonts w:ascii="Arial" w:cs="Arial" w:eastAsia="Arial" w:hAnsi="Arial"/>
          <w:sz w:val="18"/>
          <w:szCs w:val="18"/>
          <w:color w:val="auto"/>
        </w:rPr>
      </w:pPr>
    </w:p>
    <w:p>
      <w:pPr>
        <w:ind w:left="1080" w:right="220" w:hanging="532"/>
        <w:spacing w:after="0" w:line="306"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you had at all material times and still have full power and authority to enter into the contract to subscribe for or purchase our Offer Shares for your own account or for the account of one or more persons for whom you exercise investment discretion and your agreement to do so constitutes your valid and legally binding obligation and is enforceable in accordance with its terms;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will not copy or otherwise distribute this prospectus supplement to any third party; and</w:t>
      </w:r>
    </w:p>
    <w:p>
      <w:pPr>
        <w:spacing w:after="0" w:line="238" w:lineRule="exact"/>
        <w:rPr>
          <w:rFonts w:ascii="Arial" w:cs="Arial" w:eastAsia="Arial" w:hAnsi="Arial"/>
          <w:sz w:val="18"/>
          <w:szCs w:val="18"/>
          <w:color w:val="auto"/>
        </w:rPr>
      </w:pPr>
    </w:p>
    <w:p>
      <w:pPr>
        <w:jc w:val="both"/>
        <w:ind w:left="1080" w:right="180" w:hanging="532"/>
        <w:spacing w:after="0" w:line="294"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we, the international underwriters and others will rely upon the truth and accuracy of your acknowledgments, representations, warranties and agreements set out above, (B) if any of the representations or warranties deemed to have been made by you by virtue of your purchase of the Offer Shares are no longer accurate, you will promptly notify us and the international underwriters, and (C) if you are acquiring any of the Offer Shares as a fiduciary or agent for one or more accounts, you have sole investment discretion with respect to each such account and have full power to make the foregoing acknowledgments, representations, warranties and agreements on behalf of each such account.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Each underwriter has acknowledged that this prospectus supplement has not been registered as a prospectus with the Monetary Authority of Singapore. Accordingly, each underwriter has represented and agreed that it has not offered or sold any ordinary shares or caused the ordinary shares to be made the subject of an invitation for subscription or purchase and will not offer or sell any ordinary shares or cause the ordinary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ordinary shares, whether directly or indirectly, to any person in Singapore other than:</w:t>
      </w:r>
    </w:p>
    <w:p>
      <w:pPr>
        <w:spacing w:after="0" w:line="211" w:lineRule="exact"/>
        <w:rPr>
          <w:sz w:val="20"/>
          <w:szCs w:val="20"/>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ordinary shares are subscribed or purchased under Section 275 of the SFA by a relevant person which is:</w:t>
      </w:r>
    </w:p>
    <w:p>
      <w:pPr>
        <w:spacing w:after="0" w:line="239" w:lineRule="exact"/>
        <w:rPr>
          <w:sz w:val="20"/>
          <w:szCs w:val="20"/>
          <w:color w:val="auto"/>
        </w:rPr>
      </w:pPr>
    </w:p>
    <w:p>
      <w:pPr>
        <w:ind w:left="1080" w:right="120" w:hanging="532"/>
        <w:spacing w:after="0" w:line="331"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4"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221" w:lineRule="exact"/>
        <w:rPr>
          <w:sz w:val="20"/>
          <w:szCs w:val="20"/>
          <w:color w:val="auto"/>
        </w:rPr>
      </w:pPr>
    </w:p>
    <w:p>
      <w:pPr>
        <w:ind w:left="1080" w:right="1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prospectus supplement will not be circulated or distributed in the PRC and the ordinary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ordinary shares have not been and will not be registered under the Financial Investments Services and Capital Markets Act of Korea and the decrees and regulations thereunder (the "FSCMA"), and the ordinary shares have been and will be offered in Korea as a private placement under the FSCMA. None of the ordinary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ordinary shares shall comply with all applicable regulatory requirements (including but not limited to requirements under the FETL) in connection with the purchase of the ordinary shares. By the purchase of the ordinary shares, the relevant holder thereof will be deemed to represent and warrant that if it is in Korea or is a resident of Korea, it purchased the ordinary shares pursuant to the applicable laws and regulations of Korea.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225"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No prospectus or other offering material or document in connection with the offer and sale of the ordinary shares has been or will be registered with the Securities Commission of Malaysia (the "Commission") for the Commission's approval pursuant to the Capital Markets and Services Act 2007. Accordingly, this prospectus supplement and any other document or material in connection with the offer or sale, or invitation for subscription or purchase, of the ordinary shares may not be circulated or distributed, nor may the ordinary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ordinary shares, as principal, if the offer is on terms that the ordinary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3" w:lineRule="exact"/>
        <w:rPr>
          <w:sz w:val="20"/>
          <w:szCs w:val="20"/>
          <w:color w:val="auto"/>
        </w:rPr>
      </w:pPr>
    </w:p>
    <w:p>
      <w:pPr>
        <w:ind w:firstLine="8"/>
        <w:spacing w:after="0" w:line="288" w:lineRule="auto"/>
        <w:tabs>
          <w:tab w:leader="none" w:pos="3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ordinary shares is made by a holder of a Capital Markets Services Licence who carries on the business of dealing in securities.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ordinary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ordinary shares in Taiwan.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prospectus supplement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securities offered hereby should conduct their own due diligence on the accuracy of the information relating to the securities. If you do</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understand the contents of this prospectus supplement, you should consult an authorized financial adviser.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Brazil</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securities have not been, and will not be, registered with the Comissão de Valores Mobiliários, or CVM. Any public offering or distribution, as defined under Brazilian laws and regulations, of the securities in Brazil is not legal without such prior registration. Documents relating to the offering of the ordinary shares, as well as information contained therein, may not be supplied to the public in Brazil, as the offering of the ordinary shares is not a public offering of securities in Brazil, nor may they be used in connection with any offer for subscription or sale of the securities to the public in Brazil. The ordinary shares will not be offered or sold in Brazil, except in circumstances which do not constitute a public offering or distribution of securities under applicable Brazilian laws and regulations.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Qatar</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ordinary shares described in this prospectus supplement have not been, and will not be, offered, sold or delivered, at any time, directly or indirectly in the State of Qatar in a manner that would constitute a public offering. This prospectus supplement has not been, and will not be, registered with or approved by the Qatar Financial Markets Authority or Qatar Central Bank and may not be publicly distributed. This prospectus supplement is intended for the original recipient only and must not be provided to any other person. It is not for general circulation in the State of Qatar and may not be reproduced or used for any other purpose.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Kuwait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ordinary shares, these may not be marketed, offered for sale, nor sold in the State of Kuwait. Neither this prospectus supplement (including any related document), nor any of the information contained therein is intended to lead to the conclusion of any contract of whatsoever nature within Kuwait.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("DIFC")</w:t>
      </w:r>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ordinary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being represented by Gibson, Dunn &amp; Crutcher with respect to certain legal matters of United States federal securities law and New York state law and Skadden, Arps, Slate, Meagher &amp; Flom LLP with respect to certain legal matters of United States federal securities law and New York state law. We are being represented by Skadden, Arps, Slate, Meagher &amp; Flom with respect to certain legal matters of Hong Kong law. The underwriters are being represented by Davis Polk &amp; Wardwell LLP with respect to certain legal matters of United States federal securities law, New York state law and Hong Kong law. The validity of the ordinary shares offered in the Global Offering and legal matters as to Cayman Islands law will be passed upon for us by Maples and Calder (Hong Kong) LLP. Certain legal matters as to PRC law will be passed upon for us by Zhong Lun Law Firm and for the underwriters by JunHe LLP. Gibson Dunn &amp; Crutcher, Skadden, Arps, Slate, Meagher &amp; Flom LLP and Skadden, Arps, Slate, Meagher &amp; Flom may rely upon Maples and Calder (Hong Kong) LLP with respect to matters governed by Cayman Islands law and may rely upon Zhong Lun Law Firm with respect to matters governed by PRC law. Davis Polk &amp; Wardwell LLP may rely upon JunHe LLP with respect to matters governed by PRC law.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31"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17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This prospectus is part of a registration statement we have filed with the SEC. This prospectus omits some information contained in the registration statement in accordance with SEC rules and regulations. You can obtain a copy of the registration statement electronically at </w:t>
      </w:r>
      <w:r>
        <w:rPr>
          <w:rFonts w:ascii="Arial" w:cs="Arial" w:eastAsia="Arial" w:hAnsi="Arial"/>
          <w:sz w:val="16"/>
          <w:szCs w:val="16"/>
          <w:i w:val="1"/>
          <w:iCs w:val="1"/>
          <w:color w:val="auto"/>
        </w:rPr>
        <w:t>www.sec.gov</w:t>
      </w:r>
      <w:r>
        <w:rPr>
          <w:rFonts w:ascii="Arial" w:cs="Arial" w:eastAsia="Arial" w:hAnsi="Arial"/>
          <w:sz w:val="16"/>
          <w:szCs w:val="16"/>
          <w:color w:val="auto"/>
        </w:rPr>
        <w:t>.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151765</wp:posOffset>
            </wp:positionV>
            <wp:extent cx="2811780" cy="540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28117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NetEase, Inc.</w:t>
      </w:r>
    </w:p>
    <w:p>
      <w:pPr>
        <w:spacing w:after="0" w:line="37"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ORDINARY SHARES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including ordinary shares represented by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140335</wp:posOffset>
            </wp:positionV>
            <wp:extent cx="1868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may from time to time in one or more offerings offer and sell our ordinary shares, including ordinary shares represented by American depositary shares, or ADSs.</w:t>
      </w:r>
    </w:p>
    <w:p>
      <w:pPr>
        <w:spacing w:after="0" w:line="186"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In addition, from time to time, the selling shareholders (if any) to be named in a prospectus supplement may offer and sell our ordinary shares or ADSs held by them. The selling shareholders (if any) may sell our ordinary shares or ADSs through public or private transactions at prevailing market prices or at privately negotiated prices. We will not receive any proceeds from the sale of ordinary shares by selling shareholders (if any).</w:t>
      </w:r>
    </w:p>
    <w:p>
      <w:pPr>
        <w:spacing w:after="0" w:line="160"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60"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of this prospectus.</w:t>
      </w:r>
    </w:p>
    <w:p>
      <w:pPr>
        <w:spacing w:after="0" w:line="197"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ADSs representing our ordinary shares are listed on the Nasdaq Global Select Market, or the Nasdaq, under the symbol "NTES." On May 28, 2020, the last reported sale price of our ADSs on the Nasdaq was US$366.25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123190</wp:posOffset>
            </wp:positionV>
            <wp:extent cx="18688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351"/>
        <w:spacing w:after="0" w:line="243" w:lineRule="auto"/>
        <w:rPr>
          <w:sz w:val="20"/>
          <w:szCs w:val="20"/>
          <w:color w:val="auto"/>
        </w:rPr>
      </w:pPr>
      <w:r>
        <w:rPr>
          <w:rFonts w:ascii="Arial" w:cs="Arial" w:eastAsia="Arial" w:hAnsi="Arial"/>
          <w:sz w:val="22"/>
          <w:szCs w:val="22"/>
          <w:b w:val="1"/>
          <w:bCs w:val="1"/>
          <w:color w:val="auto"/>
        </w:rPr>
        <w:t>Investing in our securities involves risks. You should carefully consider the risks described in "Risk Factors" beginning on page 4 in this prospectus and in any prospectus supplement or any document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129540</wp:posOffset>
            </wp:positionV>
            <wp:extent cx="18688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0" w:firstLine="351"/>
        <w:spacing w:after="0" w:line="378" w:lineRule="auto"/>
        <w:rPr>
          <w:sz w:val="20"/>
          <w:szCs w:val="20"/>
          <w:color w:val="auto"/>
        </w:rPr>
      </w:pPr>
      <w:r>
        <w:rPr>
          <w:rFonts w:ascii="Arial" w:cs="Arial" w:eastAsia="Arial" w:hAnsi="Arial"/>
          <w:sz w:val="15"/>
          <w:szCs w:val="15"/>
          <w:b w:val="1"/>
          <w:bCs w:val="1"/>
          <w:color w:val="auto"/>
        </w:rPr>
        <w:t>Neither the United States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75565</wp:posOffset>
            </wp:positionV>
            <wp:extent cx="18688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5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9520" w:type="dxa"/>
            <w:vAlign w:val="bottom"/>
            <w:vMerge w:val="restart"/>
          </w:tcPr>
          <w:p>
            <w:pPr>
              <w:ind w:left="1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ABOUT THIS PROSPECTUS</w:t>
              </w:r>
            </w:hyperlink>
          </w:p>
        </w:tc>
        <w:tc>
          <w:tcPr>
            <w:tcW w:w="1720" w:type="dxa"/>
            <w:vAlign w:val="bottom"/>
            <w:gridSpan w:val="2"/>
          </w:tcPr>
          <w:p>
            <w:pPr>
              <w:jc w:val="right"/>
              <w:ind w:right="13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16"/>
        </w:trPr>
        <w:tc>
          <w:tcPr>
            <w:tcW w:w="9520" w:type="dxa"/>
            <w:vAlign w:val="bottom"/>
            <w:vMerge w:val="continue"/>
          </w:tcPr>
          <w:p>
            <w:pPr>
              <w:spacing w:after="0"/>
              <w:rPr>
                <w:sz w:val="18"/>
                <w:szCs w:val="18"/>
                <w:color w:val="auto"/>
              </w:rPr>
            </w:pPr>
          </w:p>
        </w:tc>
        <w:tc>
          <w:tcPr>
            <w:tcW w:w="42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1</w:t>
              </w:r>
            </w:hyperlink>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520" w:type="dxa"/>
            <w:vAlign w:val="bottom"/>
          </w:tcPr>
          <w:p>
            <w:pPr>
              <w:ind w:left="11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FORWARD-LOOKING STATEMENTS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2</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OUR COMPANY</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3</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RISK FACTORS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4</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USE OF PROCEEDS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5</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DESCRIPTION OF SHARE CAPITAL</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6</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DESCRIPTION OF AMERICAN DEPOSITARY SHARES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11</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ENFORCEMENT OF CIVIL LIABILITIES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17</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TAXATION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19</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SELLING SHAREHOLDERS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28</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PLAN OF DISTRIBUTION</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29</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LEGAL MATTERS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31</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EXPERTS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32</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WHERE YOU CAN FIND MORE INFORMATION ABOUT US</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33</w:t>
              </w:r>
            </w:hyperlink>
          </w:p>
        </w:tc>
        <w:tc>
          <w:tcPr>
            <w:tcW w:w="0" w:type="dxa"/>
            <w:vAlign w:val="bottom"/>
          </w:tcPr>
          <w:p>
            <w:pPr>
              <w:spacing w:after="0"/>
              <w:rPr>
                <w:sz w:val="1"/>
                <w:szCs w:val="1"/>
                <w:color w:val="auto"/>
              </w:rPr>
            </w:pPr>
          </w:p>
        </w:tc>
      </w:tr>
      <w:tr>
        <w:trPr>
          <w:trHeight w:val="432"/>
        </w:trPr>
        <w:tc>
          <w:tcPr>
            <w:tcW w:w="9520" w:type="dxa"/>
            <w:vAlign w:val="bottom"/>
          </w:tcPr>
          <w:p>
            <w:pPr>
              <w:ind w:left="11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INCORPORATION OF DOCUMENTS BY REFERENCE</w:t>
              </w:r>
            </w:hyperlink>
          </w:p>
        </w:tc>
        <w:tc>
          <w:tcPr>
            <w:tcW w:w="1720" w:type="dxa"/>
            <w:vAlign w:val="bottom"/>
            <w:gridSpan w:val="2"/>
          </w:tcPr>
          <w:p>
            <w:pPr>
              <w:jc w:val="right"/>
              <w:ind w:right="128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34</w:t>
              </w:r>
            </w:hyperlink>
          </w:p>
        </w:tc>
        <w:tc>
          <w:tcPr>
            <w:tcW w:w="0" w:type="dxa"/>
            <w:vAlign w:val="bottom"/>
          </w:tcPr>
          <w:p>
            <w:pPr>
              <w:spacing w:after="0"/>
              <w:rPr>
                <w:sz w:val="1"/>
                <w:szCs w:val="1"/>
                <w:color w:val="auto"/>
              </w:rPr>
            </w:pPr>
          </w:p>
        </w:tc>
      </w:tr>
      <w:tr>
        <w:trPr>
          <w:trHeight w:val="432"/>
        </w:trPr>
        <w:tc>
          <w:tcPr>
            <w:tcW w:w="9520" w:type="dxa"/>
            <w:vAlign w:val="bottom"/>
          </w:tcPr>
          <w:p>
            <w:pPr>
              <w:ind w:left="5600"/>
              <w:spacing w:after="0"/>
              <w:rPr>
                <w:sz w:val="20"/>
                <w:szCs w:val="20"/>
                <w:color w:val="auto"/>
              </w:rPr>
            </w:pPr>
            <w:r>
              <w:rPr>
                <w:rFonts w:ascii="Arial" w:cs="Arial" w:eastAsia="Arial" w:hAnsi="Arial"/>
                <w:sz w:val="18"/>
                <w:szCs w:val="18"/>
                <w:color w:val="auto"/>
              </w:rPr>
              <w:t>i</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This prospectus is part of an automatic shelf registration statement that we filed with the Securities and Exchange Commission, or the SEC, as a "well-known seasoned issuer" as defined in Rule 405 under the Securities Act of 1933, as amended, or the Securities Act. By using an automatic shelf registration statement, we may, at any time and from time to time, offer and sell the securities described in this prospectus in one or more offerings. We may also add, update or change information contained in this prospectus by means of a prospectus supplement or by incorporating by reference information that we file or furnish to the SEC.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making an offer to sell the securities in any jurisdiction where the offer or sale is not permitted.</w:t>
      </w:r>
    </w:p>
    <w:p>
      <w:pPr>
        <w:spacing w:after="0" w:line="225"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color w:val="auto"/>
        </w:rPr>
        <w:t>You should carefully read this document and any applicable prospectus supplement and the related exhibits to the registration statement filed with the SEC.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or at the SEC as described under "Where You Can Find More Information About Us."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otherwise indicated or unless the context otherwise requires, references in this prospectus to:</w:t>
      </w:r>
    </w:p>
    <w:p>
      <w:pPr>
        <w:spacing w:after="0" w:line="23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25 of our ordinary shares;</w:t>
      </w:r>
    </w:p>
    <w:p>
      <w:pPr>
        <w:spacing w:after="0" w:line="25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"China" and "PRC" are to the People's Republic of China, excluding, for the purposes of this prospectus only, Taiwan and the special administrative regions of Hong Kong and Macau;</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"prospectus" are to this prospectus and the applicable prospectus supplement taken together;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"Renminbi" are to the legal currency of China;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and "ordinary shares" are to our ordinary shares, par value US$0.0001 per ordinary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"dollars" and "U.S. dollars" are to the legal currency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GAAP" are to the generally accepted accounting principles in the United States; and</w:t>
      </w:r>
    </w:p>
    <w:p>
      <w:pPr>
        <w:spacing w:after="0" w:line="252"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"us," "our company" and "our" are NetEase, Inc. and, where context requires, its consolidated subsidiaries (including its consolidated affiliated entities).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This prospectus and the documents incorporated by reference herein contain forward-looking statements that are, by their nature, subject to significant risks and uncertainties. These statements are made under the "safe harbor" provisions of the U.S. Private Securities Litigation Reform Act of 1995. Any statements that express, or involve discussions as to, expectations, beliefs, plans, objectives, assumptions or future events or performance (often, but not always, through the use of words or phrases such as "will," "expect," "anticipate," "estimate," "believe," "going forward," "ought to," "may," "seek," "should," "intend," "plan," "projection," "could," "vision," "goals," "aim," "aspire," "objective," "target," "schedules" and "outlook") are not historical facts, are forward-looking and may involve estimates and assumptions and are subject to risks (including but not limited to the risk factors detailed in this prospectus or incorporated by reference herein), uncertainties and other factors some of which are beyond our company's control and which are difficult to predict. Accordingly, these factors could cause actual results or outcomes to differ materially from those expressed in the forward-looking statements.</w:t>
      </w:r>
    </w:p>
    <w:p>
      <w:pPr>
        <w:spacing w:after="0" w:line="17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forward-looking statements have been based on assumptions and factors concerning future events that may prove to be inaccurate. Those assumptions and factors are based on information currently available to us about the businesses that we operate. The risks, uncertainties and other factors, many of which are beyond our control, that could influence actual results include, but are not limited to:</w:t>
      </w:r>
    </w:p>
    <w:p>
      <w:pPr>
        <w:spacing w:after="0" w:line="207"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operations and business prospects;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business and operating strategies and our ability to implement such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develop and manage our operations and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competition for, among other things, capital, technology and skilled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control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dividend policy;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to regulatory and operating conditions in the industry and geographical markets in which we operate; and</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other risks and uncertainties described in "Risk Factors" in our annual report on Form 20-F for the year ended December 31, 2019, or our 2019 Annual Report.</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Since actual results or outcomes could differ materially from those expressed in any forward-looking statements, we strongly caution investors against placing undue reliance on any such forward-looking statements. Any forward-looking statement speaks only as at the date on which such statement is made, and we undertake no obligation to update any forward-looking statement or statements to reflect events or circumstances after the date on which such statement is made or to reflect the occurrence of unanticipated events. Statements of or references to our intentions or those of any of our directors are made as at the date of this prospectus. Any such intentions may change in light of future developments.</w:t>
      </w:r>
    </w:p>
    <w:p>
      <w:pPr>
        <w:spacing w:after="0" w:line="169" w:lineRule="exact"/>
        <w:rPr>
          <w:sz w:val="20"/>
          <w:szCs w:val="20"/>
          <w:color w:val="auto"/>
        </w:rPr>
      </w:pPr>
    </w:p>
    <w:p>
      <w:pPr>
        <w:ind w:right="680" w:firstLine="341"/>
        <w:spacing w:after="0" w:line="268" w:lineRule="auto"/>
        <w:rPr>
          <w:sz w:val="20"/>
          <w:szCs w:val="20"/>
          <w:color w:val="auto"/>
        </w:rPr>
      </w:pPr>
      <w:r>
        <w:rPr>
          <w:rFonts w:ascii="Arial" w:cs="Arial" w:eastAsia="Arial" w:hAnsi="Arial"/>
          <w:sz w:val="18"/>
          <w:szCs w:val="18"/>
          <w:color w:val="auto"/>
        </w:rPr>
        <w:t>All forward-looking statements in this prospectus and the documents incorporated by reference herein are expressly qualified by reference to this cautionary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a successful online game business, developing and operating a rich portfolio of highly popular titles. We currently offer over 140 mobile and PC games across a wide range of genres, satisfying the ever growing and diversifying needs of the gamer community. Leveraging on our user insights and execution expertise, we have also incubated and developed in-house a pipeline of innovative and successful businesses, including intelligent learning and other businesses, ranging from music streaming and private label e-commerce to internet media, e-mail service and others. As of December 31, 2019, we had approximately 1.0 billion registered e-mail users and more than 800 million NetEase Cloud Music registered users. We also had over 100 million Youdao, Inc. average monthly active users, or MAUs, in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right="20" w:firstLine="348"/>
        <w:spacing w:after="0" w:line="275" w:lineRule="auto"/>
        <w:rPr>
          <w:sz w:val="20"/>
          <w:szCs w:val="20"/>
          <w:color w:val="auto"/>
        </w:rPr>
      </w:pPr>
      <w:r>
        <w:rPr>
          <w:rFonts w:ascii="Arial" w:cs="Arial" w:eastAsia="Arial" w:hAnsi="Arial"/>
          <w:sz w:val="17"/>
          <w:szCs w:val="17"/>
          <w:color w:val="auto"/>
        </w:rPr>
        <w:t>We commenced our business in June 1997. In July 1999, we incorporated an exempted company with limited liability under the Cayman Islands Companies Law, NetEase, Inc., as our new holding company. We conduct our business in China through our subsidiaries and consolidated affiliated entities. Our ADSs are listed on the Nasdaq under the symbol "NTES." Our principal executive offices are located at NetEase Building, No.599 Wangshang Road, Binjiang District, Hangzhou, People's Republic of China 310052. Our telephone number is (86-571) 8985-3378. Our registered office in the Cayman Islands is located at PO Box 309, Ugland House, Grand Cayman, KY1-1104, Cayman Islands. Our agent for service of process in the United States is Cogency Global Inc. at 122 East 42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10168.</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risks. You should carefully consider the risks described under the heading "Risk Factors" in our 2019 Annual Report, which is incorporated into this prospectus by reference, and any additional risk factors disclosed in any accompanying prospectus supplement or any other document incorporated by reference in this prospectus before investing in any securities that may be offered pursuant to this prospectus. Please see "Where You Can Find More Information About Us" and "Incorporation of Documents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we offer as set forth in the applicable prospectus supplement(s).</w:t>
      </w:r>
    </w:p>
    <w:p>
      <w:pPr>
        <w:spacing w:after="0" w:line="2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ind w:right="140" w:firstLine="348"/>
        <w:spacing w:after="0" w:line="369" w:lineRule="auto"/>
        <w:rPr>
          <w:sz w:val="20"/>
          <w:szCs w:val="20"/>
          <w:color w:val="auto"/>
        </w:rPr>
      </w:pPr>
      <w:r>
        <w:rPr>
          <w:rFonts w:ascii="Arial" w:cs="Arial" w:eastAsia="Arial" w:hAnsi="Arial"/>
          <w:sz w:val="15"/>
          <w:szCs w:val="15"/>
          <w:color w:val="auto"/>
        </w:rPr>
        <w:t>We are an exempted company incorporated in the Cayman Islands with limited liability and our affairs are governed by our memorandum and articles of association, the Companies Law (2020 Revision), as amended, of the Cayman Islands, or the Companies Law, and the common law of the Cayman Islands.</w:t>
      </w:r>
    </w:p>
    <w:p>
      <w:pPr>
        <w:spacing w:after="0" w:line="11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authorized share capital is US$100,030,000 divided into 1,000,300,000,000 ordinary shares of US$0.0001 par value each. As of May 25, 2020, there are 3,257,915,456 issued and fully-paid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Office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registered office in the Cayman Islands is located at PO Box 309, Ugland House, Grand Cayman, KY1-1104, Cayman Islands.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and Objects of the Company</w:t>
      </w:r>
    </w:p>
    <w:p>
      <w:pPr>
        <w:spacing w:after="0" w:line="231"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We are registered with the Cayman Islands Registrar of Companies and have been assigned company number 90896. Section 3 of our amended and restated memorandum of association provides that the objects for which our company was established are unrestricted and include, among other things, to engage in any lawful trade, business or enterprise as determined by our board of directors. In addition, the purpose of our company is to perform various corporate activities permissible under Cayman Islands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See Item 6.C. "Directors, Senior Management and Employees—Board Practices" in our 2019 Annual Report, which is incorporated by reference into this prospectus, as well as the relevant information in other documents incorporated by reference into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Preferences and Restrictions of Ordinary Shares</w:t>
      </w:r>
    </w:p>
    <w:p>
      <w:pPr>
        <w:spacing w:after="0" w:line="225" w:lineRule="exact"/>
        <w:rPr>
          <w:sz w:val="20"/>
          <w:szCs w:val="20"/>
          <w:color w:val="auto"/>
        </w:rPr>
      </w:pPr>
    </w:p>
    <w:p>
      <w:pPr>
        <w:jc w:val="both"/>
        <w:ind w:firstLine="351"/>
        <w:spacing w:after="0" w:line="33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All of our issued and outstanding shares are fully paid and non-assessable. Shares are issued in registered form. Our shareholders who are non-residents of the Cayman Islands may freely hold and vote their shares. Each ordinary share has US$0.0001 par value.</w:t>
      </w:r>
    </w:p>
    <w:p>
      <w:pPr>
        <w:spacing w:after="0" w:line="14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holders of shares are entitled to such dividends as may be declared by our board of directors. Under Cayman Islands law, dividends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share is entitled to one vote on all matters upon which the shares are entitled to vote, including the election of directors. Voting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meeting of shareholders is by show of hands unless a poll is demanded. A poll may be demanded by the chairman or any other shareholder present in person or by proxy. A quorum required for a meeting of shareholders consists of at least two shareholders present in person or by proxy.</w:t>
      </w:r>
    </w:p>
    <w:p>
      <w:pPr>
        <w:spacing w:after="0" w:line="160"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capital. Both ordinary resolutions and special resolutions may also be passed by a unanimous written resolution signed by all the shareholders of our company.</w:t>
      </w:r>
    </w:p>
    <w:p>
      <w:pPr>
        <w:spacing w:after="0" w:line="260"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8"/>
          <w:szCs w:val="18"/>
          <w:b w:val="1"/>
          <w:bCs w:val="1"/>
          <w:i w:val="1"/>
          <w:iCs w:val="1"/>
          <w:color w:val="auto"/>
        </w:rPr>
        <w:t>Preemptive Rights.</w:t>
      </w:r>
      <w:r>
        <w:rPr>
          <w:sz w:val="20"/>
          <w:szCs w:val="20"/>
          <w:color w:val="auto"/>
        </w:rPr>
        <w:tab/>
      </w:r>
      <w:r>
        <w:rPr>
          <w:rFonts w:ascii="Arial" w:cs="Arial" w:eastAsia="Arial" w:hAnsi="Arial"/>
          <w:sz w:val="15"/>
          <w:szCs w:val="15"/>
          <w:color w:val="auto"/>
        </w:rPr>
        <w:t>Holders of our ordinary shares do not have preemptive rights.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Liquidation. </w:t>
      </w:r>
      <w:r>
        <w:rPr>
          <w:rFonts w:ascii="Arial" w:cs="Arial" w:eastAsia="Arial" w:hAnsi="Arial"/>
          <w:sz w:val="16"/>
          <w:szCs w:val="16"/>
          <w:color w:val="auto"/>
        </w:rPr>
        <w:t>On a return of capital on winding up or otherwise (other than on conversion, redemption or purchase of shares) assets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6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Calls on Shares and Forfeiture of Shares. </w:t>
      </w:r>
      <w:r>
        <w:rPr>
          <w:rFonts w:ascii="Arial" w:cs="Arial" w:eastAsia="Arial" w:hAnsi="Arial"/>
          <w:sz w:val="18"/>
          <w:szCs w:val="18"/>
          <w:color w:val="auto"/>
        </w:rPr>
        <w:t>Our board of directors may from time to time make calls upon shareholders for any amounts unpaid on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a notice served to such shareholders at least 14 days prior to the specified time or times of payment. The shares that have been called upon and remain unpaid are subject to forfeiture.</w:t>
      </w:r>
    </w:p>
    <w:p>
      <w:pPr>
        <w:spacing w:after="0" w:line="194"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Redemption, Repurchase and Surrender of Shares. </w:t>
      </w:r>
      <w:r>
        <w:rPr>
          <w:rFonts w:ascii="Arial" w:cs="Arial" w:eastAsia="Arial" w:hAnsi="Arial"/>
          <w:sz w:val="16"/>
          <w:szCs w:val="16"/>
          <w:color w:val="auto"/>
        </w:rPr>
        <w:t>Subject to the provisions of the Companies Law and the memorandum and articles of association,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 of Shareholders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Right to Own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limitations on the right to own our 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Transfer of Shares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There are no provisions in our memorandum or articles of association that would have an effect of delaying, deferring or preventing a change in control and that would operate only with respect to a merger, acquisition or corporate restructuring.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Shareholder Ownership</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There are no provisions in our memorandum or articles of association that require our company to disclose shareholder ownership above any particular ownership threshold.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Capital</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207"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memorandum of association or into shares without nominal or par value;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by special resolution reduce our share capital and any capital redemption reserve fund in any manner authorized by the Companies Law.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Differences in Corporate Law</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Companies Law is modeled after that of the English companies legislation but does not follow recent English law statutory enactments and accordingly there are significant differences between the Companies Law and the current Companies Act of England. In addition, the Companies Law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6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Mergers and Similar Arrangements. </w:t>
      </w:r>
      <w:r>
        <w:rPr>
          <w:rFonts w:ascii="Arial" w:cs="Arial" w:eastAsia="Arial" w:hAnsi="Arial"/>
          <w:sz w:val="16"/>
          <w:szCs w:val="16"/>
          <w:color w:val="auto"/>
        </w:rPr>
        <w:t>The Companies Law permits mergers and consolidations between Cayman Islands companies and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or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Law, subject to certain exceptions. Court approval is not required for a merger or consolidation which is effected in compliance with these statutory procedures.</w:t>
      </w:r>
    </w:p>
    <w:p>
      <w:pPr>
        <w:spacing w:after="0" w:line="16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85"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complied with;</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Companies Law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51"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If the arrangement and reconstruction by way of a scheme of arrangement is thus approved, or if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6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and as a general rule a derivative action may not be brought by a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201" w:lineRule="exact"/>
        <w:rPr>
          <w:sz w:val="20"/>
          <w:szCs w:val="20"/>
          <w:color w:val="auto"/>
        </w:rPr>
      </w:pPr>
    </w:p>
    <w:p>
      <w:pPr>
        <w:ind w:right="320" w:firstLine="351"/>
        <w:spacing w:after="0" w:line="331" w:lineRule="auto"/>
        <w:rPr>
          <w:sz w:val="20"/>
          <w:szCs w:val="20"/>
          <w:color w:val="auto"/>
        </w:rPr>
      </w:pPr>
      <w:r>
        <w:rPr>
          <w:rFonts w:ascii="Arial" w:cs="Arial" w:eastAsia="Arial" w:hAnsi="Arial"/>
          <w:sz w:val="16"/>
          <w:szCs w:val="16"/>
          <w:b w:val="1"/>
          <w:bCs w:val="1"/>
          <w:i w:val="1"/>
          <w:iCs w:val="1"/>
          <w:color w:val="auto"/>
        </w:rPr>
        <w:t xml:space="preserve">Indemnification. </w:t>
      </w:r>
      <w:r>
        <w:rPr>
          <w:rFonts w:ascii="Arial" w:cs="Arial" w:eastAsia="Arial" w:hAnsi="Arial"/>
          <w:sz w:val="16"/>
          <w:szCs w:val="16"/>
          <w:color w:val="auto"/>
        </w:rPr>
        <w:t>Cayman Islands law does not (other than as set forth hereafter) limit the extent to which a company's memorandum and articles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association may provide for indemnification of officers and directors, except to the extent any such provision may be held by the Cayman Islands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Share Capital</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During the years ended December 31, 2017, 2018 and 2019 and the three months ended March 31, 2020, we issued 29,805,575, 30,709,100, 29,538,350 and 20,577,150 ordinary shares, respectively, upon the vesting of restricted share units, or RSUs, held by our directors, senior management and employees. As of March 31, 2020, there were 74,512,830 ordinary shares issuable under granted but not yet vested RSUs and 304,776,175 ordinary shares reserved for future grant under our RSU plans.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years ended December 31, 2017, 2018 and 2019 and the three months ended March 31, 2020, we repurchased approximately 28,067,925, 114,908,150, 25,375 and 27,777,025 ordinary shares (underlying repurchased ADSs), for a total cost of approximately US$306.1 million, US$1,178.5 million, US$0.2 million and US$341.9 million, respectively, in open-market transactions on the Nasdaq pursuant to share repurchase programs authorized by our board of directors.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31"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The Bank of New York Mellon acts as the depositary bank for our ADSs. Each ADS currently represents 25 ordinary shares and will also represent any other securities, cash or other property deposited with the depositary but not distributed to ADS holders. ADSs are normally evidenced by certificates that are commonly known as American depositary receipts, or ADRs. The depositary bank typically appoints a custodian to safekeep the securities on deposit. In this case, the custodian is the Hong Kong office of The Hongkong and Shanghai Banking Corporation Limited.</w:t>
      </w:r>
    </w:p>
    <w:p>
      <w:pPr>
        <w:spacing w:after="0" w:line="166"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Bank of New York Mellon is currently located at 240 Greenwich Street, New York, New York 10286. The principal office of the custodian is currently located at 1 Queen's Road Central, Hong Kong.</w:t>
      </w:r>
    </w:p>
    <w:p>
      <w:pPr>
        <w:spacing w:after="0" w:line="186"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The deposit agreement and the ADR specify our rights and obligations as well as the rights and obligations of owners of our ADSs and those of the depositary. You may hold ADRs either directly or indirectly through your broker or other financial institution. If you hold ADRs directly, you are an ADR holder. This description assumes you hold your ADRs directly. If you hold the ADRs indirectly, you must rely on the procedures of your broker or other financial institution to assert the rights of ADR holders described in this section. You should consult with your broker or financial institution to find out what those procedures are.</w:t>
      </w:r>
    </w:p>
    <w:p>
      <w:pPr>
        <w:spacing w:after="0" w:line="20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an ADR holder, you appoint the depositary to act on your behalf in certain circumstances. Although the deposit agreement is governed by New York law, our obligations to the holders of our ordinary shares will continue to be governed by the laws of the Cayman Islands, which may be different from the laws in the United States.</w:t>
      </w:r>
    </w:p>
    <w:p>
      <w:pPr>
        <w:spacing w:after="0" w:line="194" w:lineRule="exact"/>
        <w:rPr>
          <w:sz w:val="20"/>
          <w:szCs w:val="20"/>
          <w:color w:val="auto"/>
        </w:rPr>
      </w:pPr>
    </w:p>
    <w:p>
      <w:pPr>
        <w:ind w:right="280" w:firstLine="344"/>
        <w:spacing w:after="0" w:line="268" w:lineRule="auto"/>
        <w:rPr>
          <w:sz w:val="20"/>
          <w:szCs w:val="20"/>
          <w:color w:val="auto"/>
        </w:rPr>
      </w:pPr>
      <w:r>
        <w:rPr>
          <w:rFonts w:ascii="Arial" w:cs="Arial" w:eastAsia="Arial" w:hAnsi="Arial"/>
          <w:sz w:val="18"/>
          <w:szCs w:val="18"/>
          <w:color w:val="auto"/>
        </w:rPr>
        <w:t>You should read this summary together with the deposit agreement which has been filed as Exhibit 1 to our registration statement on Form F-6EF (File No. 333-212198) filed with the SEC on June 23, 2016 and the form of ADR.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 Withdrawal and Cancellation</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depositary will only issue ADSs in whole numbers. Accordingly, any amount of ordinary shares which is not divisible into 25 (or the then current conversion ratio) cannot be deposited for the issuance of ADSs, unless it is aggregated with other shares which together are divisible by 25 (or the then current conversion ratio).</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depositary will issue ADRs if you or your broker deposit ordinary shares or evidence of rights to receive ordinary shares with the custodian. The issuance of ADSs may be delayed until the depositary or the custodian receives confirmation that all required approvals have been given and that the number of ordinary shares have been duly transferred to the custodian. In addition, our deposit agreement provides that any ordinary shares deposited for inclusion in the ADS program should be accompanied by appropriate instruments of transfer or endorsement, in the form satisfactory to the custodian, together with any certifications as may be reasonably required by the depositary or the custodian. Ordinary shares cannot be deposited unless, upon deposit, the ordinary shares will be free of all transfer restrictions.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Dividends and Other Distributions</w:t>
      </w:r>
    </w:p>
    <w:p>
      <w:pPr>
        <w:spacing w:after="0" w:line="225" w:lineRule="exact"/>
        <w:rPr>
          <w:sz w:val="20"/>
          <w:szCs w:val="20"/>
          <w:color w:val="auto"/>
        </w:rPr>
      </w:pPr>
    </w:p>
    <w:p>
      <w:pPr>
        <w:ind w:right="220" w:firstLine="348"/>
        <w:spacing w:after="0" w:line="331"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shares or other deposited securities after deducting its fees and expenses. You will receive these distributions in proportion to the number of shares your ADRs represent.</w:t>
      </w:r>
    </w:p>
    <w:p>
      <w:pPr>
        <w:spacing w:after="0" w:line="14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depositary will promptly convert any cash dividend or other cash distribution we pay on the shares into U.S. dollars, if it can do so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basis and can transfer the U.S. dollars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United States. If such conversion or distribution can be effected only with the approval or license of any government or agency thereof, the depositary shall file such application for approval or license, if any, as it deems desirable. If such conversion is not possible on a reasonable basis or any approval or license of any government or agency is needed and cannot be obtained, the deposit agreement allows the depositary to distribute Renminbi only to those ADR holders to whom it is possible to do so. It will hold Renminbi it cannot convert for the account of the ADR holders who have not been paid. It will not invest Renminbi and it will not be liable for interest.</w:t>
      </w:r>
    </w:p>
    <w:p>
      <w:pPr>
        <w:spacing w:after="0" w:line="20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Before making a distribution, any withholding taxes that must be paid under United States law will be deducted. The depositary will distribute only whole U.S. dollars and cents and will round fractional cents to the nearest whole cent. If the exchange rates fluctuate during a time when the depositary cannot convert the Renminbi, you may lose some or all of the value of the distribution.</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The depositary may distribute new ADRs representing any shares we may distribute as a dividend or free distribution, if we furnish it promptly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satisfactory evidence that it is legal to do so. The depositary will only distribute whole ADRs. It will sell shares which would require it to issue a fractional ADR and distribute the net proceeds in the same way as it does with cash. If the depositary does not distribute additional ADRs, each ADR will also represent the new shares.</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Rights to Receive Additional Shares. </w:t>
      </w:r>
      <w:r>
        <w:rPr>
          <w:rFonts w:ascii="Arial" w:cs="Arial" w:eastAsia="Arial" w:hAnsi="Arial"/>
          <w:sz w:val="18"/>
          <w:szCs w:val="18"/>
          <w:color w:val="auto"/>
        </w:rPr>
        <w:t>If we offer holders of our ordinary shares any rights to subscribe for additional shares or any other rights,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may make these rights available to you. We must first instruct the depositary to do so and furnish it with satisfactory evidence that it is legal to do so. If we do not furnish this evidence and/or give these instructions, and the depositary decides it is practical to sell the rights, the depositary will sell the rights and distribute the proceeds, in the same way as it does with cash. The depositary may allow rights that are not distributed or sold to lapse. In that case, you will receive no value for them.</w:t>
      </w:r>
    </w:p>
    <w:p>
      <w:pPr>
        <w:spacing w:after="0" w:line="201" w:lineRule="exact"/>
        <w:rPr>
          <w:sz w:val="20"/>
          <w:szCs w:val="20"/>
          <w:color w:val="auto"/>
        </w:rPr>
      </w:pPr>
    </w:p>
    <w:p>
      <w:pPr>
        <w:ind w:right="420" w:firstLine="351"/>
        <w:spacing w:after="0" w:line="331" w:lineRule="auto"/>
        <w:rPr>
          <w:sz w:val="20"/>
          <w:szCs w:val="20"/>
          <w:color w:val="auto"/>
        </w:rPr>
      </w:pPr>
      <w:r>
        <w:rPr>
          <w:rFonts w:ascii="Arial" w:cs="Arial" w:eastAsia="Arial" w:hAnsi="Arial"/>
          <w:sz w:val="16"/>
          <w:szCs w:val="16"/>
          <w:color w:val="auto"/>
        </w:rPr>
        <w:t>If the depositary makes rights available to you, it will exercise the rights and purchase the shares on your behalf. The depositary will then deposit the shares and issue ADRs to you. It will only exercise rights if you pay it the exercise price and any other charges the rights require you to pay.</w:t>
      </w:r>
    </w:p>
    <w:p>
      <w:pPr>
        <w:spacing w:after="0" w:line="14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U.S. securities laws may restrict the sale, deposit, cancellation and transfer of the ADRs issued after exercise of rights. For example, you may not be able to trade the ADRs freely in the United States. In this case, the depositary may issue the ADRs under a separate restricted deposit agreement which will contain the same provisions as the deposit agreement, except for the changes needed to put the restrictions in place.</w:t>
      </w:r>
    </w:p>
    <w:p>
      <w:pPr>
        <w:spacing w:after="0" w:line="160"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The depositary will send to you anything else we distribute on deposited securities by means it thinks are legal and practical. If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cannot make the distribution in that way, the depositary has a choice. It may decide to sell what we distributed and distribute the net proceeds in the same way as it does with cash or it may decide to hold what we distributed, in which case the ADRs will also represent the newly distributed property.</w:t>
      </w:r>
    </w:p>
    <w:p>
      <w:pPr>
        <w:spacing w:after="0" w:line="16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depositary is not responsible if it decides that it is unlawful or impractical to make a distribution available to any ADR holders. We have no obligation to register ADRs, shares, rights or other securities under the Securities Act of 1933. We also have no obligation to take any other action to permit the distribution of ADRs, shares, rights, or anything else to ADR holders. This means that you may not receive the distribution we make on our shares or any value for them if it is illegal or impractical for us to make them available to you.</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500" w:firstLine="344"/>
        <w:spacing w:after="0" w:line="268" w:lineRule="auto"/>
        <w:rPr>
          <w:sz w:val="20"/>
          <w:szCs w:val="20"/>
          <w:color w:val="auto"/>
        </w:rPr>
      </w:pPr>
      <w:r>
        <w:rPr>
          <w:rFonts w:ascii="Arial" w:cs="Arial" w:eastAsia="Arial" w:hAnsi="Arial"/>
          <w:sz w:val="18"/>
          <w:szCs w:val="18"/>
          <w:color w:val="auto"/>
        </w:rPr>
        <w:t>You may instruct the depositary to vote the shares underlying your ADRs. Otherwise, you will not be able to exercise your right to vote unless you withdraw the shares. However, you may not know about the meeting enough in advance to withdraw the shares.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ask for your instructions, the depositary will notify you of the upcoming vote and arrange to deliver our voting materials to you. The materials will:</w:t>
      </w:r>
    </w:p>
    <w:p>
      <w:pPr>
        <w:spacing w:after="0" w:line="262"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describe the matters to be voted on; and</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explain how you, on a specified date, may instruct the depositary to vote the shares or other deposited securities underlying your ADRs as you direct. For instructions to be valid, the depositary must receive them on or before the date specified. The depositary will try, in compliance with Cayman Islands law or Hong Kong law and the provisions of our memorandum and articles of association, to vote or to have its agents vote the shares or other deposited securities as you instruct. The depositary will only vote or attempt to vote as you instruct.</w:t>
      </w:r>
    </w:p>
    <w:p>
      <w:pPr>
        <w:spacing w:after="0" w:line="16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If the depositary does not receive voting instructions from you by the specified date, it will consider you to have authorized us to vote the number of deposited securities represented by your ADSs. The depositary will give us a discretionary proxy in those circumstances to vote on all questions to be voted upon unless we notify the depositary that:</w:t>
      </w:r>
    </w:p>
    <w:p>
      <w:pPr>
        <w:spacing w:after="0" w:line="207"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do not wish to receive a discretionary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think there is substantial shareholder opposition to the particular question;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think the particular question would have a material adverse impact on our shareholders.</w:t>
      </w:r>
    </w:p>
    <w:p>
      <w:pPr>
        <w:spacing w:after="0" w:line="225"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your right to vote and there may be nothing you can do if your shares are not voted as you requested.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Expenses</w:t>
      </w:r>
    </w:p>
    <w:p>
      <w:pPr>
        <w:spacing w:after="0" w:line="225" w:lineRule="exact"/>
        <w:rPr>
          <w:sz w:val="20"/>
          <w:szCs w:val="20"/>
          <w:color w:val="auto"/>
        </w:rPr>
      </w:pPr>
    </w:p>
    <w:p>
      <w:pPr>
        <w:ind w:right="480" w:firstLine="348"/>
        <w:spacing w:after="0" w:line="331"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31" w:right="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fees from the amounts distributed or by selling a portion of distributable property to pay the fees. The depositary may refuse to provide fee-attracting services until its fees for those services are paid.</w:t>
      </w:r>
    </w:p>
    <w:p>
      <w:pPr>
        <w:spacing w:after="0" w:line="181" w:lineRule="exact"/>
        <w:rPr>
          <w:sz w:val="20"/>
          <w:szCs w:val="20"/>
          <w:color w:val="auto"/>
        </w:rPr>
      </w:pPr>
    </w:p>
    <w:p>
      <w:pPr>
        <w:ind w:left="1200"/>
        <w:spacing w:after="0"/>
        <w:tabs>
          <w:tab w:leader="none" w:pos="8400" w:val="left"/>
        </w:tabs>
        <w:rPr>
          <w:sz w:val="20"/>
          <w:szCs w:val="20"/>
          <w:color w:val="auto"/>
        </w:rPr>
      </w:pPr>
      <w:r>
        <w:rPr>
          <w:rFonts w:ascii="Arial" w:cs="Arial" w:eastAsia="Arial" w:hAnsi="Arial"/>
          <w:sz w:val="13"/>
          <w:szCs w:val="13"/>
          <w:b w:val="1"/>
          <w:bCs w:val="1"/>
          <w:color w:val="auto"/>
        </w:rPr>
        <w:t>Persons depositing or withdrawing shares must pay:</w:t>
      </w:r>
      <w:r>
        <w:rPr>
          <w:sz w:val="20"/>
          <w:szCs w:val="20"/>
          <w:color w:val="auto"/>
        </w:rPr>
        <w:tab/>
      </w:r>
      <w:r>
        <w:rPr>
          <w:rFonts w:ascii="Arial" w:cs="Arial" w:eastAsia="Arial" w:hAnsi="Arial"/>
          <w:sz w:val="13"/>
          <w:szCs w:val="13"/>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Up to US$0.05 per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Up to US$0.02 per 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fee equivalent to the fee for issuance of ADSs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US$1.50 per certificate presented for transfer</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Taxes and other governmental charges the depositary or the custodian have to pay on any ADS or ordinary shares underlying an ADS, for example, stock transfer taxes, stamp duty or withholding taxes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Taxes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87" w:right="240" w:hanging="187"/>
        <w:spacing w:after="0" w:line="259" w:lineRule="auto"/>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Issuance of ADSs, including issuances resulting from a distribution of ordinary shares or rights or other property</w:t>
      </w:r>
    </w:p>
    <w:p>
      <w:pPr>
        <w:spacing w:after="0" w:line="193" w:lineRule="exact"/>
        <w:rPr>
          <w:rFonts w:ascii="Arial" w:cs="Arial" w:eastAsia="Arial" w:hAnsi="Arial"/>
          <w:sz w:val="18"/>
          <w:szCs w:val="18"/>
          <w:color w:val="auto"/>
        </w:rPr>
      </w:pPr>
    </w:p>
    <w:p>
      <w:pPr>
        <w:ind w:left="187" w:hanging="187"/>
        <w:spacing w:after="0"/>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Cancellation or withdrawals of ADSs</w:t>
      </w:r>
    </w:p>
    <w:p>
      <w:pPr>
        <w:spacing w:after="0" w:line="225" w:lineRule="exact"/>
        <w:rPr>
          <w:rFonts w:ascii="Arial" w:cs="Arial" w:eastAsia="Arial" w:hAnsi="Arial"/>
          <w:sz w:val="18"/>
          <w:szCs w:val="18"/>
          <w:color w:val="auto"/>
        </w:rPr>
      </w:pPr>
    </w:p>
    <w:p>
      <w:pPr>
        <w:ind w:left="187" w:hanging="187"/>
        <w:spacing w:after="0" w:line="268" w:lineRule="auto"/>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Distribution of ADSs pursuant to stock dividends, free stock distributions or exercise of rights</w:t>
      </w:r>
    </w:p>
    <w:p>
      <w:pPr>
        <w:spacing w:after="0" w:line="185" w:lineRule="exact"/>
        <w:rPr>
          <w:rFonts w:ascii="Arial" w:cs="Arial" w:eastAsia="Arial" w:hAnsi="Arial"/>
          <w:sz w:val="18"/>
          <w:szCs w:val="18"/>
          <w:color w:val="auto"/>
        </w:rPr>
      </w:pPr>
    </w:p>
    <w:p>
      <w:pPr>
        <w:ind w:left="187" w:hanging="187"/>
        <w:spacing w:after="0"/>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Distributions of cash dividends or other cash distributions</w:t>
      </w:r>
    </w:p>
    <w:p>
      <w:pPr>
        <w:spacing w:after="0" w:line="225" w:lineRule="exact"/>
        <w:rPr>
          <w:rFonts w:ascii="Arial" w:cs="Arial" w:eastAsia="Arial" w:hAnsi="Arial"/>
          <w:sz w:val="18"/>
          <w:szCs w:val="18"/>
          <w:color w:val="auto"/>
        </w:rPr>
      </w:pPr>
    </w:p>
    <w:p>
      <w:pPr>
        <w:ind w:left="187" w:right="20" w:hanging="187"/>
        <w:spacing w:after="0" w:line="268" w:lineRule="auto"/>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Distribution of securities to ADR holders, calculated as if these securities were shares being deposited for issuance of ADRs</w:t>
      </w:r>
    </w:p>
    <w:p>
      <w:pPr>
        <w:spacing w:after="0" w:line="185" w:lineRule="exact"/>
        <w:rPr>
          <w:rFonts w:ascii="Arial" w:cs="Arial" w:eastAsia="Arial" w:hAnsi="Arial"/>
          <w:sz w:val="18"/>
          <w:szCs w:val="18"/>
          <w:color w:val="auto"/>
        </w:rPr>
      </w:pPr>
    </w:p>
    <w:p>
      <w:pPr>
        <w:ind w:left="187" w:hanging="187"/>
        <w:spacing w:after="0"/>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Transfer of American depositary receipts, or ADRs</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1064" w:lineRule="exact"/>
        <w:rPr>
          <w:sz w:val="20"/>
          <w:szCs w:val="20"/>
          <w:color w:val="auto"/>
        </w:rPr>
      </w:pPr>
    </w:p>
    <w:p>
      <w:pPr>
        <w:sectPr>
          <w:pgSz w:w="11900" w:h="16838" w:orient="portrait"/>
          <w:cols w:equalWidth="0" w:num="2">
            <w:col w:w="5280" w:space="573"/>
            <w:col w:w="5347"/>
          </w:cols>
          <w:pgMar w:left="320" w:top="131" w:right="379" w:bottom="1440" w:gutter="0" w:footer="0" w:header="0"/>
          <w:type w:val="continuous"/>
        </w:sectPr>
      </w:pPr>
    </w:p>
    <w:p>
      <w:pPr>
        <w:spacing w:after="0" w:line="25" w:lineRule="exact"/>
        <w:rPr>
          <w:sz w:val="20"/>
          <w:szCs w:val="20"/>
          <w:color w:val="auto"/>
        </w:rPr>
      </w:pPr>
    </w:p>
    <w:p>
      <w:pPr>
        <w:ind w:right="300" w:firstLine="344"/>
        <w:spacing w:after="0" w:line="256" w:lineRule="auto"/>
        <w:rPr>
          <w:sz w:val="20"/>
          <w:szCs w:val="20"/>
          <w:color w:val="auto"/>
        </w:rPr>
      </w:pPr>
      <w:r>
        <w:rPr>
          <w:rFonts w:ascii="Arial" w:cs="Arial" w:eastAsia="Arial" w:hAnsi="Arial"/>
          <w:sz w:val="18"/>
          <w:szCs w:val="18"/>
          <w:color w:val="auto"/>
        </w:rPr>
        <w:t>You will be responsible for any taxes or other governmental charges payable on your ADRs or on the deposited securities underlying your ADRs. The depositary may refuse to transfer your ADRs or allow you to withdraw the deposited securities underlying your ADRs until such taxes or other charges are paid. It may apply payments owed to you or sell deposited securities underlying your ADRs to pay any taxes owed and you will remain liable for any deficiency. If it sells deposited securities, it will, if appropriate, reduce the number of</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ADRs to reflect the sale and pay to you any proceeds, or send to you any property, remaining after it has paid the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Other Payments Made by the Depositary to Us</w:t>
      </w:r>
    </w:p>
    <w:p>
      <w:pPr>
        <w:spacing w:after="0" w:line="225"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Recapitalizations and Mergers</w:t>
      </w:r>
    </w:p>
    <w:p>
      <w:pPr>
        <w:spacing w:after="0" w:line="221" w:lineRule="exact"/>
        <w:rPr>
          <w:sz w:val="20"/>
          <w:szCs w:val="20"/>
          <w:color w:val="auto"/>
        </w:rPr>
      </w:pPr>
    </w:p>
    <w:p>
      <w:pPr>
        <w:ind w:left="2540"/>
        <w:spacing w:after="0"/>
        <w:rPr>
          <w:sz w:val="20"/>
          <w:szCs w:val="20"/>
          <w:color w:val="auto"/>
        </w:rPr>
      </w:pPr>
      <w:r>
        <w:rPr>
          <w:rFonts w:ascii="Arial" w:cs="Arial" w:eastAsia="Arial" w:hAnsi="Arial"/>
          <w:sz w:val="13"/>
          <w:szCs w:val="13"/>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201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 the nominal or par value of our shares;</w:t>
      </w:r>
    </w:p>
    <w:p>
      <w:pPr>
        <w:spacing w:after="0" w:line="217" w:lineRule="exact"/>
        <w:rPr>
          <w:rFonts w:ascii="Arial" w:cs="Arial" w:eastAsia="Arial" w:hAnsi="Arial"/>
          <w:sz w:val="18"/>
          <w:szCs w:val="18"/>
          <w:color w:val="auto"/>
        </w:rPr>
      </w:pPr>
    </w:p>
    <w:p>
      <w:pPr>
        <w:ind w:left="180" w:hanging="172"/>
        <w:spacing w:after="0"/>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Reclassify, split up or consolidate any of the deposited securities;</w:t>
      </w:r>
    </w:p>
    <w:p>
      <w:pPr>
        <w:spacing w:after="0" w:line="248" w:lineRule="exact"/>
        <w:rPr>
          <w:rFonts w:ascii="Arial" w:cs="Arial" w:eastAsia="Arial" w:hAnsi="Arial"/>
          <w:sz w:val="16"/>
          <w:szCs w:val="16"/>
          <w:color w:val="auto"/>
        </w:rPr>
      </w:pPr>
    </w:p>
    <w:p>
      <w:pPr>
        <w:ind w:left="180" w:hanging="172"/>
        <w:spacing w:after="0"/>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Distribute securities on the shares that are not distributed to you;</w:t>
      </w:r>
    </w:p>
    <w:p>
      <w:pPr>
        <w:spacing w:after="0" w:line="248" w:lineRule="exact"/>
        <w:rPr>
          <w:rFonts w:ascii="Arial" w:cs="Arial" w:eastAsia="Arial" w:hAnsi="Arial"/>
          <w:sz w:val="16"/>
          <w:szCs w:val="16"/>
          <w:color w:val="auto"/>
        </w:rPr>
      </w:pPr>
    </w:p>
    <w:p>
      <w:pPr>
        <w:ind w:left="180" w:hanging="172"/>
        <w:spacing w:after="0" w:line="268" w:lineRule="auto"/>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Recapitalize, reorganize, merge, liquidate, sell all or substantially all of our assets; or</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Take any similar 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34201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cash, shares or other securities received by the depositary will become deposited securities. Each ADR will automatically represent its equal share of the new deposited securities.</w:t>
      </w:r>
    </w:p>
    <w:p>
      <w:pPr>
        <w:spacing w:after="0" w:line="19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depositary may, and will if we ask it to, distribute some or all of the cash, shares or other securities it received. It may also issue new ADRs or ask you to surrender your outstanding ADRs in exchange for new ADRs identifying the new deposited securities.</w:t>
      </w:r>
    </w:p>
    <w:p>
      <w:pPr>
        <w:spacing w:after="0" w:line="1005" w:lineRule="exact"/>
        <w:rPr>
          <w:sz w:val="20"/>
          <w:szCs w:val="20"/>
          <w:color w:val="auto"/>
        </w:rPr>
      </w:pPr>
    </w:p>
    <w:p>
      <w:pPr>
        <w:sectPr>
          <w:pgSz w:w="11900" w:h="16838" w:orient="portrait"/>
          <w:cols w:equalWidth="0" w:num="2">
            <w:col w:w="5180" w:space="680"/>
            <w:col w:w="5340"/>
          </w:cols>
          <w:pgMar w:left="320" w:top="131" w:right="379" w:bottom="1440" w:gutter="0" w:footer="0" w:header="0"/>
        </w:sectPr>
      </w:pPr>
    </w:p>
    <w:p>
      <w:pPr>
        <w:spacing w:after="0" w:line="25" w:lineRule="exact"/>
        <w:rPr>
          <w:sz w:val="20"/>
          <w:szCs w:val="20"/>
          <w:color w:val="auto"/>
        </w:rPr>
      </w:pPr>
    </w:p>
    <w:p>
      <w:pPr>
        <w:ind w:firstLine="348"/>
        <w:spacing w:after="0" w:line="331" w:lineRule="auto"/>
        <w:rPr>
          <w:sz w:val="20"/>
          <w:szCs w:val="20"/>
          <w:color w:val="auto"/>
        </w:rPr>
      </w:pPr>
      <w:r>
        <w:rPr>
          <w:rFonts w:ascii="Arial" w:cs="Arial" w:eastAsia="Arial" w:hAnsi="Arial"/>
          <w:sz w:val="16"/>
          <w:szCs w:val="16"/>
          <w:color w:val="auto"/>
        </w:rPr>
        <w:t>We may agree with the depositary to amend the deposit agreement and the ADRs without your consent for any reason. If the amendment will cause any of the following results, the amendment will become effective 30 days after the depositary notifies you of the amendment:</w:t>
      </w:r>
    </w:p>
    <w:p>
      <w:pPr>
        <w:spacing w:after="0" w:line="154"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adds or increases fees or charges, except for: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taxes and other government charges;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registration fees;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cable, telex or facsimile transmission costs;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delivery costs or other such expenses; or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prejudices any substantial right of ADR holders.</w:t>
      </w:r>
    </w:p>
    <w:p>
      <w:pPr>
        <w:spacing w:after="0" w:line="22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At the time an amendment becomes effective, you are considered, by continuing to hold your ADRs, to agree to the amendment and to be bound by the ADRs and the deposit agreement, as amended.</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depositary will terminate the deposit agreement if we ask it to do so. In such case, the depositary must notify you at least 90 days before termination. The depositary may also terminate the deposit agreement if the depositary has told us that it would like to resign and we have not appointed a new depositary bank within 90 days.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termination, the depositary and its agents will be required to do only the following under the deposit agreement:</w:t>
      </w:r>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advise you that the deposit agreement is terminated;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collect distributions on the deposited securities and deliver the deliverable portion of shares and other deposited securities upon cancellation of ADRs.</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One year after termination, the depositary may sell any remaining deposited securities by public or private sale. After that, the depositary will hold the proceeds of the sale, as well as any other cash it is holding under the deposit agreement for the pro rata benefit of the ADR holders that have not surrendered their ADRs or are unable to surrender their ADRs because they represent less than a unit of shares. It will not invest the money and will have no liability for interest. The depositary's only obligations will be an indemnification obligation and an obligation to account for the proceeds of the sale and other cash. After termination, our only obligations will be an indemnification obligation and our obligation to pay specified amounts to the depositary.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Obligations and Liability to ADR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deposit agreement expressly limits our obligations and the obligations of the depositary, and it limits our liability and the liability of the depositary.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and the depositary:</w:t>
      </w:r>
    </w:p>
    <w:p>
      <w:pPr>
        <w:spacing w:after="0" w:line="232"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provided for in the deposit agreement without negligence or bad faith;</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not liable if either is prevented or delayed by law or circumstances beyond their control from performing their obligations under the deposit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not liable if either exercises discretion permitted under the deposit agreement;</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ADRs or the deposit agreement on your behalf of any other party;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may rely upon any documents they believe in good faith to be genuine and to have been signed or presented by the proper party.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and the depositary agree to indemnify each other under designated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Depositary Actions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Before the depositary will issue or register the transfer of an ADR, make a distribution on an ADR, or process a withdrawal of shares, the depositary may require:</w:t>
      </w:r>
    </w:p>
    <w:p>
      <w:pPr>
        <w:spacing w:after="0" w:line="199" w:lineRule="exact"/>
        <w:rPr>
          <w:sz w:val="20"/>
          <w:szCs w:val="20"/>
          <w:color w:val="auto"/>
        </w:rPr>
      </w:pPr>
    </w:p>
    <w:p>
      <w:pPr>
        <w:ind w:left="1080" w:right="6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production of 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with regulations that it may establish, from time to time, consistent with the deposit agreement, including presentation of transfer documents.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depositary may refuse to deliver, transfer or register transfers of ADRs generally when our books or the books of the depositary are closed, or at any time if the depositary or we think it advisable to do so.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have the right to cancel your ADRs and withdraw the underlying shares at any time except:</w:t>
      </w:r>
    </w:p>
    <w:p>
      <w:pPr>
        <w:spacing w:after="0" w:line="239" w:lineRule="exact"/>
        <w:rPr>
          <w:sz w:val="20"/>
          <w:szCs w:val="20"/>
          <w:color w:val="auto"/>
        </w:rPr>
      </w:pPr>
    </w:p>
    <w:p>
      <w:pPr>
        <w:ind w:left="1080" w:right="34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when temporary delays arise because: (1) the depositary or we have closed its or our transfer books; (2) the transfer of shares is blocked to permit voting at a shareholders' meeting; or (3) we are paying a dividend on the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when you or other ADR holders seeking to withdraw shares owe money to pay fees, taxes and similar charges; or</w:t>
      </w:r>
    </w:p>
    <w:p>
      <w:pPr>
        <w:spacing w:after="0" w:line="25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ADRs or to the withdrawal of shares or other deposited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an exempted company incorporated in the Cayman Islands because of the following benefits found there:</w:t>
      </w:r>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62" w:lineRule="exact"/>
        <w:rPr>
          <w:sz w:val="20"/>
          <w:szCs w:val="20"/>
          <w:color w:val="auto"/>
        </w:rPr>
      </w:pPr>
    </w:p>
    <w:p>
      <w:pPr>
        <w:ind w:left="1080" w:right="14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memorandum and articles of association do not contain provisions requiring that disputes, including those arising under the securities laws of the United States, between us, our officers, directors and shareholders be arbitrated.</w:t>
      </w:r>
    </w:p>
    <w:p>
      <w:pPr>
        <w:spacing w:after="0" w:line="186"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substantial portion of our current operations is conducted in China through our subsidiaries (including our consolidated affiliated entities)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Maples and Calder (Hong Kong) LLP, our counsel as to Cayman Islands law, and Zhong Lun Law Firm, our counsel as to Chinese law, have advised us, respectively, that there is uncertainty as to whether the courts of the Cayman Islands or China would:</w:t>
      </w:r>
    </w:p>
    <w:p>
      <w:pPr>
        <w:spacing w:after="0" w:line="213" w:lineRule="exact"/>
        <w:rPr>
          <w:sz w:val="20"/>
          <w:szCs w:val="20"/>
          <w:color w:val="auto"/>
        </w:rPr>
      </w:pPr>
    </w:p>
    <w:p>
      <w:pPr>
        <w:ind w:left="1080" w:right="60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color w:val="auto"/>
        </w:rPr>
        <w:t>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w:t>
      </w:r>
    </w:p>
    <w:p>
      <w:pPr>
        <w:spacing w:after="0" w:line="1" w:lineRule="exact"/>
        <w:rPr>
          <w:sz w:val="20"/>
          <w:szCs w:val="20"/>
          <w:color w:val="auto"/>
        </w:rPr>
      </w:pPr>
    </w:p>
    <w:p>
      <w:pPr>
        <w:ind w:firstLine="8"/>
        <w:spacing w:after="0" w:line="255"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imposes on the judgment debtor a liability to pay a liquidated sum for which the judgment has been given; (c) is final and conclusive; (d) is not in respect of taxes, a fine or a penalty; and (e) was not obtained in a manner and is not of a kind the enforcement of which is contrary to natural justice or the public policy of the Cayman Islands.</w:t>
      </w:r>
    </w:p>
    <w:p>
      <w:pPr>
        <w:spacing w:after="0" w:line="198"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color w:val="auto"/>
        </w:rPr>
        <w:t>Zhong Lun Law Firm has advised us further that the recognition and enforcement of foreign judgments are provided for under Chinese Civil Procedure Law. PRC courts may recognize and enforce foreign judgments in accordance with the requirements of Chinese Civil Procedure Law based either on treaties between China and the country where the judgment is made or on reciprocity between jurisdictions. Zhong Lun Law Firm has further advised us that under PRC law, courts in the PRC will not recognize or enforce a foreign judgment against us or our directors and officers if they decide that the judgment violates the basic principles of PRC law or national sovereignty, security or social public interest. As there exists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w:t>
      </w:r>
    </w:p>
    <w:p>
      <w:pPr>
        <w:spacing w:after="0" w:line="177" w:lineRule="exact"/>
        <w:rPr>
          <w:sz w:val="20"/>
          <w:szCs w:val="20"/>
          <w:color w:val="auto"/>
        </w:rPr>
      </w:pPr>
    </w:p>
    <w:p>
      <w:pPr>
        <w:ind w:right="100" w:firstLine="348"/>
        <w:spacing w:after="0" w:line="228" w:lineRule="auto"/>
        <w:rPr>
          <w:sz w:val="20"/>
          <w:szCs w:val="20"/>
          <w:color w:val="auto"/>
        </w:rPr>
      </w:pPr>
      <w:r>
        <w:rPr>
          <w:rFonts w:ascii="Arial" w:cs="Arial" w:eastAsia="Arial" w:hAnsi="Arial"/>
          <w:sz w:val="18"/>
          <w:szCs w:val="18"/>
          <w:color w:val="auto"/>
        </w:rPr>
        <w:t>We have appointed Cogency Global Inc. at 122 East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10168,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The following is a general summary of certain Cayman Islands, PRC and United States federal income tax consequences relevant to an investment in our ADSs and ordinary shares. The discussion is not intended to be, nor should it be construed as, legal or tax advice to any particular prospective purchaser. The discussion is based on laws and relevant interpretations thereof as of the date of this prospectus supplement,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own tax advisors with respect to the consequences of acquisition, ownership and disposition of our ADSs and ordinary shares. To the extent that this discussion relates to matters of Cayman Islands tax law, it is the opinion of Maples and Calder (Hong Kong) LLP, our special Cayman Islands counsel. To the extent that the discussion states definitive legal conclusions under PRC tax laws and regulations, it is the opinion of Zhong Lun Law Firm, our PRC counsel.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our shareholders or our ADS holders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6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Payments of dividends and capital in respect of our ADSs and ordinary shares will not be subject to taxation in the Cayman Islands and no withholding will be required on the payment of a dividend or capital to any holder of our ADSs or ordinary shares, as the case may be, nor will gains derived from the disposal of our ADSs or ordinary shares be subject to Cayman Islands income or corporation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are a holding company incorporated in the Cayman Islands and we gain substantial income by way of dividends from our PRC subsidiaries. The PRC enterprise income tax, or EIT, is calculated based on the taxable income determined under the applicable PRC Enterprise Income Tax Law, or the EIT Law, and its implementation rules, both of which became effective on January 1, 2008 and were most recently amended on December 29, 2018 and April 23, 2019, respectively. The EIT Law and its implementation rules provide that China-sourced income of foreign enterprises, such as dividends paid by a PRC subsidiary to its equity holders that are non-resident enterprises, will normally be subject to PRC withholding tax at a rate of 10%, unless any foreign investor's jurisdiction of incorporation has a tax treaty with China that provides for a lower withholding tax rate for which the foreign investor is eligible.</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Under the EIT Law, an enterprise established outside of China with a "de facto management body" within China is considered a "resident enterprise," which means that it is treated in the same manner as a Chinese enterprise for enterprise income tax purposes. Although the implementation rules of the EIT Law define "de facto management body" as a managing body that exercises substantive and overall management and control over the production and business, personnel, accounting books and assets of an enterprise, the only official guidance for this definition currently available is set forth in the </w:t>
      </w:r>
      <w:r>
        <w:rPr>
          <w:rFonts w:ascii="Arial" w:cs="Arial" w:eastAsia="Arial" w:hAnsi="Arial"/>
          <w:sz w:val="16"/>
          <w:szCs w:val="16"/>
          <w:i w:val="1"/>
          <w:iCs w:val="1"/>
          <w:color w:val="auto"/>
        </w:rPr>
        <w:t>Notice Regarding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Determination of Chinese-Controlled Offshore-Incorporated Enterprises as PRC Tax Resident Enterprise on the basis of de facto management bodies </w:t>
      </w:r>
      <w:r>
        <w:rPr>
          <w:rFonts w:ascii="Arial" w:cs="Arial" w:eastAsia="Arial" w:hAnsi="Arial"/>
          <w:sz w:val="16"/>
          <w:szCs w:val="16"/>
          <w:color w:val="auto"/>
        </w:rPr>
        <w:t>issued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22, 2009 and further amended on December 29, 2017 by the State Taxation Administration, or Circular 82, which provides guidance on the determination of the tax residence status of a Chinese-controlled offshore incorporated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enterprise, defined as an enterprise that is incorporated under the laws of a foreign country or territory and that has a PRC enterprise or enterprise group as its primary controlling shareholder. Although we do not have a PRC enterprise or enterprise group as our primary controlling shareholder and is therefore not a Chinese-controlled offshore incorporated enterprise within the meaning of Circular 82, in the absence of guidance specifically applicable to us, we cannot assure you that we or our subsidiaries organized outside the PRC will not be regarded as a PRC resident enterprise.</w:t>
      </w:r>
    </w:p>
    <w:p>
      <w:pPr>
        <w:spacing w:after="0" w:line="166" w:lineRule="exact"/>
        <w:rPr>
          <w:sz w:val="20"/>
          <w:szCs w:val="20"/>
          <w:color w:val="auto"/>
        </w:rPr>
      </w:pPr>
    </w:p>
    <w:p>
      <w:pPr>
        <w:ind w:right="360" w:firstLine="341"/>
        <w:spacing w:after="0" w:line="331" w:lineRule="auto"/>
        <w:rPr>
          <w:sz w:val="20"/>
          <w:szCs w:val="20"/>
          <w:color w:val="auto"/>
        </w:rPr>
      </w:pPr>
      <w:r>
        <w:rPr>
          <w:rFonts w:ascii="Arial" w:cs="Arial" w:eastAsia="Arial" w:hAnsi="Arial"/>
          <w:sz w:val="16"/>
          <w:szCs w:val="16"/>
          <w:color w:val="auto"/>
        </w:rPr>
        <w:t>According to Circular 82, a Chinese-controlled offshore incorporated enterprise will be regarded as a PRC tax resident by virtue of having a "de facto management body" in China and will be subject to PRC enterprise income tax on its worldwide income only if all of the following criteria are met:</w:t>
      </w:r>
    </w:p>
    <w:p>
      <w:pPr>
        <w:spacing w:after="0" w:line="154"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primary location of the day-to-day operational management is in the PRC;</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decisions relating to the enterprise's financial and human resource matters are made or are subject to approval by organizations or personnel in the PRC;</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enterprise's primary assets, accounting books and records, company seals, and board and shareholders meeting minutes are located or maintained in the PRC;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50% or more of voting board members or senior executives habitually reside in the PRC.</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do not believe that we meet the criteria outlined in the immediately preceding paragraph. NetEase, Inc. and its offshore subsidiaries are incorporated outside the PRC. As a holding company, our key assets and records, including the resolutions and meeting minutes of our board of directors and the resolutions and meeting minutes of our shareholders, are located and maintained outside the PRC. In addition, we are not aware of any offshore holding companies with a corporate structure similar to ours that has been deemed a PRC "resident enterprise" by the PRC tax authorities. Accordingly, we believe that we and our offshore subsidiaries should not be treated as a "resident enterprise" for PRC tax purposes if the criteria for "de facto management body" as set forth in Circular 82 were deemed applicable to us. However, as the tax residency status of an enterprise is subject to determination by the PRC tax authorities and uncertainties remain with respect to the interpretation of the term "de facto management body" as applicable to our offshore entities, we will continue to monitor our tax status.</w:t>
      </w:r>
    </w:p>
    <w:p>
      <w:pPr>
        <w:spacing w:after="0" w:line="17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If we are treated as a PRC resident enterprise, any dividends paid to our shareholders or ADS holders which are considered non-resident enterprises or non-PRC resident individuals may be subject to withholding income tax, and gains realized on the transfer of our shares or ADSs by such shareholders or ADS holders may subject to income tax if such dividends or gains are deemed to be from PRC sources, which may adversely and materially affect the value of the investment in our shares or ADSs. The tax rate for gains and dividends is 10% for non-resident enterprise shareholders or ADS holders and 20% for PRC non-resident individual shareholders or ADS holders, subject to any reduction or exemption set forth in applicable tax treaties entered into between PRC and other countries or areas. However, it is unclear whether in practice non-PRC resident shareholders and non-PRC resident ADS holders would be able to obtain the benefits of income tax treaties entered into between PRC and their countries or areas.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See "Item 3. Key Information—D. Risk Factors—Risks Related to Doing Business in China—We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in the 2019 Annual Report.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 Taxation</w:t>
      </w:r>
    </w:p>
    <w:p>
      <w:pPr>
        <w:spacing w:after="0" w:line="231" w:lineRule="exact"/>
        <w:rPr>
          <w:sz w:val="20"/>
          <w:szCs w:val="20"/>
          <w:color w:val="auto"/>
        </w:rPr>
      </w:pPr>
    </w:p>
    <w:p>
      <w:pPr>
        <w:ind w:right="360" w:firstLine="351"/>
        <w:spacing w:after="0" w:line="304" w:lineRule="auto"/>
        <w:rPr>
          <w:sz w:val="20"/>
          <w:szCs w:val="20"/>
          <w:color w:val="auto"/>
        </w:rPr>
      </w:pPr>
      <w:r>
        <w:rPr>
          <w:rFonts w:ascii="Arial" w:cs="Arial" w:eastAsia="Arial" w:hAnsi="Arial"/>
          <w:sz w:val="15"/>
          <w:szCs w:val="15"/>
          <w:color w:val="auto"/>
        </w:rPr>
        <w:t>In connection with the Hong Kong Public Offering, we will establish the Hong Kong share register. Dealings in our ordinary shares registered on our Hong Kong share register will be subject to Hong Kong stamp duty. The stamp duty is charged to each of the seller and purchaser at the ad valorem rate of</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0.1% of the consideration for, or (if greater) the value of, our ordinary shares transferred. In other words, a total of 0.2% is currently payable on a typical sale and purchase transaction of our ordinary shares. In addition, a fixed duty of HK$5.00 is charged on each instrument of transfer (if required).</w:t>
      </w:r>
    </w:p>
    <w:p>
      <w:pPr>
        <w:spacing w:after="0" w:line="146"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To facilitate the exchange of ADSs for ordinary shares and trading between the Nasdaq and the Hong Kong Stock Exchange, we also intend to move our issued ordinary shares from our Cayman share register to our Hong Kong share register. It is unclear whether, as a matter of Hong Kong law, the trading or exchange of ADSs constitutes a sale or purchase of the underlying Hong Kong-registered ordinary shares that is subject to Hong Kong stamp duty. We advise investors to consult their own tax advisors on this matter. See "Risk Factors—Risks Related to our Ordinary Shares, ADSs, the Listing and the Global Offering —There is uncertainty as to whether Hong Kong stamp duty will apply to the trading or exchange of our ADSs following our public offering in Hong Kong and listing of our ordinary shares on the Hong Kong Stock Exchange."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following discussion is a summary of certain United States federal income tax considerations applicable to the purchase, ownership and disposition of shares or ADSs by a U.S. Holder (as defined below) who acquires our shares or ADSs in this offering and holds such shares or ADSs as capital assets within the meaning of Section 1221 of the Internal Revenue Code of 1986, as amended, referred to in this section as the Code. This summary does not purport to be a complete analysis of all potential United States federal income tax effects. This summary is based on the Code, United States Treasury regulations (including temporary and proposed regulations) promulgated thereunder, Internal Revenue Service, or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 Additionally, the discussion below is written on the basis that the representations contained in the deposit agreement are true and that the obligations in the deposit agreement and any related agreement will be performed in accordance with the terms.</w:t>
      </w:r>
    </w:p>
    <w:p>
      <w:pPr>
        <w:spacing w:after="0" w:line="17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U.S. Holders that may be subject to special rules under United States federal income tax law, including:</w:t>
      </w:r>
    </w:p>
    <w:p>
      <w:pPr>
        <w:spacing w:after="0" w:line="207"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broker dealers in stocks, securities, commodities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(including securities traders) that use a mark-to-market accounting method;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holding shares or ADSs as part of a hedging or conversion transaction or a straddle;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deemed to sell shares or ADSs under the constructive sale provisions of the Code;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holding shares or ADSs in connection with a trade or business conducted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of the total combined vote or value of all classes of our equity.</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 is:</w:t>
      </w:r>
    </w:p>
    <w:p>
      <w:pPr>
        <w:spacing w:after="0" w:line="262"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38"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225" w:lineRule="exact"/>
        <w:rPr>
          <w:sz w:val="20"/>
          <w:szCs w:val="20"/>
          <w:color w:val="auto"/>
        </w:rPr>
      </w:pPr>
    </w:p>
    <w:p>
      <w:pPr>
        <w:ind w:right="240" w:firstLine="341"/>
        <w:spacing w:after="0" w:line="331" w:lineRule="auto"/>
        <w:rPr>
          <w:sz w:val="20"/>
          <w:szCs w:val="20"/>
          <w:color w:val="auto"/>
        </w:rPr>
      </w:pPr>
      <w:r>
        <w:rPr>
          <w:rFonts w:ascii="Arial" w:cs="Arial" w:eastAsia="Arial" w:hAnsi="Arial"/>
          <w:sz w:val="16"/>
          <w:szCs w:val="16"/>
          <w:color w:val="auto"/>
        </w:rPr>
        <w:t>A U.S. Holder of ADSs generally will be treated as the owner of the underlying shares represented by those ADSs for United States federal income tax purposes. Accordingly, no gain or loss will be recognized if a U.S. Holder exchanges ADSs for the underlying shares represented by those ADSs.</w:t>
      </w:r>
    </w:p>
    <w:p>
      <w:pPr>
        <w:spacing w:after="0" w:line="14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U.S. Treasury has expressed concern that parties to whom American depositary shares are released before shares are delivered to the depositary or intermediaries in the chain of ownership between holders and the issuer of the security underlying the American depositary shares, may be taking actions that are inconsistent with the claiming of foreign tax credits by U.S. holders of American depositary shares.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31" w:right="3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actions taken by such parties or intermediaries. Further, any Hong Kong stamp duty applied to the trading or conversion of our ADSs will not be creditable by U.S. 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 and Other Distributions on the Ordinary Shares or ADSs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spacing w:after="0" w:line="173" w:lineRule="exact"/>
        <w:rPr>
          <w:sz w:val="20"/>
          <w:szCs w:val="20"/>
          <w:color w:val="auto"/>
        </w:rPr>
      </w:pPr>
    </w:p>
    <w:p>
      <w:pPr>
        <w:jc w:val="both"/>
        <w:ind w:firstLine="351"/>
        <w:spacing w:after="0" w:line="284" w:lineRule="auto"/>
        <w:rPr>
          <w:sz w:val="20"/>
          <w:szCs w:val="20"/>
          <w:color w:val="auto"/>
        </w:rPr>
      </w:pPr>
      <w:r>
        <w:rPr>
          <w:rFonts w:ascii="Arial" w:cs="Arial" w:eastAsia="Arial" w:hAnsi="Arial"/>
          <w:sz w:val="16"/>
          <w:szCs w:val="16"/>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if we are (or treated with respect to the U.S. Holder as) a PFIC for the taxable year in which the dividend is paid or the preceding taxable year. See "Passive Foreign Investment Companies," below.</w:t>
      </w:r>
    </w:p>
    <w:p>
      <w:pPr>
        <w:spacing w:after="0" w:line="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they are expected for purposes of clause (1) above to be readily tradable on an established securities market in the United States. Thus, dividends paid on our ADSs may, subject to applicable limitations, be taxed at the lower applicable capital gains rate, but there can be no assurance in this regard. Further, because our ordinary shares are not listed on a U.S. established securities market, it is unclear whether dividends paid on our ordinary shares that are not represented by ADSs currently meet the conditions required for these reduced tax rates.</w:t>
      </w:r>
    </w:p>
    <w:p>
      <w:pPr>
        <w:spacing w:after="0" w:line="176"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Alternatively,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in the future we were deemed to be a PRC resident enterprise under the enterprise income tax law, although no assurance can be given, we might be considered eligible for the benefits of the U.S.-PRC Tax Treaty for purposes of these rules. U.S. Holders should consult their own tax advisors regarding the availability of the reduced tax rates on dividends paid with respect to our ordinary shares or ADSs in light of their particular circumstances.</w:t>
      </w:r>
    </w:p>
    <w:p>
      <w:pPr>
        <w:spacing w:after="0" w:line="174"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dividends paid on our shares or ADSs will be treated as income from sources outside the United States, and will generally constitute passive category income, or in certain cases, general category income. A U.S. Holder who does not elect to claim a foreign tax credit for foreign income tax withheld, may instead claim a deduction, for United States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federal income tax purposes, in respect of such withholdings, but only for a year in which such holder elects to do so for all creditable foreign income taxes and subject to applicable limitations. The U.S. foreign tax credit rules are complex. U.S. Holders should consult their own tax advisors regarding the foreign tax credit rules in light of their particular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 of Ordinary Shares or ADSs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Subject to the PFIC rules discussed below, you will generally recognize taxable gain or loss on any sale or exchange or other taxable disposition of a share or ADS in an amount equal to the difference between the amount realized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in effect on the settlement date) for the share or ADS and your adjusted tax basis (in U.S. dollars) in the share or ADS. A U.S. Holder's initial tax basis will be the U.S. Holder's U.S. dollar purchase price for such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a U.S. Holder without sufficient other income from non-U.S. sources may be precluded from obtaining a full or partial tax credit with respect to the gain. However, such gain may be treated as PRC source gain under the U.S.-PRC Tax Treaty, in which case a U.S. Holder eligible for treaty benefits may be able to claim a foreign tax credit, subject to applicable limitations.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25" w:lineRule="exact"/>
        <w:rPr>
          <w:sz w:val="20"/>
          <w:szCs w:val="20"/>
          <w:color w:val="auto"/>
        </w:rPr>
      </w:pPr>
    </w:p>
    <w:p>
      <w:pPr>
        <w:jc w:val="both"/>
        <w:ind w:right="220" w:firstLine="341"/>
        <w:spacing w:after="0" w:line="259" w:lineRule="auto"/>
        <w:rPr>
          <w:sz w:val="20"/>
          <w:szCs w:val="20"/>
          <w:color w:val="auto"/>
        </w:rPr>
      </w:pPr>
      <w:r>
        <w:rPr>
          <w:rFonts w:ascii="Arial" w:cs="Arial" w:eastAsia="Arial" w:hAnsi="Arial"/>
          <w:sz w:val="18"/>
          <w:szCs w:val="18"/>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Companies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(generally, determined on a quarterly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in which we own, directly or indirectly, more than 25% (by value) of the stock.</w:t>
      </w:r>
    </w:p>
    <w:p>
      <w:pPr>
        <w:spacing w:after="0" w:line="186"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Although the law in this regard is not clear, we treat our variable interest entities, or VIEs, as being owned by us for U.S. federal income tax purposes because we exercise effective control over the VIEs and are entitled to substantially all of their economic benefits. As a result, we consolidate their results of operations in our consolidated U.S. GAAP financial statements. If it were determined that we are not the owner of the VIEs for U.S. federal income tax purposes, we may be treated as a PFIC for the current taxable year and any subsequent taxable year.</w:t>
      </w:r>
    </w:p>
    <w:p>
      <w:pPr>
        <w:spacing w:after="0" w:line="166"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w:t>
      </w:r>
    </w:p>
    <w:p>
      <w:pPr>
        <w:spacing w:after="0" w:line="19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Assuming that we are the owner of the VIEs for U.S. federal income tax purposes, and based on certain estimates of our gross income and the value of our gross assets (which may be determined in large part by the market price of our ADSs and shares), we do not expect to be a PFIC for taxable year 2020 for United States federal income tax purposes. The determination of whether we will be classified as a PFIC is made annually and depends on particular facts and circumstances. In particular, the fair market value of some of our company's assets, including goodwill, may be determined in large part by the market price of the ADSs, which is likely to fluctuate. In addition, the composition of our company's income and assets will be affected by how, and how quickly, our company spends any cash that is raised or otherwise held by us. Therefore, we could be a PFIC for any taxable year if the market price of our ADSs and shares declines significantly while we hold a substantial amount of cash and cash-equivalents. Furthermore, while we believe our valuation approach is reasonable, it is possible that the IRS could challenge our determination concerning our PFIC status. For these reasons, there can be no assurance that we are not a PFIC in 2020 or that we will not be a PFIC for any future taxable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Treatment of a Shareholder of a PFIC</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If our company is classified as a PFIC for any taxable year during which a U.S. Holder owns shares or ADSs, the U.S. Holder, absent certain elections (including a mark-to-market election as described below),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69"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20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are a PFIC in any year with respect to a U.S. Holder, and any of our subsidiaries or VIEs are also PFICs ("lower-tier PFICs"), such U.S. Holder will be treated as owning directly a proportionate share (by value) of the shares of the lower-tier PFICs for purposes of these rules and would be subject to U.S. federal income tax according to the rules described above on (i) certain distributions by the lower-tier PFIC and (ii) dispositions of shares of the lower-tier PFIC, in each case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as if the U.S. Holder held such shares directly, even though the U.S. Holder would not receive any proceeds of those distributions or dispositions. U.S. Holders are urged to consult their tax advisors regarding the application of the PFIC rules to any of our subsidiaries and VIEs.</w:t>
      </w:r>
    </w:p>
    <w:p>
      <w:pPr>
        <w:spacing w:after="0" w:line="14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Non-corporate U.S. Holders will not be eligible for the reduced tax rate on any dividends received from us if we are a PFIC in the taxable year in which such dividends are paid or in the preceding taxable year.</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Mark-to-Market Election</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 or the national market system established pursuant to Section 11A of the Securities Exchange Act of 1934, as amended, or the Exchange Act, and certain foreign securities exchanges. A foreign exchange is considered "qualified" if it is regulated or supervised by a governmental authority of the country in which the market is located, provided that (i) such non-U.S. exchange has trading volume, listing, financial disclosure, surveillance, and other requirements, and the laws of the country in which such non-U.S. exchange is located, together with the rules of such non-U.S. exchange, ensure that such requirements are actually enforced and (ii) the rules of such non-U.S. exchange ensure active trading of listed stock. The U.S. Treasury Department has not identified specific foreign exchanges that meet this criteria.</w:t>
      </w:r>
    </w:p>
    <w:p>
      <w:pPr>
        <w:spacing w:after="0" w:line="176"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to the revocation of the election. Our ADSs are listed on the Nasdaq, which is a qualified exchange or other market for purposes of the mark-to-market election. Consequently, if the ADSs continue to be so listed, and are "regularly traded" for purposes of these rules (for which no assurance can be given) we expect that the mark-to-market election would be available to a U.S. Holder with respect to our ADSs.</w:t>
      </w:r>
    </w:p>
    <w:p>
      <w:pPr>
        <w:spacing w:after="0" w:line="16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There is no explicit provision in the Code, Treasury regulations or other official guidance that would permit making a mark-to-market election with respect to the shares of any of our subsidiaries or VIEs that are also classified as PFICs. Prospective investors should consult their own tax advisors regarding the availability of, and the procedure for, and the effect of making, a mark-to-market election with respect to our shares or ADSs, and whether making the election would be advisable, including in light of their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"QEF" Election</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PFIC Reporting Requirements</w:t>
      </w:r>
    </w:p>
    <w:p>
      <w:pPr>
        <w:spacing w:after="0" w:line="225"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60"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 ASSURANCE CAN BE GIVEN THAT WE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80"/>
          </w:cols>
          <w:pgMar w:left="320" w:top="131" w:right="4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Selling shareholders (if any) to be named in a prospectus supplement may, from time to time, offer, sell and lend some or all of the ordinary shares or ADSs held by them pursuant to this prospectus and the applicable prospectus supplement. Such selling shareholders (if any) may sell the ordinary shares or ADSs held by them to or through underwriters, dealers or agents or directly to purchasers or as otherwise set forth in the applicable prospectus supplement. See "Plan of Distribution." Such selling shareholders (if any) may also sell, transfer or otherwise dispose of some or all of the ordinary shares or ADSs held by them in transactions exempt from the registration requirements of the Securities Act.</w:t>
      </w:r>
    </w:p>
    <w:p>
      <w:pPr>
        <w:spacing w:after="0" w:line="16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will provide you with a prospectus supplement, which will set forth the name of each selling shareholder (if any), the number of ordinary shares beneficially owned by such selling shareholder and the number of the ordinary shares or ADSs they are offering. The prospectus supplement also will disclose whether any of the selling shareholders (if any) have held any position or office with, have been employed by or otherwise have had a material relationship with us during the three years prior to the date of the prospectus supplement.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any selling shareholders may sell the securities offered through this prospectus from time to time in one or more of the following ways:</w:t>
      </w:r>
    </w:p>
    <w:p>
      <w:pPr>
        <w:spacing w:after="0" w:line="262"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directly to one or more purchasers, including our affiliates;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through a combination of any these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distribute the securities from time to time in one or more of the following ways:</w:t>
      </w:r>
    </w:p>
    <w:p>
      <w:pPr>
        <w:spacing w:after="0" w:line="252"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prices relating to prevailing market prices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varying prices determined at the time of sale;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will include the following information, if applicable:</w:t>
      </w:r>
    </w:p>
    <w:p>
      <w:pPr>
        <w:spacing w:after="0" w:line="23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offering price to the public;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Underwriters or Dealers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use underwriters for the sale of securities, they will acquire securities for their own account. The underwriters may resell the securities from time to time in one or more transactions, including negotiated transactions, at a fixed public offering price or at varying prices determined at the time of sale. Unless we otherwise state in the applicable prospectus supplement, various conditions will apply to the underwriters' obligation to purchase securities, and the underwriters will be obligated to purchase all of the securities contemplated in an offering if they purchase any of such securities. Any public offering price and any discounts or concessions allowed or reallowed or paid to dealers may be changed from time to time. The underwriter or underwriters of a particular underwritten offering of securities, or, if an underwriting syndicate is used, the managing underwriter or underwriters, will be set forth on the cover of the applicable prospectus supplement.</w:t>
      </w:r>
    </w:p>
    <w:p>
      <w:pPr>
        <w:spacing w:after="0" w:line="172" w:lineRule="exact"/>
        <w:rPr>
          <w:sz w:val="20"/>
          <w:szCs w:val="20"/>
          <w:color w:val="auto"/>
        </w:rPr>
      </w:pPr>
    </w:p>
    <w:p>
      <w:pPr>
        <w:ind w:right="100" w:firstLine="351"/>
        <w:spacing w:after="0" w:line="331" w:lineRule="auto"/>
        <w:rPr>
          <w:sz w:val="20"/>
          <w:szCs w:val="20"/>
          <w:color w:val="auto"/>
        </w:rPr>
      </w:pPr>
      <w:r>
        <w:rPr>
          <w:rFonts w:ascii="Arial" w:cs="Arial" w:eastAsia="Arial" w:hAnsi="Arial"/>
          <w:sz w:val="16"/>
          <w:szCs w:val="16"/>
          <w:color w:val="auto"/>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sectPr>
          <w:pgSz w:w="11900" w:h="16838" w:orient="portrait"/>
          <w:cols w:equalWidth="0" w:num="1">
            <w:col w:w="11220"/>
          </w:cols>
          <w:pgMar w:left="320" w:top="131" w:right="359" w:bottom="144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361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Agents</w:t>
      </w:r>
    </w:p>
    <w:p>
      <w:pPr>
        <w:spacing w:after="0" w:line="231" w:lineRule="exact"/>
        <w:rPr>
          <w:sz w:val="20"/>
          <w:szCs w:val="20"/>
          <w:color w:val="auto"/>
        </w:rPr>
      </w:pPr>
    </w:p>
    <w:p>
      <w:pPr>
        <w:ind w:right="660" w:firstLine="348"/>
        <w:spacing w:after="0" w:line="259"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securities on a continuing basis. Any agent involved will be named, and any commissions payable by us to such agent will be set forth,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sell securities directly without using agents, underwriters, or dealers.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in the ordinary course of business.</w:t>
      </w:r>
    </w:p>
    <w:p>
      <w:pPr>
        <w:spacing w:after="0" w:line="160" w:lineRule="exact"/>
        <w:rPr>
          <w:sz w:val="20"/>
          <w:szCs w:val="20"/>
          <w:color w:val="auto"/>
        </w:rPr>
      </w:pPr>
    </w:p>
    <w:p>
      <w:pPr>
        <w:ind w:right="480" w:firstLine="351"/>
        <w:spacing w:after="0" w:line="256"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received by them from us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are being represented by Gibson, Dunn &amp; Crutcher and Skadden, Arps, Slate, Meagher &amp; Flom LLP with respect to certain legal matters of United States federal securities and New York state law. The validity of the securities offered in this offering and legal matters as to Cayman Islands law will be passed upon for us by Maples and Calder (Hong Kong) LLP. Certain legal matters as to PRC law will be passed upon for us by Zhong Lun Law Firm. If legal matters in connection with offerings made pursuant to this prospectus are passed upon by counsel to underwriters, dealers or agents, such counsel will be named in the applicable prospectus supplement relating to any such offering.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98" w:lineRule="auto"/>
        <w:rPr>
          <w:rFonts w:ascii="Arial" w:cs="Arial" w:eastAsia="Arial" w:hAnsi="Arial"/>
          <w:sz w:val="16"/>
          <w:szCs w:val="16"/>
          <w:color w:val="0000EE"/>
        </w:rPr>
      </w:pPr>
      <w:r>
        <w:rPr>
          <w:rFonts w:ascii="Arial" w:cs="Arial" w:eastAsia="Arial" w:hAnsi="Arial"/>
          <w:sz w:val="16"/>
          <w:szCs w:val="16"/>
          <w:color w:val="auto"/>
        </w:rPr>
        <w:t xml:space="preserve">The financial statements and management's assessment of the effectiveness of internal control over financial reporting (which is included in Management's </w:t>
      </w:r>
      <w:hyperlink r:id="rId33">
        <w:r>
          <w:rPr>
            <w:rFonts w:ascii="Arial" w:cs="Arial" w:eastAsia="Arial" w:hAnsi="Arial"/>
            <w:sz w:val="16"/>
            <w:szCs w:val="16"/>
            <w:color w:val="auto"/>
          </w:rPr>
          <w:t xml:space="preserve">Annual Report on Internal Control over Financial Reporting) incorporated in this prospectus by reference to our annual report on </w:t>
        </w:r>
        <w:r>
          <w:rPr>
            <w:rFonts w:ascii="Arial" w:cs="Arial" w:eastAsia="Arial" w:hAnsi="Arial"/>
            <w:sz w:val="16"/>
            <w:szCs w:val="16"/>
            <w:u w:val="single" w:color="auto"/>
            <w:color w:val="0000EE"/>
          </w:rPr>
          <w:t>Form 20-F for the fiscal year</w:t>
        </w:r>
      </w:hyperlink>
      <w:r>
        <w:rPr>
          <w:rFonts w:ascii="Arial" w:cs="Arial" w:eastAsia="Arial" w:hAnsi="Arial"/>
          <w:sz w:val="16"/>
          <w:szCs w:val="16"/>
          <w:color w:val="auto"/>
        </w:rPr>
        <w:t xml:space="preserve"> </w:t>
      </w:r>
      <w:hyperlink r:id="rId33">
        <w:r>
          <w:rPr>
            <w:rFonts w:ascii="Arial" w:cs="Arial" w:eastAsia="Arial" w:hAnsi="Arial"/>
            <w:sz w:val="16"/>
            <w:szCs w:val="16"/>
            <w:u w:val="single" w:color="auto"/>
            <w:color w:val="0000EE"/>
          </w:rPr>
          <w:t>ended December 31, 2019</w:t>
        </w:r>
        <w:r>
          <w:rPr>
            <w:rFonts w:ascii="Arial" w:cs="Arial" w:eastAsia="Arial" w:hAnsi="Arial"/>
            <w:sz w:val="16"/>
            <w:szCs w:val="16"/>
            <w:color w:val="0000EE"/>
          </w:rPr>
          <w:t xml:space="preserve"> </w:t>
        </w:r>
        <w:r>
          <w:rPr>
            <w:rFonts w:ascii="Arial" w:cs="Arial" w:eastAsia="Arial" w:hAnsi="Arial"/>
            <w:sz w:val="16"/>
            <w:szCs w:val="16"/>
            <w:color w:val="000000"/>
          </w:rPr>
          <w:t>have been so incorporated in reliance on the report of PricewaterhouseCoopers Zhong Tian LLP, an independent registered public</w:t>
        </w:r>
      </w:hyperlink>
      <w:r>
        <w:rPr>
          <w:rFonts w:ascii="Arial" w:cs="Arial" w:eastAsia="Arial" w:hAnsi="Arial"/>
          <w:sz w:val="16"/>
          <w:szCs w:val="16"/>
          <w:color w:val="0000EE"/>
        </w:rPr>
        <w:t xml:space="preserve"> </w:t>
      </w:r>
      <w:r>
        <w:rPr>
          <w:rFonts w:ascii="Arial" w:cs="Arial" w:eastAsia="Arial" w:hAnsi="Arial"/>
          <w:sz w:val="16"/>
          <w:szCs w:val="16"/>
          <w:color w:val="000000"/>
        </w:rPr>
        <w:t>accounting firm, given on the authority of said firm as experts in auditing and accounting.</w:t>
      </w:r>
    </w:p>
    <w:p>
      <w:pPr>
        <w:spacing w:after="0" w:line="16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the People's Republic of China.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 if we ask it to.</w:t>
      </w:r>
    </w:p>
    <w:p>
      <w:pPr>
        <w:spacing w:after="0" w:line="17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This prospectus is part of a registration statement we have filed with the SEC. This prospectus omits some information contained in the registration statement in accordance with SEC rules and regulations. You can obtain a copy of the registration statement electronically at </w:t>
      </w:r>
      <w:r>
        <w:rPr>
          <w:rFonts w:ascii="Arial" w:cs="Arial" w:eastAsia="Arial" w:hAnsi="Arial"/>
          <w:sz w:val="16"/>
          <w:szCs w:val="16"/>
          <w:i w:val="1"/>
          <w:iCs w:val="1"/>
          <w:color w:val="auto"/>
        </w:rPr>
        <w:t>www.sec.gov</w:t>
      </w:r>
      <w:r>
        <w:rPr>
          <w:rFonts w:ascii="Arial" w:cs="Arial" w:eastAsia="Arial" w:hAnsi="Arial"/>
          <w:sz w:val="16"/>
          <w:szCs w:val="16"/>
          <w:color w:val="auto"/>
        </w:rPr>
        <w:t>.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131" w:right="3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incorporate by reference the documents listed below:</w:t>
      </w:r>
    </w:p>
    <w:p>
      <w:pPr>
        <w:spacing w:after="0" w:line="23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our annual report on Form 20-F for the fiscal year ended December 31, 2019, filed with the SEC on April 29, 2020;</w:t>
        </w:r>
      </w:hyperlink>
    </w:p>
    <w:p>
      <w:pPr>
        <w:spacing w:after="0" w:line="252" w:lineRule="exact"/>
        <w:rPr>
          <w:rFonts w:ascii="Arial" w:cs="Arial" w:eastAsia="Arial" w:hAnsi="Arial"/>
          <w:sz w:val="18"/>
          <w:szCs w:val="18"/>
          <w:u w:val="single" w:color="auto"/>
          <w:color w:val="0000EE"/>
        </w:rPr>
      </w:pPr>
    </w:p>
    <w:p>
      <w:pPr>
        <w:ind w:left="1080" w:right="360" w:hanging="532"/>
        <w:spacing w:after="0" w:line="33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description of our securities set forth in our registration statement on Form 8-A filed on March 27, 2000 and amended on June 28, 2000 (File No. 000-30666), together with all amendments and reports filed for the purpose of updating that description;</w:t>
      </w:r>
    </w:p>
    <w:p>
      <w:pPr>
        <w:spacing w:after="0" w:line="154"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86"/>
        </w:numPr>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Exhibit 99.1 to our current report on Form 6-K, furnished to the SEC on May 29, 2020, titled "Unaudited Condensed Consolidated Financial</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Statements as of March 31, 2020 and for the three months ended March 31, 2019 and 2020";</w:t>
        </w:r>
      </w:hyperlink>
    </w:p>
    <w:p>
      <w:pPr>
        <w:spacing w:after="0" w:line="199" w:lineRule="exact"/>
        <w:rPr>
          <w:rFonts w:ascii="Arial" w:cs="Arial" w:eastAsia="Arial" w:hAnsi="Arial"/>
          <w:sz w:val="18"/>
          <w:szCs w:val="18"/>
          <w:u w:val="single" w:color="auto"/>
          <w:color w:val="0000EE"/>
        </w:rPr>
      </w:pPr>
    </w:p>
    <w:p>
      <w:pPr>
        <w:ind w:left="1080" w:right="600" w:hanging="532"/>
        <w:spacing w:after="0" w:line="268" w:lineRule="auto"/>
        <w:tabs>
          <w:tab w:leader="none" w:pos="1080" w:val="left"/>
        </w:tabs>
        <w:numPr>
          <w:ilvl w:val="0"/>
          <w:numId w:val="86"/>
        </w:numPr>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Exhibit 99.1 to our current report on Form 6-K, furnished to the SEC on May 29, 2020, titled "NetEase, Inc. Supplemental and Updated</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Disclosures";</w:t>
        </w:r>
      </w:hyperlink>
    </w:p>
    <w:p>
      <w:pPr>
        <w:spacing w:after="0" w:line="212" w:lineRule="exact"/>
        <w:rPr>
          <w:rFonts w:ascii="Arial" w:cs="Arial" w:eastAsia="Arial" w:hAnsi="Arial"/>
          <w:sz w:val="18"/>
          <w:szCs w:val="18"/>
          <w:u w:val="single" w:color="auto"/>
          <w:color w:val="0000EE"/>
        </w:rPr>
      </w:pPr>
    </w:p>
    <w:p>
      <w:pPr>
        <w:ind w:left="1080" w:right="1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future annual reports on Form 20-F, together with any amendments thereto, filed with the SEC after the date of this prospectus and prior to the termination of the offering of the securities offered by this prospectus;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future reports on Form 6-K that we furnish to the SEC after this prospectus that are identified in such reports as being incorporated by reference in this prospectus.</w:t>
      </w:r>
    </w:p>
    <w:p>
      <w:pPr>
        <w:spacing w:after="0" w:line="186" w:lineRule="exact"/>
        <w:rPr>
          <w:rFonts w:ascii="Arial" w:cs="Arial" w:eastAsia="Arial" w:hAnsi="Arial"/>
          <w:sz w:val="18"/>
          <w:szCs w:val="18"/>
          <w:color w:val="auto"/>
        </w:rPr>
      </w:pPr>
    </w:p>
    <w:p>
      <w:pPr>
        <w:ind w:right="60" w:firstLine="351"/>
        <w:spacing w:after="0" w:line="259" w:lineRule="auto"/>
        <w:rPr>
          <w:sz w:val="20"/>
          <w:szCs w:val="20"/>
          <w:color w:val="auto"/>
        </w:rPr>
      </w:pPr>
      <w:r>
        <w:rPr>
          <w:rFonts w:ascii="Arial" w:cs="Arial" w:eastAsia="Arial" w:hAnsi="Arial"/>
          <w:sz w:val="18"/>
          <w:szCs w:val="18"/>
          <w:color w:val="auto"/>
        </w:rPr>
        <w:t>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NetEase, Inc.</w:t>
      </w:r>
    </w:p>
    <w:p>
      <w:pPr>
        <w:spacing w:after="0" w:line="2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NetEase Building, No. 599 Wangshang Road</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Binjiang District, Hangzhou, 310052</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(86 571) 8985-3378</w:t>
      </w:r>
    </w:p>
    <w:p>
      <w:pPr>
        <w:spacing w:after="0" w:line="219" w:lineRule="exact"/>
        <w:rPr>
          <w:rFonts w:ascii="Arial" w:cs="Arial" w:eastAsia="Arial" w:hAnsi="Arial"/>
          <w:sz w:val="18"/>
          <w:szCs w:val="18"/>
          <w:color w:val="auto"/>
        </w:rPr>
      </w:pPr>
    </w:p>
    <w:p>
      <w:pPr>
        <w:ind w:right="140" w:firstLine="344"/>
        <w:spacing w:after="0" w:line="306" w:lineRule="auto"/>
        <w:rPr>
          <w:sz w:val="20"/>
          <w:szCs w:val="20"/>
          <w:color w:val="auto"/>
        </w:rPr>
      </w:pPr>
      <w:r>
        <w:rPr>
          <w:rFonts w:ascii="Arial" w:cs="Arial" w:eastAsia="Arial" w:hAnsi="Arial"/>
          <w:sz w:val="16"/>
          <w:szCs w:val="16"/>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160" w:lineRule="exact"/>
        <w:rPr>
          <w:rFonts w:ascii="Arial" w:cs="Arial" w:eastAsia="Arial" w:hAnsi="Arial"/>
          <w:sz w:val="18"/>
          <w:szCs w:val="18"/>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SEC maintains the website,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which contains reports, proxy and information statements, and other information regarding issuers that file electronically with the SEC. Our website is </w:t>
      </w:r>
      <w:r>
        <w:rPr>
          <w:rFonts w:ascii="Arial" w:cs="Arial" w:eastAsia="Arial" w:hAnsi="Arial"/>
          <w:sz w:val="18"/>
          <w:szCs w:val="18"/>
          <w:i w:val="1"/>
          <w:iCs w:val="1"/>
          <w:color w:val="auto"/>
        </w:rPr>
        <w:t>www.ir.netease.com</w:t>
      </w:r>
      <w:r>
        <w:rPr>
          <w:rFonts w:ascii="Arial" w:cs="Arial" w:eastAsia="Arial" w:hAnsi="Arial"/>
          <w:sz w:val="18"/>
          <w:szCs w:val="18"/>
          <w:color w:val="auto"/>
        </w:rPr>
        <w:t>. The information contained in, and that can be accessed through, our website is not incorporated into and does not form a part of this prospectus.</w:t>
      </w:r>
    </w:p>
    <w:p>
      <w:pPr>
        <w:spacing w:after="0" w:line="19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2"/>
    </w:lvl>
  </w:abstractNum>
  <w:abstractNum w:abstractNumId="1">
    <w:nsid w:val="725A06FB"/>
    <w:multiLevelType w:val="hybridMultilevel"/>
    <w:lvl w:ilvl="0">
      <w:lvlJc w:val="left"/>
      <w:lvlText w:val="%1."/>
      <w:numFmt w:val="decimal"/>
      <w:start w:val="1"/>
    </w:lvl>
  </w:abstractNum>
  <w:abstractNum w:abstractNumId="2">
    <w:nsid w:val="2CD89A32"/>
    <w:multiLevelType w:val="hybridMultilevel"/>
    <w:lvl w:ilvl="0">
      <w:lvlJc w:val="left"/>
      <w:lvlText w:val="%1."/>
      <w:numFmt w:val="decimal"/>
      <w:start w:val="2"/>
    </w:lvl>
  </w:abstractNum>
  <w:abstractNum w:abstractNumId="3">
    <w:nsid w:val="57E4CCAF"/>
    <w:multiLevelType w:val="hybridMultilevel"/>
    <w:lvl w:ilvl="0">
      <w:lvlJc w:val="left"/>
      <w:lvlText w:val="%1."/>
      <w:numFmt w:val="decimal"/>
      <w:start w:val="3"/>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2"/>
    </w:lvl>
  </w:abstractNum>
  <w:abstractNum w:abstractNumId="6">
    <w:nsid w:val="542289EC"/>
    <w:multiLevelType w:val="hybridMultilevel"/>
    <w:lvl w:ilvl="0">
      <w:lvlJc w:val="left"/>
      <w:lvlText w:val="%1."/>
      <w:numFmt w:val="decimal"/>
      <w:start w:val="3"/>
    </w:lvl>
  </w:abstractNum>
  <w:abstractNum w:abstractNumId="7">
    <w:nsid w:val="6DE91B18"/>
    <w:multiLevelType w:val="hybridMultilevel"/>
    <w:lvl w:ilvl="0">
      <w:lvlJc w:val="left"/>
      <w:lvlText w:val="%1."/>
      <w:numFmt w:val="decimal"/>
      <w:start w:val="4"/>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lvl w:ilvl="1">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lowerLetter"/>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1)"/>
      <w:numFmt w:val="decimal"/>
      <w:start w:val="1"/>
    </w:lvl>
  </w:abstractNum>
  <w:abstractNum w:abstractNumId="30">
    <w:nsid w:val="47398C89"/>
    <w:multiLevelType w:val="hybridMultilevel"/>
    <w:lvl w:ilvl="0">
      <w:lvlJc w:val="left"/>
      <w:lvlText w:val="(%1)"/>
      <w:numFmt w:val="decimal"/>
      <w:start w:val="2"/>
    </w:lvl>
  </w:abstractNum>
  <w:abstractNum w:abstractNumId="31">
    <w:nsid w:val="354FE9F9"/>
    <w:multiLevelType w:val="hybridMultilevel"/>
    <w:lvl w:ilvl="0">
      <w:lvlJc w:val="left"/>
      <w:lvlText w:val="(%1)"/>
      <w:numFmt w:val="lowerLetter"/>
      <w:start w:val="1"/>
    </w:lvl>
  </w:abstractNum>
  <w:abstractNum w:abstractNumId="32">
    <w:nsid w:val="15B5AF5C"/>
    <w:multiLevelType w:val="hybridMultilevel"/>
    <w:lvl w:ilvl="0">
      <w:lvlJc w:val="left"/>
      <w:lvlText w:val="(%1)"/>
      <w:numFmt w:val="lowerLetter"/>
      <w:start w:val="8"/>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1)"/>
      <w:numFmt w:val="decimal"/>
      <w:start w:val="1"/>
    </w:lvl>
  </w:abstractNum>
  <w:abstractNum w:abstractNumId="39">
    <w:nsid w:val="77AE35EB"/>
    <w:multiLevelType w:val="hybridMultilevel"/>
    <w:lvl w:ilvl="0">
      <w:lvlJc w:val="left"/>
      <w:lvlText w:val="(%1)"/>
      <w:numFmt w:val="lowerRoman"/>
      <w:start w:val="1"/>
    </w:lvl>
  </w:abstractNum>
  <w:abstractNum w:abstractNumId="40">
    <w:nsid w:val="579BE4F1"/>
    <w:multiLevelType w:val="hybridMultilevel"/>
    <w:lvl w:ilvl="0">
      <w:lvlJc w:val="left"/>
      <w:lvlText w:val="(%1)"/>
      <w:numFmt w:val="lowerRoman"/>
      <w:start w:val="2"/>
    </w:lvl>
  </w:abstractNum>
  <w:abstractNum w:abstractNumId="41">
    <w:nsid w:val="310C50B3"/>
    <w:multiLevelType w:val="hybridMultilevel"/>
    <w:lvl w:ilvl="0">
      <w:lvlJc w:val="left"/>
      <w:lvlText w:val="(%1)"/>
      <w:numFmt w:val="lowerRoman"/>
      <w:start w:val="1"/>
    </w:lvl>
  </w:abstractNum>
  <w:abstractNum w:abstractNumId="42">
    <w:nsid w:val="5FF87E05"/>
    <w:multiLevelType w:val="hybridMultilevel"/>
    <w:lvl w:ilvl="0">
      <w:lvlJc w:val="left"/>
      <w:lvlText w:val="(%1)"/>
      <w:numFmt w:val="lowerRoman"/>
      <w:start w:val="4"/>
    </w:lvl>
  </w:abstractNum>
  <w:abstractNum w:abstractNumId="43">
    <w:nsid w:val="2F305DEF"/>
    <w:multiLevelType w:val="hybridMultilevel"/>
    <w:lvl w:ilvl="0">
      <w:lvlJc w:val="left"/>
      <w:lvlText w:val="(%1)"/>
      <w:numFmt w:val="lowerRoman"/>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1)"/>
      <w:numFmt w:val="lowerLetter"/>
      <w:start w:val="2"/>
    </w:lvl>
  </w:abstractNum>
  <w:abstractNum w:abstractNumId="47">
    <w:nsid w:val="1F48EAA1"/>
    <w:multiLevelType w:val="hybridMultilevel"/>
    <w:lvl w:ilvl="0">
      <w:lvlJc w:val="left"/>
      <w:lvlText w:val="(%1)"/>
      <w:numFmt w:val="lowerLetter"/>
      <w:start w:val="6"/>
    </w:lvl>
    <w:lvl w:ilvl="1">
      <w:lvlJc w:val="left"/>
      <w:lvlText w:val="(%2)"/>
      <w:numFmt w:val="lowerLetter"/>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lowerLetter"/>
      <w:start w:val="1"/>
    </w:lvl>
  </w:abstractNum>
  <w:abstractNum w:abstractNumId="50">
    <w:nsid w:val="100F8FCA"/>
    <w:multiLevelType w:val="hybridMultilevel"/>
    <w:lvl w:ilvl="0">
      <w:lvlJc w:val="left"/>
      <w:lvlText w:val="(%1)"/>
      <w:numFmt w:val="lowerRoman"/>
      <w:start w:val="2"/>
    </w:lvl>
  </w:abstractNum>
  <w:abstractNum w:abstractNumId="51">
    <w:nsid w:val="6590700B"/>
    <w:multiLevelType w:val="hybridMultilevel"/>
    <w:lvl w:ilvl="0">
      <w:lvlJc w:val="left"/>
      <w:lvlText w:val="(%1)"/>
      <w:numFmt w:val="lowerRoman"/>
      <w:start w:val="1"/>
    </w:lvl>
    <w:lvl w:ilvl="1">
      <w:lvlJc w:val="left"/>
      <w:lvlText w:val="•"/>
      <w:numFmt w:val="bullet"/>
      <w:start w:val="1"/>
    </w:lvl>
  </w:abstractNum>
  <w:abstractNum w:abstractNumId="52">
    <w:nsid w:val="15014ACB"/>
    <w:multiLevelType w:val="hybridMultilevel"/>
    <w:lvl w:ilvl="0">
      <w:lvlJc w:val="left"/>
      <w:lvlText w:val="(%1)"/>
      <w:numFmt w:val="lowerRoman"/>
      <w:start w:val="2"/>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lowerLetter"/>
      <w:start w:val="1"/>
    </w:lvl>
  </w:abstractNum>
  <w:abstractNum w:abstractNumId="57">
    <w:nsid w:val="42C296BD"/>
    <w:multiLevelType w:val="hybridMultilevel"/>
    <w:lvl w:ilvl="0">
      <w:lvlJc w:val="left"/>
      <w:lvlText w:val="(%1)"/>
      <w:numFmt w:val="lowerLetter"/>
      <w:start w:val="2"/>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lowerRoman"/>
      <w:start w:val="1"/>
    </w:lvl>
  </w:abstractNum>
  <w:abstractNum w:abstractNumId="60">
    <w:nsid w:val="661E3F1E"/>
    <w:multiLevelType w:val="hybridMultilevel"/>
    <w:lvl w:ilvl="0">
      <w:lvlJc w:val="left"/>
      <w:lvlText w:val="(%1)"/>
      <w:numFmt w:val="lowerRoman"/>
      <w:start w:val="8"/>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
      <w:numFmt w:val="bullet"/>
      <w:start w:val="1"/>
    </w:lvl>
    <w:lvl w:ilvl="1">
      <w:lvlJc w:val="left"/>
      <w:lvlText w:val="•"/>
      <w:numFmt w:val="bullet"/>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
      <w:numFmt w:val="bullet"/>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lowerLetter"/>
      <w:start w:val="2"/>
    </w:lvl>
  </w:abstractNum>
  <w:abstractNum w:abstractNumId="78">
    <w:nsid w:val="7FFFCA11"/>
    <w:multiLevelType w:val="hybridMultilevel"/>
    <w:lvl w:ilvl="0">
      <w:lvlJc w:val="left"/>
      <w:lvlText w:val="•"/>
      <w:numFmt w:val="bullet"/>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
      <w:numFmt w:val="bullet"/>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jpe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20" Type="http://schemas.openxmlformats.org/officeDocument/2006/relationships/hyperlink" Target="http://www.sec.gov/Archives/edgar/data/1110646/000104746920003254/a2241682zf-3asr.htm" TargetMode="External"/><Relationship Id="rId33" Type="http://schemas.openxmlformats.org/officeDocument/2006/relationships/hyperlink" Target="http://www.sec.gov/ix?doc=/Archives/edgar/data/1110646/000110465920052796/ntes-20191231x20f.htm" TargetMode="External"/><Relationship Id="rId36" Type="http://schemas.openxmlformats.org/officeDocument/2006/relationships/hyperlink" Target="http://www.sec.gov/Archives/edgar/data/1110646/000110465920067317/a20-20302_5ex99d1.htm" TargetMode="External"/><Relationship Id="rId49" Type="http://schemas.openxmlformats.org/officeDocument/2006/relationships/hyperlink" Target="http://www.sec.gov/Archives/edgar/data/1110646/000110465920067311/a20-20302_4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2020-06-01T06:30:22Z</dcterms:created>
  <dcterms:modified xsi:type="dcterms:W3CDTF">2020-06-01T06:30:22Z</dcterms:modified>
</cp:coreProperties>
</file>